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CB60C2" w14:textId="77777777" w:rsidR="002044D5" w:rsidRDefault="00F76D1D">
      <w:pPr>
        <w:shd w:val="clear" w:color="auto" w:fill="FFFF00"/>
        <w:spacing w:after="955"/>
        <w:ind w:left="600"/>
      </w:pPr>
      <w:r>
        <w:t>COVER PAGE OF ASSIGNMENT</w:t>
      </w:r>
    </w:p>
    <w:p w14:paraId="624BC785" w14:textId="77777777" w:rsidR="002044D5" w:rsidRDefault="00F76D1D">
      <w:pPr>
        <w:spacing w:after="0"/>
        <w:ind w:right="1501"/>
        <w:jc w:val="right"/>
      </w:pPr>
      <w:r>
        <w:rPr>
          <w:b/>
          <w:sz w:val="48"/>
          <w:u w:val="single" w:color="000000"/>
        </w:rPr>
        <w:t>END SEMESTER ASSIGNMENT</w:t>
      </w:r>
    </w:p>
    <w:tbl>
      <w:tblPr>
        <w:tblStyle w:val="TableGrid"/>
        <w:tblW w:w="8718" w:type="dxa"/>
        <w:tblInd w:w="562" w:type="dxa"/>
        <w:tblCellMar>
          <w:left w:w="96" w:type="dxa"/>
          <w:right w:w="78" w:type="dxa"/>
        </w:tblCellMar>
        <w:tblLook w:val="04A0" w:firstRow="1" w:lastRow="0" w:firstColumn="1" w:lastColumn="0" w:noHBand="0" w:noVBand="1"/>
      </w:tblPr>
      <w:tblGrid>
        <w:gridCol w:w="2410"/>
        <w:gridCol w:w="6308"/>
      </w:tblGrid>
      <w:tr w:rsidR="002044D5" w14:paraId="58F67434" w14:textId="77777777">
        <w:trPr>
          <w:trHeight w:val="799"/>
        </w:trPr>
        <w:tc>
          <w:tcPr>
            <w:tcW w:w="2410" w:type="dxa"/>
            <w:tcBorders>
              <w:top w:val="single" w:sz="8" w:space="0" w:color="000000"/>
              <w:left w:val="single" w:sz="8" w:space="0" w:color="000000"/>
              <w:bottom w:val="single" w:sz="8" w:space="0" w:color="000000"/>
              <w:right w:val="single" w:sz="8" w:space="0" w:color="000000"/>
            </w:tcBorders>
            <w:vAlign w:val="center"/>
          </w:tcPr>
          <w:p w14:paraId="10321961" w14:textId="77777777" w:rsidR="002044D5" w:rsidRDefault="00F76D1D">
            <w:pPr>
              <w:jc w:val="center"/>
            </w:pPr>
            <w:r>
              <w:rPr>
                <w:sz w:val="28"/>
              </w:rPr>
              <w:t>SUBJECT</w:t>
            </w:r>
          </w:p>
        </w:tc>
        <w:tc>
          <w:tcPr>
            <w:tcW w:w="6308" w:type="dxa"/>
            <w:tcBorders>
              <w:top w:val="single" w:sz="8" w:space="0" w:color="000000"/>
              <w:left w:val="single" w:sz="8" w:space="0" w:color="000000"/>
              <w:bottom w:val="single" w:sz="8" w:space="0" w:color="000000"/>
              <w:right w:val="single" w:sz="8" w:space="0" w:color="000000"/>
            </w:tcBorders>
            <w:vAlign w:val="center"/>
          </w:tcPr>
          <w:p w14:paraId="6D044C77" w14:textId="77777777" w:rsidR="002044D5" w:rsidRDefault="00F76D1D">
            <w:pPr>
              <w:ind w:right="1"/>
              <w:jc w:val="center"/>
            </w:pPr>
            <w:r>
              <w:rPr>
                <w:sz w:val="40"/>
              </w:rPr>
              <w:t>CONFLICT MAN</w:t>
            </w:r>
            <w:r w:rsidR="00C26020">
              <w:rPr>
                <w:sz w:val="40"/>
              </w:rPr>
              <w:t>AGE</w:t>
            </w:r>
            <w:r>
              <w:rPr>
                <w:sz w:val="40"/>
              </w:rPr>
              <w:t>MENT</w:t>
            </w:r>
          </w:p>
        </w:tc>
      </w:tr>
      <w:tr w:rsidR="002044D5" w14:paraId="4820C246" w14:textId="77777777">
        <w:trPr>
          <w:trHeight w:val="799"/>
        </w:trPr>
        <w:tc>
          <w:tcPr>
            <w:tcW w:w="2410" w:type="dxa"/>
            <w:tcBorders>
              <w:top w:val="single" w:sz="8" w:space="0" w:color="000000"/>
              <w:left w:val="single" w:sz="8" w:space="0" w:color="000000"/>
              <w:bottom w:val="single" w:sz="8" w:space="0" w:color="000000"/>
              <w:right w:val="single" w:sz="8" w:space="0" w:color="000000"/>
            </w:tcBorders>
            <w:vAlign w:val="center"/>
          </w:tcPr>
          <w:p w14:paraId="01D4DC37" w14:textId="77777777" w:rsidR="002044D5" w:rsidRDefault="00F76D1D">
            <w:pPr>
              <w:ind w:left="125"/>
            </w:pPr>
            <w:r>
              <w:rPr>
                <w:sz w:val="28"/>
              </w:rPr>
              <w:t>TOPIC CATEGORY</w:t>
            </w:r>
          </w:p>
        </w:tc>
        <w:tc>
          <w:tcPr>
            <w:tcW w:w="6308" w:type="dxa"/>
            <w:tcBorders>
              <w:top w:val="single" w:sz="8" w:space="0" w:color="000000"/>
              <w:left w:val="single" w:sz="8" w:space="0" w:color="000000"/>
              <w:bottom w:val="single" w:sz="8" w:space="0" w:color="000000"/>
              <w:right w:val="single" w:sz="8" w:space="0" w:color="000000"/>
            </w:tcBorders>
          </w:tcPr>
          <w:p w14:paraId="5E10DDFB" w14:textId="77777777" w:rsidR="002044D5" w:rsidRDefault="00FB667B" w:rsidP="00FB667B">
            <w:pPr>
              <w:jc w:val="center"/>
            </w:pPr>
            <w:r w:rsidRPr="00FB667B">
              <w:rPr>
                <w:sz w:val="28"/>
              </w:rPr>
              <w:t>CATEGORY 1: INDEPENDENT TOPICS</w:t>
            </w:r>
          </w:p>
        </w:tc>
      </w:tr>
      <w:tr w:rsidR="002044D5" w14:paraId="032A0E3D" w14:textId="77777777">
        <w:trPr>
          <w:trHeight w:val="800"/>
        </w:trPr>
        <w:tc>
          <w:tcPr>
            <w:tcW w:w="2410" w:type="dxa"/>
            <w:tcBorders>
              <w:top w:val="single" w:sz="8" w:space="0" w:color="000000"/>
              <w:left w:val="single" w:sz="8" w:space="0" w:color="000000"/>
              <w:bottom w:val="single" w:sz="8" w:space="0" w:color="000000"/>
              <w:right w:val="single" w:sz="8" w:space="0" w:color="000000"/>
            </w:tcBorders>
            <w:vAlign w:val="center"/>
          </w:tcPr>
          <w:p w14:paraId="2BC9CAFA" w14:textId="77777777" w:rsidR="002044D5" w:rsidRDefault="00F76D1D">
            <w:pPr>
              <w:ind w:right="1"/>
              <w:jc w:val="center"/>
            </w:pPr>
            <w:r>
              <w:rPr>
                <w:sz w:val="28"/>
              </w:rPr>
              <w:t>NAME OF TOPIC</w:t>
            </w:r>
          </w:p>
        </w:tc>
        <w:tc>
          <w:tcPr>
            <w:tcW w:w="6308" w:type="dxa"/>
            <w:tcBorders>
              <w:top w:val="single" w:sz="8" w:space="0" w:color="000000"/>
              <w:left w:val="single" w:sz="8" w:space="0" w:color="000000"/>
              <w:bottom w:val="single" w:sz="8" w:space="0" w:color="000000"/>
              <w:right w:val="single" w:sz="8" w:space="0" w:color="000000"/>
            </w:tcBorders>
          </w:tcPr>
          <w:p w14:paraId="777CA099" w14:textId="77777777" w:rsidR="002044D5" w:rsidRPr="00FB667B" w:rsidRDefault="00FB667B" w:rsidP="00FB667B">
            <w:pPr>
              <w:jc w:val="center"/>
              <w:rPr>
                <w:sz w:val="28"/>
                <w:szCs w:val="28"/>
              </w:rPr>
            </w:pPr>
            <w:r w:rsidRPr="00FB667B">
              <w:rPr>
                <w:sz w:val="28"/>
                <w:szCs w:val="28"/>
              </w:rPr>
              <w:t>The Tata-Mistry matter</w:t>
            </w:r>
          </w:p>
        </w:tc>
      </w:tr>
      <w:tr w:rsidR="002044D5" w14:paraId="7AC62337" w14:textId="77777777">
        <w:trPr>
          <w:trHeight w:val="799"/>
        </w:trPr>
        <w:tc>
          <w:tcPr>
            <w:tcW w:w="2410" w:type="dxa"/>
            <w:tcBorders>
              <w:top w:val="single" w:sz="8" w:space="0" w:color="000000"/>
              <w:left w:val="single" w:sz="8" w:space="0" w:color="000000"/>
              <w:bottom w:val="single" w:sz="8" w:space="0" w:color="000000"/>
              <w:right w:val="single" w:sz="8" w:space="0" w:color="000000"/>
            </w:tcBorders>
          </w:tcPr>
          <w:p w14:paraId="7F70E8FD" w14:textId="77777777" w:rsidR="002044D5" w:rsidRDefault="002044D5"/>
        </w:tc>
        <w:tc>
          <w:tcPr>
            <w:tcW w:w="6308" w:type="dxa"/>
            <w:tcBorders>
              <w:top w:val="single" w:sz="8" w:space="0" w:color="000000"/>
              <w:left w:val="single" w:sz="8" w:space="0" w:color="000000"/>
              <w:bottom w:val="single" w:sz="8" w:space="0" w:color="000000"/>
              <w:right w:val="single" w:sz="8" w:space="0" w:color="000000"/>
            </w:tcBorders>
          </w:tcPr>
          <w:p w14:paraId="455C2361" w14:textId="7BF1D3BA" w:rsidR="002044D5" w:rsidRDefault="002044D5" w:rsidP="00FC3D1D"/>
        </w:tc>
      </w:tr>
      <w:tr w:rsidR="002044D5" w14:paraId="014596BB" w14:textId="77777777">
        <w:trPr>
          <w:trHeight w:val="799"/>
        </w:trPr>
        <w:tc>
          <w:tcPr>
            <w:tcW w:w="2410" w:type="dxa"/>
            <w:tcBorders>
              <w:top w:val="single" w:sz="8" w:space="0" w:color="000000"/>
              <w:left w:val="single" w:sz="8" w:space="0" w:color="000000"/>
              <w:bottom w:val="single" w:sz="8" w:space="0" w:color="000000"/>
              <w:right w:val="single" w:sz="8" w:space="0" w:color="000000"/>
            </w:tcBorders>
            <w:vAlign w:val="center"/>
          </w:tcPr>
          <w:p w14:paraId="1E41F329" w14:textId="77777777" w:rsidR="002044D5" w:rsidRDefault="00F76D1D">
            <w:pPr>
              <w:jc w:val="both"/>
            </w:pPr>
            <w:r>
              <w:rPr>
                <w:sz w:val="28"/>
              </w:rPr>
              <w:t>NAME OF STUDENT</w:t>
            </w:r>
          </w:p>
        </w:tc>
        <w:tc>
          <w:tcPr>
            <w:tcW w:w="6308" w:type="dxa"/>
            <w:tcBorders>
              <w:top w:val="single" w:sz="8" w:space="0" w:color="000000"/>
              <w:left w:val="single" w:sz="8" w:space="0" w:color="000000"/>
              <w:bottom w:val="single" w:sz="8" w:space="0" w:color="000000"/>
              <w:right w:val="single" w:sz="8" w:space="0" w:color="000000"/>
            </w:tcBorders>
          </w:tcPr>
          <w:p w14:paraId="631A413C" w14:textId="77777777" w:rsidR="002044D5" w:rsidRDefault="00FB667B" w:rsidP="00FB667B">
            <w:pPr>
              <w:jc w:val="center"/>
            </w:pPr>
            <w:r w:rsidRPr="00FB667B">
              <w:rPr>
                <w:sz w:val="28"/>
              </w:rPr>
              <w:t>RICKIN MEHTA</w:t>
            </w:r>
          </w:p>
        </w:tc>
      </w:tr>
      <w:tr w:rsidR="002044D5" w14:paraId="42A37282" w14:textId="77777777">
        <w:trPr>
          <w:trHeight w:val="799"/>
        </w:trPr>
        <w:tc>
          <w:tcPr>
            <w:tcW w:w="2410" w:type="dxa"/>
            <w:tcBorders>
              <w:top w:val="single" w:sz="8" w:space="0" w:color="000000"/>
              <w:left w:val="single" w:sz="8" w:space="0" w:color="000000"/>
              <w:bottom w:val="single" w:sz="8" w:space="0" w:color="000000"/>
              <w:right w:val="single" w:sz="8" w:space="0" w:color="000000"/>
            </w:tcBorders>
            <w:vAlign w:val="center"/>
          </w:tcPr>
          <w:p w14:paraId="65B4480B" w14:textId="77777777" w:rsidR="002044D5" w:rsidRDefault="00F76D1D">
            <w:pPr>
              <w:ind w:left="173"/>
            </w:pPr>
            <w:r>
              <w:rPr>
                <w:sz w:val="28"/>
              </w:rPr>
              <w:t>FYBMS DIVISION</w:t>
            </w:r>
          </w:p>
        </w:tc>
        <w:tc>
          <w:tcPr>
            <w:tcW w:w="6308" w:type="dxa"/>
            <w:tcBorders>
              <w:top w:val="single" w:sz="8" w:space="0" w:color="000000"/>
              <w:left w:val="single" w:sz="8" w:space="0" w:color="000000"/>
              <w:bottom w:val="single" w:sz="8" w:space="0" w:color="000000"/>
              <w:right w:val="single" w:sz="8" w:space="0" w:color="000000"/>
            </w:tcBorders>
          </w:tcPr>
          <w:p w14:paraId="503CAC1B" w14:textId="77777777" w:rsidR="002044D5" w:rsidRDefault="00FB667B" w:rsidP="00FB667B">
            <w:pPr>
              <w:jc w:val="center"/>
            </w:pPr>
            <w:r w:rsidRPr="00FB667B">
              <w:rPr>
                <w:sz w:val="28"/>
              </w:rPr>
              <w:t>B</w:t>
            </w:r>
          </w:p>
        </w:tc>
      </w:tr>
      <w:tr w:rsidR="002044D5" w14:paraId="718C5176" w14:textId="77777777">
        <w:trPr>
          <w:trHeight w:val="800"/>
        </w:trPr>
        <w:tc>
          <w:tcPr>
            <w:tcW w:w="2410" w:type="dxa"/>
            <w:tcBorders>
              <w:top w:val="single" w:sz="8" w:space="0" w:color="000000"/>
              <w:left w:val="single" w:sz="8" w:space="0" w:color="000000"/>
              <w:bottom w:val="single" w:sz="8" w:space="0" w:color="000000"/>
              <w:right w:val="single" w:sz="8" w:space="0" w:color="000000"/>
            </w:tcBorders>
            <w:vAlign w:val="center"/>
          </w:tcPr>
          <w:p w14:paraId="136CB1E2" w14:textId="77777777" w:rsidR="002044D5" w:rsidRDefault="00F76D1D">
            <w:pPr>
              <w:ind w:right="3"/>
              <w:jc w:val="center"/>
            </w:pPr>
            <w:r>
              <w:rPr>
                <w:sz w:val="28"/>
              </w:rPr>
              <w:t>UID NO.</w:t>
            </w:r>
          </w:p>
        </w:tc>
        <w:tc>
          <w:tcPr>
            <w:tcW w:w="6308" w:type="dxa"/>
            <w:tcBorders>
              <w:top w:val="single" w:sz="8" w:space="0" w:color="000000"/>
              <w:left w:val="single" w:sz="8" w:space="0" w:color="000000"/>
              <w:bottom w:val="single" w:sz="8" w:space="0" w:color="000000"/>
              <w:right w:val="single" w:sz="8" w:space="0" w:color="000000"/>
            </w:tcBorders>
          </w:tcPr>
          <w:p w14:paraId="4BF0D79C" w14:textId="77777777" w:rsidR="002044D5" w:rsidRDefault="00FB667B" w:rsidP="00FB667B">
            <w:pPr>
              <w:jc w:val="center"/>
            </w:pPr>
            <w:r w:rsidRPr="00FB667B">
              <w:rPr>
                <w:sz w:val="28"/>
              </w:rPr>
              <w:t>2504022</w:t>
            </w:r>
          </w:p>
        </w:tc>
      </w:tr>
      <w:tr w:rsidR="002044D5" w14:paraId="1D995436" w14:textId="77777777">
        <w:trPr>
          <w:trHeight w:val="799"/>
        </w:trPr>
        <w:tc>
          <w:tcPr>
            <w:tcW w:w="2410" w:type="dxa"/>
            <w:tcBorders>
              <w:top w:val="single" w:sz="8" w:space="0" w:color="000000"/>
              <w:left w:val="single" w:sz="8" w:space="0" w:color="000000"/>
              <w:bottom w:val="single" w:sz="8" w:space="0" w:color="000000"/>
              <w:right w:val="single" w:sz="8" w:space="0" w:color="000000"/>
            </w:tcBorders>
            <w:vAlign w:val="center"/>
          </w:tcPr>
          <w:p w14:paraId="2F1E1B3F" w14:textId="77777777" w:rsidR="002044D5" w:rsidRDefault="00F76D1D">
            <w:pPr>
              <w:ind w:left="1"/>
              <w:jc w:val="center"/>
            </w:pPr>
            <w:r>
              <w:rPr>
                <w:sz w:val="28"/>
              </w:rPr>
              <w:t>ROLL NO</w:t>
            </w:r>
          </w:p>
        </w:tc>
        <w:tc>
          <w:tcPr>
            <w:tcW w:w="6308" w:type="dxa"/>
            <w:tcBorders>
              <w:top w:val="single" w:sz="8" w:space="0" w:color="000000"/>
              <w:left w:val="single" w:sz="8" w:space="0" w:color="000000"/>
              <w:bottom w:val="single" w:sz="8" w:space="0" w:color="000000"/>
              <w:right w:val="single" w:sz="8" w:space="0" w:color="000000"/>
            </w:tcBorders>
          </w:tcPr>
          <w:p w14:paraId="310811A2" w14:textId="77777777" w:rsidR="002044D5" w:rsidRDefault="00FB667B" w:rsidP="00FB667B">
            <w:pPr>
              <w:jc w:val="center"/>
            </w:pPr>
            <w:r w:rsidRPr="00FB667B">
              <w:rPr>
                <w:sz w:val="28"/>
              </w:rPr>
              <w:t>081</w:t>
            </w:r>
          </w:p>
        </w:tc>
      </w:tr>
      <w:tr w:rsidR="002044D5" w14:paraId="22B049B3" w14:textId="77777777">
        <w:trPr>
          <w:trHeight w:val="799"/>
        </w:trPr>
        <w:tc>
          <w:tcPr>
            <w:tcW w:w="2410" w:type="dxa"/>
            <w:tcBorders>
              <w:top w:val="single" w:sz="8" w:space="0" w:color="000000"/>
              <w:left w:val="single" w:sz="8" w:space="0" w:color="000000"/>
              <w:bottom w:val="single" w:sz="8" w:space="0" w:color="000000"/>
              <w:right w:val="single" w:sz="8" w:space="0" w:color="000000"/>
            </w:tcBorders>
          </w:tcPr>
          <w:p w14:paraId="1E4065B9" w14:textId="77777777" w:rsidR="002044D5" w:rsidRDefault="002044D5"/>
        </w:tc>
        <w:tc>
          <w:tcPr>
            <w:tcW w:w="6308" w:type="dxa"/>
            <w:tcBorders>
              <w:top w:val="single" w:sz="8" w:space="0" w:color="000000"/>
              <w:left w:val="single" w:sz="8" w:space="0" w:color="000000"/>
              <w:bottom w:val="single" w:sz="8" w:space="0" w:color="000000"/>
              <w:right w:val="single" w:sz="8" w:space="0" w:color="000000"/>
            </w:tcBorders>
          </w:tcPr>
          <w:p w14:paraId="278B3656" w14:textId="77777777" w:rsidR="002044D5" w:rsidRDefault="002044D5"/>
        </w:tc>
      </w:tr>
      <w:tr w:rsidR="002044D5" w14:paraId="5BEDBBF8" w14:textId="77777777">
        <w:trPr>
          <w:trHeight w:val="799"/>
        </w:trPr>
        <w:tc>
          <w:tcPr>
            <w:tcW w:w="2410" w:type="dxa"/>
            <w:tcBorders>
              <w:top w:val="single" w:sz="8" w:space="0" w:color="000000"/>
              <w:left w:val="single" w:sz="8" w:space="0" w:color="000000"/>
              <w:bottom w:val="single" w:sz="8" w:space="0" w:color="000000"/>
              <w:right w:val="single" w:sz="8" w:space="0" w:color="000000"/>
            </w:tcBorders>
            <w:vAlign w:val="center"/>
          </w:tcPr>
          <w:p w14:paraId="6008244D" w14:textId="77777777" w:rsidR="002044D5" w:rsidRDefault="00F76D1D">
            <w:pPr>
              <w:ind w:right="3"/>
              <w:jc w:val="center"/>
            </w:pPr>
            <w:r>
              <w:rPr>
                <w:sz w:val="28"/>
              </w:rPr>
              <w:t>PROFESSOR</w:t>
            </w:r>
          </w:p>
        </w:tc>
        <w:tc>
          <w:tcPr>
            <w:tcW w:w="6308" w:type="dxa"/>
            <w:tcBorders>
              <w:top w:val="single" w:sz="8" w:space="0" w:color="000000"/>
              <w:left w:val="single" w:sz="8" w:space="0" w:color="000000"/>
              <w:bottom w:val="single" w:sz="8" w:space="0" w:color="000000"/>
              <w:right w:val="single" w:sz="8" w:space="0" w:color="000000"/>
            </w:tcBorders>
            <w:vAlign w:val="center"/>
          </w:tcPr>
          <w:p w14:paraId="33659ABB" w14:textId="77777777" w:rsidR="002044D5" w:rsidRDefault="00F76D1D">
            <w:pPr>
              <w:ind w:right="3"/>
              <w:jc w:val="center"/>
            </w:pPr>
            <w:r>
              <w:rPr>
                <w:sz w:val="36"/>
              </w:rPr>
              <w:t>PROF. KISHU DASWANI</w:t>
            </w:r>
          </w:p>
        </w:tc>
      </w:tr>
      <w:tr w:rsidR="002044D5" w14:paraId="5C27D976" w14:textId="77777777">
        <w:trPr>
          <w:trHeight w:val="799"/>
        </w:trPr>
        <w:tc>
          <w:tcPr>
            <w:tcW w:w="2410" w:type="dxa"/>
            <w:tcBorders>
              <w:top w:val="single" w:sz="8" w:space="0" w:color="000000"/>
              <w:left w:val="single" w:sz="8" w:space="0" w:color="000000"/>
              <w:bottom w:val="single" w:sz="8" w:space="0" w:color="000000"/>
              <w:right w:val="single" w:sz="8" w:space="0" w:color="000000"/>
            </w:tcBorders>
            <w:vAlign w:val="center"/>
          </w:tcPr>
          <w:p w14:paraId="4A50F03C" w14:textId="77777777" w:rsidR="002044D5" w:rsidRDefault="00F76D1D">
            <w:pPr>
              <w:ind w:left="48"/>
            </w:pPr>
            <w:r>
              <w:rPr>
                <w:sz w:val="28"/>
              </w:rPr>
              <w:t>SUBMISSION DATE</w:t>
            </w:r>
          </w:p>
        </w:tc>
        <w:tc>
          <w:tcPr>
            <w:tcW w:w="6308" w:type="dxa"/>
            <w:tcBorders>
              <w:top w:val="single" w:sz="8" w:space="0" w:color="000000"/>
              <w:left w:val="single" w:sz="8" w:space="0" w:color="000000"/>
              <w:bottom w:val="single" w:sz="8" w:space="0" w:color="000000"/>
              <w:right w:val="single" w:sz="8" w:space="0" w:color="000000"/>
            </w:tcBorders>
          </w:tcPr>
          <w:p w14:paraId="1E1D1127" w14:textId="77777777" w:rsidR="002044D5" w:rsidRDefault="00FB667B" w:rsidP="00FB667B">
            <w:pPr>
              <w:jc w:val="center"/>
            </w:pPr>
            <w:r w:rsidRPr="00FB667B">
              <w:rPr>
                <w:sz w:val="28"/>
              </w:rPr>
              <w:t>09/03/2026</w:t>
            </w:r>
          </w:p>
        </w:tc>
      </w:tr>
      <w:tr w:rsidR="002044D5" w14:paraId="3BC4F7B6" w14:textId="77777777">
        <w:trPr>
          <w:trHeight w:val="800"/>
        </w:trPr>
        <w:tc>
          <w:tcPr>
            <w:tcW w:w="2410" w:type="dxa"/>
            <w:tcBorders>
              <w:top w:val="single" w:sz="8" w:space="0" w:color="000000"/>
              <w:left w:val="single" w:sz="8" w:space="0" w:color="000000"/>
              <w:bottom w:val="single" w:sz="8" w:space="0" w:color="000000"/>
              <w:right w:val="single" w:sz="8" w:space="0" w:color="000000"/>
            </w:tcBorders>
            <w:vAlign w:val="center"/>
          </w:tcPr>
          <w:p w14:paraId="7FCE6AF7" w14:textId="77777777" w:rsidR="002044D5" w:rsidRDefault="00F76D1D">
            <w:pPr>
              <w:ind w:right="3"/>
              <w:jc w:val="center"/>
            </w:pPr>
            <w:r>
              <w:rPr>
                <w:sz w:val="28"/>
              </w:rPr>
              <w:t>COMMENTS</w:t>
            </w:r>
          </w:p>
        </w:tc>
        <w:tc>
          <w:tcPr>
            <w:tcW w:w="6308" w:type="dxa"/>
            <w:tcBorders>
              <w:top w:val="single" w:sz="8" w:space="0" w:color="000000"/>
              <w:left w:val="single" w:sz="8" w:space="0" w:color="000000"/>
              <w:bottom w:val="single" w:sz="8" w:space="0" w:color="000000"/>
              <w:right w:val="single" w:sz="8" w:space="0" w:color="000000"/>
            </w:tcBorders>
          </w:tcPr>
          <w:p w14:paraId="2CEA8389" w14:textId="77777777" w:rsidR="002044D5" w:rsidRDefault="002044D5"/>
        </w:tc>
      </w:tr>
      <w:tr w:rsidR="002044D5" w14:paraId="5E1FF1A1" w14:textId="77777777">
        <w:trPr>
          <w:trHeight w:val="1010"/>
        </w:trPr>
        <w:tc>
          <w:tcPr>
            <w:tcW w:w="2410" w:type="dxa"/>
            <w:tcBorders>
              <w:top w:val="single" w:sz="8" w:space="0" w:color="000000"/>
              <w:left w:val="single" w:sz="8" w:space="0" w:color="000000"/>
              <w:bottom w:val="single" w:sz="8" w:space="0" w:color="000000"/>
              <w:right w:val="single" w:sz="8" w:space="0" w:color="000000"/>
            </w:tcBorders>
            <w:vAlign w:val="center"/>
          </w:tcPr>
          <w:p w14:paraId="0E5FCBE6" w14:textId="77777777" w:rsidR="002044D5" w:rsidRDefault="00F76D1D">
            <w:pPr>
              <w:ind w:right="3"/>
              <w:jc w:val="center"/>
            </w:pPr>
            <w:r>
              <w:rPr>
                <w:sz w:val="28"/>
              </w:rPr>
              <w:t>MARKS</w:t>
            </w:r>
          </w:p>
        </w:tc>
        <w:tc>
          <w:tcPr>
            <w:tcW w:w="6308" w:type="dxa"/>
            <w:tcBorders>
              <w:top w:val="single" w:sz="8" w:space="0" w:color="000000"/>
              <w:left w:val="single" w:sz="8" w:space="0" w:color="000000"/>
              <w:bottom w:val="single" w:sz="8" w:space="0" w:color="000000"/>
              <w:right w:val="single" w:sz="8" w:space="0" w:color="000000"/>
            </w:tcBorders>
          </w:tcPr>
          <w:p w14:paraId="0C1DF4AC" w14:textId="77777777" w:rsidR="00FC3D1D" w:rsidRDefault="00FC3D1D"/>
          <w:p w14:paraId="74403436" w14:textId="77777777" w:rsidR="002044D5" w:rsidRPr="00FC3D1D" w:rsidRDefault="002044D5" w:rsidP="00FC3D1D">
            <w:pPr>
              <w:rPr>
                <w:sz w:val="16"/>
              </w:rPr>
            </w:pPr>
          </w:p>
        </w:tc>
      </w:tr>
    </w:tbl>
    <w:p w14:paraId="0A858AA1" w14:textId="77777777" w:rsidR="00FC3D1D" w:rsidRDefault="00FC3D1D" w:rsidP="00C26020">
      <w:pPr>
        <w:pStyle w:val="conflictbody"/>
      </w:pPr>
    </w:p>
    <w:p w14:paraId="4023ED7F" w14:textId="77777777" w:rsidR="00C26020" w:rsidRDefault="00C26020" w:rsidP="00C26020">
      <w:pPr>
        <w:pStyle w:val="conflictbody"/>
      </w:pPr>
    </w:p>
    <w:p w14:paraId="3D5B0504" w14:textId="075470E6" w:rsidR="00C26020" w:rsidRDefault="00C26020">
      <w:pPr>
        <w:rPr>
          <w:rFonts w:ascii="Times New Roman" w:hAnsi="Times New Roman"/>
          <w:sz w:val="24"/>
        </w:rPr>
      </w:pPr>
    </w:p>
    <w:p w14:paraId="67DC4929" w14:textId="77777777" w:rsidR="00E776EF" w:rsidRDefault="00E776EF" w:rsidP="00E776EF">
      <w:pPr>
        <w:pStyle w:val="Style1"/>
      </w:pPr>
      <w:r>
        <w:t>Overview of the Conflict</w:t>
      </w:r>
    </w:p>
    <w:p w14:paraId="08EF9A84" w14:textId="77777777" w:rsidR="00E776EF" w:rsidRDefault="00E776EF" w:rsidP="00E776EF">
      <w:pPr>
        <w:pStyle w:val="conflictbody"/>
      </w:pPr>
      <w:r w:rsidRPr="00E776EF">
        <w:t>The dismissal of Cyrus Pallonji Mistry as Executive Chairman of Tata Sons on October 24, 2016, sent shockwaves across Indian boardrooms and beyond. What followed was one of the most bitterly contested and legally complex corporate conflicts in India's post-liberalization history</w:t>
      </w:r>
      <w:r>
        <w:t>. A</w:t>
      </w:r>
      <w:r w:rsidRPr="00E776EF">
        <w:t xml:space="preserve"> four-year saga of court battles, public accusations, and irreconcilable differences that wound its way through the National Company Law Tribunal (NCLT), the National Company Law Appellate Tribunal (NCLAT), and ultimately the Supreme Court of India</w:t>
      </w:r>
      <w:r w:rsidR="00050C90">
        <w:rPr>
          <w:rStyle w:val="FootnoteReference"/>
        </w:rPr>
        <w:footnoteReference w:id="1"/>
      </w:r>
      <w:r w:rsidRPr="00E776EF">
        <w:t>.</w:t>
      </w:r>
    </w:p>
    <w:p w14:paraId="6B076DA7" w14:textId="1EDA8846" w:rsidR="00E776EF" w:rsidRPr="00E776EF" w:rsidRDefault="00E776EF" w:rsidP="00E776EF">
      <w:pPr>
        <w:pStyle w:val="conflictbody"/>
      </w:pPr>
      <w:r>
        <w:t>On one side stood the 150-year</w:t>
      </w:r>
      <w:r w:rsidR="00315B53">
        <w:t>-</w:t>
      </w:r>
      <w:r>
        <w:t xml:space="preserve">old Conglomerate </w:t>
      </w:r>
      <w:r w:rsidR="00315B53">
        <w:t xml:space="preserve">while on the other stood </w:t>
      </w:r>
      <w:r w:rsidR="00785BBF">
        <w:t>its</w:t>
      </w:r>
      <w:r w:rsidR="00315B53">
        <w:t xml:space="preserve"> largest shareholder and scion of the </w:t>
      </w:r>
      <w:r w:rsidR="00315B53" w:rsidRPr="00315B53">
        <w:t>Shapoorji Pallonji (SP) Group</w:t>
      </w:r>
      <w:r w:rsidR="00315B53">
        <w:t>.</w:t>
      </w:r>
    </w:p>
    <w:p w14:paraId="1706863F" w14:textId="77777777" w:rsidR="006A1FFC" w:rsidRDefault="006A1FFC" w:rsidP="00E776EF">
      <w:pPr>
        <w:pStyle w:val="Style1"/>
      </w:pPr>
      <w:r w:rsidRPr="006A1FFC">
        <w:t>The Parties</w:t>
      </w:r>
      <w:r>
        <w:t xml:space="preserve"> </w:t>
      </w:r>
      <w:r w:rsidRPr="006A1FFC">
        <w:t>—</w:t>
      </w:r>
      <w:r>
        <w:t xml:space="preserve"> </w:t>
      </w:r>
      <w:r w:rsidRPr="006A1FFC">
        <w:t>Background &amp; History</w:t>
      </w:r>
    </w:p>
    <w:p w14:paraId="7058EBFC" w14:textId="77777777" w:rsidR="00C26020" w:rsidRDefault="00E776EF" w:rsidP="00315B53">
      <w:pPr>
        <w:pStyle w:val="Style2"/>
      </w:pPr>
      <w:r w:rsidRPr="00E776EF">
        <w:t>The Tata Group &amp; Ratan Tata</w:t>
      </w:r>
    </w:p>
    <w:p w14:paraId="1E621F3B" w14:textId="77777777" w:rsidR="00315B53" w:rsidRDefault="00315B53" w:rsidP="00315B53">
      <w:pPr>
        <w:pStyle w:val="conflictbody"/>
      </w:pPr>
      <w:r>
        <w:t xml:space="preserve">Tata Sons Private Limited is the principal holding and promoter company of the Tata Group, one of India's oldest and most respected conglomerates, founded by </w:t>
      </w:r>
      <w:proofErr w:type="spellStart"/>
      <w:r>
        <w:t>Jamsetji</w:t>
      </w:r>
      <w:proofErr w:type="spellEnd"/>
      <w:r>
        <w:t xml:space="preserve"> Tata in 1868. With operations spanning over 100 countries and revenues exceeding USD 100 billion, the Tata Group has been synonymous with Indian industrial identity. Crucially, approximately 66% of the equity capital of Tata Sons is held by philanthropic trusts, primarily the Sir </w:t>
      </w:r>
      <w:proofErr w:type="spellStart"/>
      <w:r>
        <w:t>Dorabji</w:t>
      </w:r>
      <w:proofErr w:type="spellEnd"/>
      <w:r>
        <w:t xml:space="preserve"> Tata Trust and the Sir Ratan Tata Trust, which means that the group has always considered its mission to transcend profit-making alone.</w:t>
      </w:r>
    </w:p>
    <w:p w14:paraId="3554D780" w14:textId="36718519" w:rsidR="00315B53" w:rsidRDefault="00315B53" w:rsidP="00315B53">
      <w:pPr>
        <w:pStyle w:val="conflictbody"/>
      </w:pPr>
      <w:r>
        <w:t xml:space="preserve">Ratan Tata, who led the group from 1991 to 2012, transformed it from a domestic conglomerate into a global force through landmark acquisitions. </w:t>
      </w:r>
      <w:r w:rsidR="00F96C5A">
        <w:t>His retirement in 2012 necessitated the appointment of an outsider</w:t>
      </w:r>
      <w:r w:rsidR="00F96C5A">
        <w:t>,</w:t>
      </w:r>
      <w:r w:rsidR="00F96C5A">
        <w:t xml:space="preserve"> the first in nearly 80 years</w:t>
      </w:r>
      <w:r w:rsidR="00F96C5A">
        <w:t xml:space="preserve">, </w:t>
      </w:r>
      <w:r w:rsidR="00F96C5A">
        <w:t>to lead the group</w:t>
      </w:r>
      <w:r w:rsidRPr="00315B53">
        <w:t>.</w:t>
      </w:r>
      <w:r w:rsidR="00785BBF">
        <w:t xml:space="preserve"> He did not transfer his </w:t>
      </w:r>
      <w:r w:rsidR="00785BBF">
        <w:lastRenderedPageBreak/>
        <w:t>control in the Tata Trust,</w:t>
      </w:r>
      <w:r w:rsidRPr="00315B53">
        <w:t xml:space="preserve"> </w:t>
      </w:r>
      <w:proofErr w:type="gramStart"/>
      <w:r w:rsidRPr="00315B53">
        <w:t>This</w:t>
      </w:r>
      <w:proofErr w:type="gramEnd"/>
      <w:r w:rsidRPr="00315B53">
        <w:t xml:space="preserve"> retained role gave him continued decisive influence over the group's direction even after handing over the operational chairmanship</w:t>
      </w:r>
      <w:r w:rsidR="00050C90">
        <w:rPr>
          <w:rStyle w:val="FootnoteReference"/>
        </w:rPr>
        <w:footnoteReference w:id="2"/>
      </w:r>
    </w:p>
    <w:p w14:paraId="12DC24C4" w14:textId="6B7BE4DE" w:rsidR="00315B53" w:rsidRPr="00050C90" w:rsidRDefault="00315B53" w:rsidP="00050C90">
      <w:pPr>
        <w:pStyle w:val="conflictbody"/>
      </w:pPr>
      <w:r w:rsidRPr="00050C90">
        <w:t>Additionally</w:t>
      </w:r>
      <w:r w:rsidR="00785BBF">
        <w:t>, the</w:t>
      </w:r>
      <w:r w:rsidRPr="00050C90">
        <w:t xml:space="preserve"> Articles of Association (</w:t>
      </w:r>
      <w:proofErr w:type="spellStart"/>
      <w:r w:rsidRPr="00050C90">
        <w:t>AoA</w:t>
      </w:r>
      <w:proofErr w:type="spellEnd"/>
      <w:r w:rsidRPr="00050C90">
        <w:t xml:space="preserve">) of Tata Sons were </w:t>
      </w:r>
      <w:proofErr w:type="gramStart"/>
      <w:r w:rsidRPr="00050C90">
        <w:t>amended  after</w:t>
      </w:r>
      <w:proofErr w:type="gramEnd"/>
      <w:r w:rsidRPr="00050C90">
        <w:t xml:space="preserve"> Mistry's appointment to give the Tata Trusts' nominees enhanced affirmative voting rights on key decisions. This structural element would become central to the conflict</w:t>
      </w:r>
      <w:r w:rsidR="00050C90" w:rsidRPr="00050C90">
        <w:rPr>
          <w:sz w:val="20"/>
          <w:vertAlign w:val="superscript"/>
        </w:rPr>
        <w:t>.</w:t>
      </w:r>
      <w:r w:rsidR="00050C90" w:rsidRPr="00050C90">
        <w:rPr>
          <w:rStyle w:val="FootnoteReference"/>
          <w:sz w:val="20"/>
        </w:rPr>
        <w:footnoteReference w:id="3"/>
      </w:r>
    </w:p>
    <w:p w14:paraId="227B2FD2" w14:textId="77777777" w:rsidR="00315B53" w:rsidRDefault="00315B53" w:rsidP="00050C90">
      <w:pPr>
        <w:pStyle w:val="Style2"/>
      </w:pPr>
      <w:r w:rsidRPr="00315B53">
        <w:rPr>
          <w:rStyle w:val="Style2Char"/>
        </w:rPr>
        <w:t>Cyrus Mistry</w:t>
      </w:r>
      <w:r w:rsidR="00050C90">
        <w:rPr>
          <w:rStyle w:val="Style2Char"/>
        </w:rPr>
        <w:t xml:space="preserve"> and the </w:t>
      </w:r>
      <w:r w:rsidR="00050C90" w:rsidRPr="00050C90">
        <w:t>Shapoorji Pallonji (SP) Group</w:t>
      </w:r>
    </w:p>
    <w:p w14:paraId="6AE6631A" w14:textId="77777777" w:rsidR="00050C90" w:rsidRDefault="00050C90" w:rsidP="00050C90">
      <w:pPr>
        <w:pStyle w:val="conflictbody"/>
      </w:pPr>
      <w:r>
        <w:t>The Shapoorji Pallonji Group, founded in 1865, is one of India's oldest and largest construction and engineering conglomerates. In the 1930s, Cyrus Mistry's grandfather first acquired shares in Tata Sons</w:t>
      </w:r>
      <w:r w:rsidR="000823BD">
        <w:t xml:space="preserve">, </w:t>
      </w:r>
      <w:r>
        <w:t>an unusual investment by one powerful Parsi business family in another</w:t>
      </w:r>
      <w:r w:rsidR="000823BD">
        <w:rPr>
          <w:rStyle w:val="FootnoteReference"/>
        </w:rPr>
        <w:footnoteReference w:id="4"/>
      </w:r>
      <w:r>
        <w:t>. By the mid-1990s, after a rights issue, the SP Group's stake grew to 18.37%</w:t>
      </w:r>
      <w:r w:rsidR="000823BD">
        <w:t xml:space="preserve">, </w:t>
      </w:r>
      <w:r>
        <w:t>the single largest individual non-Trust shareholding in Tata Sons.</w:t>
      </w:r>
      <w:r w:rsidR="000823BD">
        <w:rPr>
          <w:rStyle w:val="FootnoteReference"/>
        </w:rPr>
        <w:footnoteReference w:id="5"/>
      </w:r>
    </w:p>
    <w:p w14:paraId="549525CF" w14:textId="04ABF5A2" w:rsidR="000823BD" w:rsidRDefault="000823BD" w:rsidP="000823BD">
      <w:pPr>
        <w:pStyle w:val="conflictbody"/>
      </w:pPr>
      <w:r>
        <w:t xml:space="preserve">Cyrus Pallonji Mistry was educated at Imperial College London and London Business School. </w:t>
      </w:r>
      <w:r w:rsidR="00F96C5A">
        <w:t xml:space="preserve">He became Executive Chairman in December 2012, only the second non-Tata to lead the group in its 150-year history, and the first since Sir </w:t>
      </w:r>
      <w:proofErr w:type="spellStart"/>
      <w:r w:rsidR="00F96C5A">
        <w:t>Nowroji</w:t>
      </w:r>
      <w:proofErr w:type="spellEnd"/>
      <w:r w:rsidR="00F96C5A">
        <w:t xml:space="preserve"> </w:t>
      </w:r>
      <w:proofErr w:type="spellStart"/>
      <w:r w:rsidR="00F96C5A">
        <w:t>Saklatvala's</w:t>
      </w:r>
      <w:proofErr w:type="spellEnd"/>
      <w:r w:rsidR="00F96C5A">
        <w:t xml:space="preserve"> chairmanship from 1932 to 1938.</w:t>
      </w:r>
      <w:r w:rsidR="00F96C5A">
        <w:t xml:space="preserve"> </w:t>
      </w:r>
      <w:r>
        <w:t>His approach was analytical and data-driven; his instinct was to look at a balance sheet and ask what the numbers actually meant. This made him, in certain ways, exactly the kind of leader a sometimes financially undisciplined conglomerate needed. It also made him temperamentally almost perfectly incompatible with an institution that had always run on relationships and narrative.</w:t>
      </w:r>
      <w:r w:rsidR="00AF300E" w:rsidRPr="00AF300E">
        <w:rPr>
          <w:rFonts w:eastAsia="Times New Roman" w:cs="Times New Roman"/>
          <w:szCs w:val="24"/>
        </w:rPr>
        <w:t xml:space="preserve"> </w:t>
      </w:r>
    </w:p>
    <w:p w14:paraId="78D867A3" w14:textId="77777777" w:rsidR="000823BD" w:rsidRDefault="000823BD" w:rsidP="000823BD">
      <w:pPr>
        <w:pStyle w:val="conflictbody"/>
      </w:pPr>
      <w:r>
        <w:t>There is something else worth noting: Cyrus’s sister Aloo is married to Noel Tata, Ratan’s half-brother.</w:t>
      </w:r>
      <w:r>
        <w:rPr>
          <w:rStyle w:val="FootnoteReference"/>
        </w:rPr>
        <w:footnoteReference w:id="6"/>
      </w:r>
      <w:r>
        <w:t xml:space="preserve"> The two families were, quite literally, related. This personal connection — which should have been the most powerful conflict-resolution resource available to both sides — was </w:t>
      </w:r>
      <w:r w:rsidRPr="00AF300E">
        <w:t xml:space="preserve">never used as one. It sits in the history of this case as a connector that no one </w:t>
      </w:r>
      <w:r w:rsidR="00AF300E">
        <w:t>dared to</w:t>
      </w:r>
      <w:r w:rsidRPr="00AF300E">
        <w:t xml:space="preserve"> activate.</w:t>
      </w:r>
    </w:p>
    <w:p w14:paraId="210CD892" w14:textId="27B77B06" w:rsidR="00AF300E" w:rsidRPr="00AF300E" w:rsidRDefault="00F96C5A" w:rsidP="00AF300E">
      <w:pPr>
        <w:pStyle w:val="Style2"/>
      </w:pPr>
      <w:r>
        <w:lastRenderedPageBreak/>
        <w:t xml:space="preserve">Other </w:t>
      </w:r>
      <w:r w:rsidR="00AF300E" w:rsidRPr="00AF300E">
        <w:t>Parties at a glance.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400"/>
        <w:gridCol w:w="2600"/>
        <w:gridCol w:w="260"/>
      </w:tblGrid>
      <w:tr w:rsidR="00AF300E" w14:paraId="4811DDE9" w14:textId="77777777" w:rsidTr="00AF300E">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4DD125D" w14:textId="77777777" w:rsidR="00AF300E" w:rsidRDefault="00AF300E" w:rsidP="00962036">
            <w:r>
              <w:rPr>
                <w:rFonts w:ascii="Arial" w:eastAsia="Arial" w:hAnsi="Arial" w:cs="Arial"/>
                <w:b/>
                <w:bCs/>
                <w:color w:val="FFFFFF"/>
                <w:sz w:val="20"/>
                <w:szCs w:val="20"/>
              </w:rPr>
              <w:t>Party</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0162B8A" w14:textId="77777777" w:rsidR="00AF300E" w:rsidRDefault="00AF300E" w:rsidP="00962036">
            <w:r>
              <w:rPr>
                <w:rFonts w:ascii="Arial" w:eastAsia="Arial" w:hAnsi="Arial" w:cs="Arial"/>
                <w:b/>
                <w:bCs/>
                <w:color w:val="FFFFFF"/>
                <w:sz w:val="20"/>
                <w:szCs w:val="20"/>
              </w:rPr>
              <w:t>Structural Role</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D9117FC" w14:textId="77777777" w:rsidR="00AF300E" w:rsidRDefault="00AF300E" w:rsidP="00962036">
            <w:r>
              <w:rPr>
                <w:rFonts w:ascii="Arial" w:eastAsia="Arial" w:hAnsi="Arial" w:cs="Arial"/>
                <w:b/>
                <w:bCs/>
                <w:color w:val="FFFFFF"/>
                <w:sz w:val="20"/>
                <w:szCs w:val="20"/>
              </w:rPr>
              <w:t>Core Interests</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25209FF" w14:textId="77777777" w:rsidR="00AF300E" w:rsidRDefault="00AF300E" w:rsidP="00962036">
            <w:r>
              <w:rPr>
                <w:rFonts w:ascii="Arial" w:eastAsia="Arial" w:hAnsi="Arial" w:cs="Arial"/>
                <w:b/>
                <w:bCs/>
                <w:color w:val="FFFFFF"/>
                <w:sz w:val="20"/>
                <w:szCs w:val="20"/>
              </w:rPr>
              <w:t>Stated Position</w:t>
            </w:r>
          </w:p>
        </w:tc>
        <w:tc>
          <w:tcPr>
            <w:tcW w:w="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056413F" w14:textId="77777777" w:rsidR="00AF300E" w:rsidRDefault="00AF300E" w:rsidP="00962036"/>
        </w:tc>
      </w:tr>
      <w:tr w:rsidR="00AF300E" w14:paraId="6F7E817D" w14:textId="77777777" w:rsidTr="00AF300E">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868EE3" w14:textId="77777777" w:rsidR="00AF300E" w:rsidRDefault="00AF300E" w:rsidP="00962036">
            <w:r>
              <w:rPr>
                <w:rFonts w:ascii="Arial" w:eastAsia="Arial" w:hAnsi="Arial" w:cs="Arial"/>
                <w:sz w:val="20"/>
                <w:szCs w:val="20"/>
              </w:rPr>
              <w:t>Independent Directors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248D54" w14:textId="77777777" w:rsidR="00AF300E" w:rsidRDefault="00AF300E" w:rsidP="00962036">
            <w:r>
              <w:rPr>
                <w:rFonts w:ascii="Arial" w:eastAsia="Arial" w:hAnsi="Arial" w:cs="Arial"/>
                <w:sz w:val="20"/>
                <w:szCs w:val="20"/>
              </w:rPr>
              <w:t>Board members across Tata companies; nominally independent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4EBACF" w14:textId="77777777" w:rsidR="00AF300E" w:rsidRDefault="00AF300E" w:rsidP="00962036">
            <w:r>
              <w:rPr>
                <w:rFonts w:ascii="Arial" w:eastAsia="Arial" w:hAnsi="Arial" w:cs="Arial"/>
                <w:sz w:val="20"/>
                <w:szCs w:val="20"/>
              </w:rPr>
              <w:t>Protect company and all shareholders; maintain reputational standing</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8619B98" w14:textId="77777777" w:rsidR="00AF300E" w:rsidRDefault="00AF300E" w:rsidP="00962036">
            <w:r>
              <w:rPr>
                <w:rFonts w:ascii="Arial" w:eastAsia="Arial" w:hAnsi="Arial" w:cs="Arial"/>
                <w:sz w:val="20"/>
                <w:szCs w:val="20"/>
              </w:rPr>
              <w:t>Appeared neutral; most ultimately sided with Tata majority</w:t>
            </w:r>
          </w:p>
        </w:tc>
        <w:tc>
          <w:tcPr>
            <w:tcW w:w="2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60" w:type="dxa"/>
              <w:bottom w:w="80" w:type="dxa"/>
              <w:right w:w="60" w:type="dxa"/>
            </w:tcMar>
          </w:tcPr>
          <w:p w14:paraId="039B14ED" w14:textId="77777777" w:rsidR="00AF300E" w:rsidRDefault="00AF300E" w:rsidP="00962036"/>
        </w:tc>
      </w:tr>
      <w:tr w:rsidR="00AF300E" w14:paraId="2CFBAD2C" w14:textId="77777777" w:rsidTr="00AF300E">
        <w:tc>
          <w:tcPr>
            <w:tcW w:w="1800" w:type="dxa"/>
            <w:tcBorders>
              <w:top w:val="single" w:sz="1" w:space="0" w:color="BFBFBF"/>
              <w:left w:val="single" w:sz="1" w:space="0" w:color="BFBFBF"/>
              <w:bottom w:val="single" w:sz="1" w:space="0" w:color="BFBFBF"/>
              <w:right w:val="single" w:sz="1" w:space="0" w:color="BFBFBF"/>
            </w:tcBorders>
            <w:shd w:val="clear" w:color="auto" w:fill="E2F0D9"/>
            <w:tcMar>
              <w:top w:w="80" w:type="dxa"/>
              <w:left w:w="120" w:type="dxa"/>
              <w:bottom w:w="80" w:type="dxa"/>
              <w:right w:w="120" w:type="dxa"/>
            </w:tcMar>
          </w:tcPr>
          <w:p w14:paraId="633A9DDB" w14:textId="77777777" w:rsidR="00AF300E" w:rsidRDefault="00AF300E" w:rsidP="00962036">
            <w:r>
              <w:rPr>
                <w:rFonts w:ascii="Arial" w:eastAsia="Arial" w:hAnsi="Arial" w:cs="Arial"/>
                <w:sz w:val="20"/>
                <w:szCs w:val="20"/>
              </w:rPr>
              <w:t>Minority Shareholders</w:t>
            </w:r>
          </w:p>
        </w:tc>
        <w:tc>
          <w:tcPr>
            <w:tcW w:w="2200" w:type="dxa"/>
            <w:tcBorders>
              <w:top w:val="single" w:sz="1" w:space="0" w:color="BFBFBF"/>
              <w:left w:val="single" w:sz="1" w:space="0" w:color="BFBFBF"/>
              <w:bottom w:val="single" w:sz="1" w:space="0" w:color="BFBFBF"/>
              <w:right w:val="single" w:sz="1" w:space="0" w:color="BFBFBF"/>
            </w:tcBorders>
            <w:shd w:val="clear" w:color="auto" w:fill="E2F0D9"/>
            <w:tcMar>
              <w:top w:w="80" w:type="dxa"/>
              <w:left w:w="120" w:type="dxa"/>
              <w:bottom w:w="80" w:type="dxa"/>
              <w:right w:w="120" w:type="dxa"/>
            </w:tcMar>
          </w:tcPr>
          <w:p w14:paraId="5AC6C7BA" w14:textId="77777777" w:rsidR="00AF300E" w:rsidRDefault="00AF300E" w:rsidP="00962036">
            <w:r>
              <w:rPr>
                <w:rFonts w:ascii="Arial" w:eastAsia="Arial" w:hAnsi="Arial" w:cs="Arial"/>
                <w:sz w:val="20"/>
                <w:szCs w:val="20"/>
              </w:rPr>
              <w:t>Public shareholders in listed Tata companies (TCS, Tata Steel, Tata Motors etc.)</w:t>
            </w:r>
          </w:p>
        </w:tc>
        <w:tc>
          <w:tcPr>
            <w:tcW w:w="2400" w:type="dxa"/>
            <w:tcBorders>
              <w:top w:val="single" w:sz="1" w:space="0" w:color="BFBFBF"/>
              <w:left w:val="single" w:sz="1" w:space="0" w:color="BFBFBF"/>
              <w:bottom w:val="single" w:sz="1" w:space="0" w:color="BFBFBF"/>
              <w:right w:val="single" w:sz="1" w:space="0" w:color="BFBFBF"/>
            </w:tcBorders>
            <w:shd w:val="clear" w:color="auto" w:fill="E2F0D9"/>
            <w:tcMar>
              <w:top w:w="80" w:type="dxa"/>
              <w:left w:w="120" w:type="dxa"/>
              <w:bottom w:w="80" w:type="dxa"/>
              <w:right w:w="120" w:type="dxa"/>
            </w:tcMar>
          </w:tcPr>
          <w:p w14:paraId="16E91D5D" w14:textId="77777777" w:rsidR="00AF300E" w:rsidRDefault="00AF300E" w:rsidP="00962036">
            <w:r>
              <w:rPr>
                <w:rFonts w:ascii="Arial" w:eastAsia="Arial" w:hAnsi="Arial" w:cs="Arial"/>
                <w:sz w:val="20"/>
                <w:szCs w:val="20"/>
              </w:rPr>
              <w:t>Stability, value creation, transparent governance</w:t>
            </w:r>
          </w:p>
        </w:tc>
        <w:tc>
          <w:tcPr>
            <w:tcW w:w="2600" w:type="dxa"/>
            <w:tcBorders>
              <w:top w:val="single" w:sz="1" w:space="0" w:color="BFBFBF"/>
              <w:left w:val="single" w:sz="1" w:space="0" w:color="BFBFBF"/>
              <w:bottom w:val="single" w:sz="1" w:space="0" w:color="BFBFBF"/>
              <w:right w:val="single" w:sz="1" w:space="0" w:color="BFBFBF"/>
            </w:tcBorders>
            <w:shd w:val="clear" w:color="auto" w:fill="E2F0D9"/>
            <w:tcMar>
              <w:top w:w="80" w:type="dxa"/>
              <w:left w:w="120" w:type="dxa"/>
              <w:bottom w:w="80" w:type="dxa"/>
              <w:right w:w="120" w:type="dxa"/>
            </w:tcMar>
          </w:tcPr>
          <w:p w14:paraId="081836C1" w14:textId="77777777" w:rsidR="00AF300E" w:rsidRDefault="00AF300E" w:rsidP="00962036">
            <w:r>
              <w:rPr>
                <w:rFonts w:ascii="Arial" w:eastAsia="Arial" w:hAnsi="Arial" w:cs="Arial"/>
                <w:sz w:val="20"/>
                <w:szCs w:val="20"/>
              </w:rPr>
              <w:t>Spectators; benefited from the eventual Chandrasekaran era market rally</w:t>
            </w:r>
          </w:p>
        </w:tc>
        <w:tc>
          <w:tcPr>
            <w:tcW w:w="260" w:type="dxa"/>
            <w:tcBorders>
              <w:top w:val="single" w:sz="1" w:space="0" w:color="BFBFBF"/>
              <w:left w:val="single" w:sz="1" w:space="0" w:color="BFBFBF"/>
              <w:bottom w:val="single" w:sz="1" w:space="0" w:color="BFBFBF"/>
              <w:right w:val="single" w:sz="1" w:space="0" w:color="BFBFBF"/>
            </w:tcBorders>
            <w:shd w:val="clear" w:color="auto" w:fill="E2F0D9"/>
            <w:tcMar>
              <w:top w:w="80" w:type="dxa"/>
              <w:left w:w="60" w:type="dxa"/>
              <w:bottom w:w="80" w:type="dxa"/>
              <w:right w:w="60" w:type="dxa"/>
            </w:tcMar>
          </w:tcPr>
          <w:p w14:paraId="23F945E8" w14:textId="77777777" w:rsidR="00AF300E" w:rsidRDefault="00AF300E" w:rsidP="00962036"/>
        </w:tc>
      </w:tr>
      <w:tr w:rsidR="00AF300E" w14:paraId="3DAFCE42" w14:textId="77777777" w:rsidTr="00AF300E">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2F4D4C" w14:textId="77777777" w:rsidR="00AF300E" w:rsidRDefault="00AF300E" w:rsidP="00962036">
            <w:r>
              <w:rPr>
                <w:rFonts w:ascii="Arial" w:eastAsia="Arial" w:hAnsi="Arial" w:cs="Arial"/>
                <w:sz w:val="20"/>
                <w:szCs w:val="20"/>
              </w:rPr>
              <w:t>Regulators (SEBI / MCA / RBI)</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B52E0F" w14:textId="77777777" w:rsidR="00AF300E" w:rsidRDefault="00AF300E" w:rsidP="00962036">
            <w:r>
              <w:rPr>
                <w:rFonts w:ascii="Arial" w:eastAsia="Arial" w:hAnsi="Arial" w:cs="Arial"/>
                <w:sz w:val="20"/>
                <w:szCs w:val="20"/>
              </w:rPr>
              <w:t>Statutory oversight; framed legal test cases</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B4B9EF" w14:textId="77777777" w:rsidR="00AF300E" w:rsidRDefault="00AF300E" w:rsidP="00962036">
            <w:r>
              <w:rPr>
                <w:rFonts w:ascii="Arial" w:eastAsia="Arial" w:hAnsi="Arial" w:cs="Arial"/>
                <w:sz w:val="20"/>
                <w:szCs w:val="20"/>
              </w:rPr>
              <w:t>Uphold corporate governance norms; protect investor interests</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4DE069" w14:textId="77777777" w:rsidR="00AF300E" w:rsidRDefault="00AF300E" w:rsidP="00962036">
            <w:r>
              <w:rPr>
                <w:rFonts w:ascii="Arial" w:eastAsia="Arial" w:hAnsi="Arial" w:cs="Arial"/>
                <w:sz w:val="20"/>
                <w:szCs w:val="20"/>
              </w:rPr>
              <w:t>Watched and largely did not intervene; RBI later forced listing question</w:t>
            </w:r>
          </w:p>
        </w:tc>
        <w:tc>
          <w:tcPr>
            <w:tcW w:w="2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60" w:type="dxa"/>
              <w:bottom w:w="80" w:type="dxa"/>
              <w:right w:w="60" w:type="dxa"/>
            </w:tcMar>
          </w:tcPr>
          <w:p w14:paraId="62A70D22" w14:textId="77777777" w:rsidR="00AF300E" w:rsidRDefault="00AF300E" w:rsidP="00962036"/>
        </w:tc>
      </w:tr>
    </w:tbl>
    <w:p w14:paraId="3D6DB82D" w14:textId="77777777" w:rsidR="000823BD" w:rsidRDefault="000823BD" w:rsidP="00050C90">
      <w:pPr>
        <w:pStyle w:val="conflictbody"/>
      </w:pPr>
    </w:p>
    <w:p w14:paraId="353F7A74" w14:textId="34086FDE" w:rsidR="00050C90" w:rsidRPr="001373BC" w:rsidRDefault="00AF300E" w:rsidP="00AF300E">
      <w:pPr>
        <w:pStyle w:val="Style1"/>
        <w:rPr>
          <w:rStyle w:val="Style2Char"/>
          <w:sz w:val="32"/>
        </w:rPr>
      </w:pPr>
      <w:r w:rsidRPr="001373BC">
        <w:rPr>
          <w:rStyle w:val="Style2Char"/>
          <w:sz w:val="32"/>
        </w:rPr>
        <w:t>The Root of the Conflict.</w:t>
      </w:r>
    </w:p>
    <w:p w14:paraId="5F498164" w14:textId="1EB07B31" w:rsidR="00AF300E" w:rsidRDefault="00AF300E" w:rsidP="00AF300E">
      <w:pPr>
        <w:pStyle w:val="Style2"/>
      </w:pPr>
      <w:r w:rsidRPr="00AF300E">
        <w:t xml:space="preserve">The Structural Set-Up for Conflict </w:t>
      </w:r>
    </w:p>
    <w:p w14:paraId="21F5BD96" w14:textId="7E577B00" w:rsidR="00B518E9" w:rsidRPr="00AF300E" w:rsidRDefault="001373BC" w:rsidP="00AF300E">
      <w:pPr>
        <w:pStyle w:val="conflictbody"/>
      </w:pPr>
      <w:r>
        <w:rPr>
          <w:rFonts w:ascii="Georgia" w:eastAsia="Georgia" w:hAnsi="Georgia" w:cs="Georgia"/>
          <w:sz w:val="22"/>
        </w:rPr>
        <w:t>The most common framing — ‘personality clash,’ ‘management style differences’ — is accurate but insufficient. These were symptoms. The root was structural, planted not in 2016 but in 2012, the moment Mistry was appointed</w:t>
      </w:r>
      <w:r>
        <w:t xml:space="preserve">. </w:t>
      </w:r>
      <w:r w:rsidR="00AF300E" w:rsidRPr="00AF300E">
        <w:t xml:space="preserve">Articles of Association of Tata Sons were amended to enhance the affirmative voting powers of Tata Trust nominees on the board. This meant that even as Executive Chairman, Mistry could be </w:t>
      </w:r>
      <w:r w:rsidR="00B518E9">
        <w:t>outvoted</w:t>
      </w:r>
      <w:r w:rsidR="00AF300E" w:rsidRPr="00AF300E">
        <w:t xml:space="preserve"> or blocked on strategic decisions by the Trust-nominated directors</w:t>
      </w:r>
      <w:r w:rsidR="00671F22">
        <w:rPr>
          <w:rStyle w:val="FootnoteReference"/>
        </w:rPr>
        <w:footnoteReference w:id="7"/>
      </w:r>
      <w:r w:rsidR="00AF300E" w:rsidRPr="00AF300E">
        <w:t xml:space="preserve">. In </w:t>
      </w:r>
      <w:r w:rsidR="00B518E9">
        <w:t xml:space="preserve">“Getting to </w:t>
      </w:r>
      <w:r>
        <w:t>Yes</w:t>
      </w:r>
      <w:r w:rsidR="00B518E9">
        <w:t xml:space="preserve">” </w:t>
      </w:r>
      <w:r w:rsidR="00AF300E" w:rsidRPr="00AF300E">
        <w:t>terms, the BATNA (Best Alternative to Negotiated Agreement) for the Tata Trusts was always disproportionately strong</w:t>
      </w:r>
      <w:r>
        <w:t>,</w:t>
      </w:r>
      <w:r w:rsidR="00B518E9">
        <w:t xml:space="preserve"> like </w:t>
      </w:r>
      <w:r w:rsidR="00AF300E" w:rsidRPr="00AF300E">
        <w:t xml:space="preserve">they could block, remove, or override Mistry at any point, legally, without requiring his consent. </w:t>
      </w:r>
    </w:p>
    <w:p w14:paraId="6B76D850" w14:textId="5A51A3B0" w:rsidR="00AF300E" w:rsidRDefault="001373BC" w:rsidP="00AF300E">
      <w:pPr>
        <w:pStyle w:val="Style2"/>
      </w:pPr>
      <w:r>
        <w:t>The Ambiguity of Succession</w:t>
      </w:r>
    </w:p>
    <w:p w14:paraId="12372AA2" w14:textId="3D169434" w:rsidR="001373BC" w:rsidRPr="00F73E9D" w:rsidRDefault="001373BC" w:rsidP="00F73E9D">
      <w:pPr>
        <w:pStyle w:val="conflictbody"/>
      </w:pPr>
      <w:r w:rsidRPr="00F73E9D">
        <w:t xml:space="preserve">When Ratan Tata handed the chairmanship of Tata Sons to Mistry in 2012, he did not replicate what J.R.D. Tata had done for him, i.e., full transfer of authority, including control of the Trusts. </w:t>
      </w:r>
      <w:r w:rsidRPr="00F73E9D">
        <w:lastRenderedPageBreak/>
        <w:t xml:space="preserve">Instead, Ratan retained Trust chairmanship and the Trust's nominees retained veto powers on the Tata Sons board through Article 121 of the </w:t>
      </w:r>
      <w:proofErr w:type="spellStart"/>
      <w:r w:rsidRPr="00F73E9D">
        <w:t>AoA</w:t>
      </w:r>
      <w:proofErr w:type="spellEnd"/>
      <w:r w:rsidRPr="00F73E9D">
        <w:t>. Mistry was given the title of Executive Chairman without the corresponding power.</w:t>
      </w:r>
    </w:p>
    <w:p w14:paraId="42F6385F" w14:textId="50D03055" w:rsidR="001373BC" w:rsidRDefault="001373BC" w:rsidP="001373BC">
      <w:pPr>
        <w:pStyle w:val="conflictbody"/>
      </w:pPr>
      <w:r w:rsidRPr="00F73E9D">
        <w:t xml:space="preserve">Fisher &amp; </w:t>
      </w:r>
      <w:proofErr w:type="spellStart"/>
      <w:r w:rsidRPr="00F73E9D">
        <w:t>Ury</w:t>
      </w:r>
      <w:proofErr w:type="spellEnd"/>
      <w:r w:rsidRPr="00F73E9D">
        <w:t xml:space="preserve"> specifically warn that positional bargaining — where one side 'wins' structurally without addressing the other side's interests — creates resentment and eventual conflict</w:t>
      </w:r>
      <w:r w:rsidRPr="00F73E9D">
        <w:rPr>
          <w:rStyle w:val="FootnoteReference"/>
          <w:vertAlign w:val="baseline"/>
        </w:rPr>
        <w:footnoteReference w:id="8"/>
      </w:r>
      <w:r w:rsidRPr="00F73E9D">
        <w:t>. The 2012 appointment was precisely this: Tata Sons 'won' a smooth public succession; Mistry 'won' a prestigious title. Neither party had an honest conversation about the actual distribution of authority.</w:t>
      </w:r>
    </w:p>
    <w:p w14:paraId="7E8D5B3E" w14:textId="6EC02D2D" w:rsidR="00F73E9D" w:rsidRDefault="00F73E9D" w:rsidP="00F73E9D">
      <w:pPr>
        <w:pStyle w:val="Style2"/>
      </w:pPr>
      <w:r>
        <w:rPr>
          <w:rStyle w:val="Style2Char"/>
        </w:rPr>
        <w:t>Aggravators to the underlying conflict</w:t>
      </w:r>
    </w:p>
    <w:p w14:paraId="7262850C" w14:textId="00F729AA" w:rsidR="00F73E9D" w:rsidRDefault="00F73E9D" w:rsidP="00F73E9D">
      <w:pPr>
        <w:pStyle w:val="conflictbody"/>
        <w:numPr>
          <w:ilvl w:val="0"/>
          <w:numId w:val="4"/>
        </w:numPr>
      </w:pPr>
      <w:r>
        <w:t>The Legacy vs. Returns Divide</w:t>
      </w:r>
    </w:p>
    <w:p w14:paraId="56F45362" w14:textId="4391956F" w:rsidR="00F73E9D" w:rsidRPr="00671F22" w:rsidRDefault="00F73E9D" w:rsidP="00671F22">
      <w:pPr>
        <w:pStyle w:val="conflictbody"/>
      </w:pPr>
      <w:r w:rsidRPr="00671F22">
        <w:t xml:space="preserve">Ratan Tata had built the group through visionary, sometimes financially irrational bets like the Nano (India's people's car), Corus (Indian steel in Britain), Jaguar Land Rover (emotional prestige buy). These were not purely financial decisions; they were identity statements. Mistry, arriving with an engineer's and MBA's mindset, looked at the balance sheet and saw the Nano as a sinkhole, Corus as a liability, and the DoCoMo settlement as a contractual obligation, not a question of </w:t>
      </w:r>
      <w:proofErr w:type="spellStart"/>
      <w:r w:rsidRPr="00671F22">
        <w:t>honour</w:t>
      </w:r>
      <w:proofErr w:type="spellEnd"/>
      <w:r w:rsidRPr="00671F22">
        <w:t>. These were not compatible worldviews.</w:t>
      </w:r>
      <w:r w:rsidR="00671F22" w:rsidRPr="00671F22">
        <w:t xml:space="preserve"> </w:t>
      </w:r>
    </w:p>
    <w:p w14:paraId="4AF7C239" w14:textId="11004C2A" w:rsidR="00F73E9D" w:rsidRPr="00671F22" w:rsidRDefault="00F73E9D" w:rsidP="00671F22">
      <w:pPr>
        <w:pStyle w:val="conflictbody"/>
      </w:pPr>
      <w:r w:rsidRPr="00671F22">
        <w:t>Mistry's approach to restructuring, which included publicly calling out legacy businesses as loss-making and recommending exits, was perceived by Ratan Tata and the Tata Trusts as disloyalty and a betrayal of the group's ethos. Internally, communication between Mistry and the board had deteriorated to the point where trust, the very foundation of the Tata brand, had collapsed entirely</w:t>
      </w:r>
    </w:p>
    <w:p w14:paraId="53769ABC" w14:textId="1E7E12DD" w:rsidR="00F73E9D" w:rsidRDefault="00F73E9D" w:rsidP="00F73E9D">
      <w:pPr>
        <w:pStyle w:val="conflictbody"/>
        <w:numPr>
          <w:ilvl w:val="0"/>
          <w:numId w:val="4"/>
        </w:numPr>
      </w:pPr>
      <w:r w:rsidRPr="00F73E9D">
        <w:t>The Failure of Board Governance</w:t>
      </w:r>
    </w:p>
    <w:p w14:paraId="1EE0AE21" w14:textId="4CB5FA95" w:rsidR="00F73E9D" w:rsidRDefault="00F73E9D" w:rsidP="00671F22">
      <w:pPr>
        <w:pStyle w:val="conflictbody"/>
      </w:pPr>
      <w:r w:rsidRPr="00671F22">
        <w:t>The IMD Business School's analysis of the leaked letter observed that the Tata Sons board had systematically failed all three of a director's</w:t>
      </w:r>
      <w:r w:rsidRPr="00F73E9D">
        <w:t xml:space="preserve"> core duties </w:t>
      </w:r>
      <w:r w:rsidR="00A471B3">
        <w:t xml:space="preserve">which are </w:t>
      </w:r>
      <w:r w:rsidRPr="00F73E9D">
        <w:t>the duty of care, the duty of compliance, and the duty of loyalty</w:t>
      </w:r>
      <w:r w:rsidR="00A471B3">
        <w:t>,</w:t>
      </w:r>
      <w:r w:rsidRPr="00F73E9D">
        <w:t xml:space="preserve"> in its handling of the removal. Crucially, just four months before his removal, the Nomination and Remuneration Committee had formally commended </w:t>
      </w:r>
      <w:r w:rsidRPr="00F73E9D">
        <w:lastRenderedPageBreak/>
        <w:t>Mistry's performance and recommended a raise. Two of the four directors who voted to remove him were on that very committee.</w:t>
      </w:r>
    </w:p>
    <w:p w14:paraId="6D1B5BAE" w14:textId="04D53612" w:rsidR="00F73E9D" w:rsidRPr="00671F22" w:rsidRDefault="00F73E9D" w:rsidP="00671F22">
      <w:pPr>
        <w:pStyle w:val="conflictbody"/>
        <w:numPr>
          <w:ilvl w:val="0"/>
          <w:numId w:val="4"/>
        </w:numPr>
      </w:pPr>
      <w:r w:rsidRPr="00671F22">
        <w:t>The Absence of Any Private Dispute Mechanism</w:t>
      </w:r>
    </w:p>
    <w:p w14:paraId="1B60D09B" w14:textId="29E1B32F" w:rsidR="00671F22" w:rsidRDefault="00F73E9D" w:rsidP="00671F22">
      <w:pPr>
        <w:pStyle w:val="conflictbody"/>
      </w:pPr>
      <w:r w:rsidRPr="00671F22">
        <w:t xml:space="preserve">Fisher &amp; </w:t>
      </w:r>
      <w:proofErr w:type="spellStart"/>
      <w:r w:rsidRPr="00671F22">
        <w:t>Ury</w:t>
      </w:r>
      <w:proofErr w:type="spellEnd"/>
      <w:r w:rsidRPr="00671F22">
        <w:t xml:space="preserve"> </w:t>
      </w:r>
      <w:proofErr w:type="spellStart"/>
      <w:r w:rsidRPr="00671F22">
        <w:t>emphasise</w:t>
      </w:r>
      <w:proofErr w:type="spellEnd"/>
      <w:r w:rsidRPr="00671F22">
        <w:t xml:space="preserve"> the importance of having an independent </w:t>
      </w:r>
      <w:proofErr w:type="gramStart"/>
      <w:r w:rsidRPr="00671F22">
        <w:t>standard  a</w:t>
      </w:r>
      <w:proofErr w:type="gramEnd"/>
      <w:r w:rsidRPr="00671F22">
        <w:t xml:space="preserve"> 'fair criterion'  against which contested claims can be measured. At no point in the Tata-Mistry relationship was there a formal, agreed mechanism for raising and resolving governance disputes between the Executive Chairman and the Trusts. When tension escalated, there was no forum short of the NCLT to resort to. The result was that every frustration</w:t>
      </w:r>
      <w:r w:rsidR="00671F22">
        <w:t xml:space="preserve">, </w:t>
      </w:r>
      <w:r w:rsidRPr="00671F22">
        <w:t>whether over the Nano, DoCoMo, or the Welspun acquisition</w:t>
      </w:r>
      <w:r w:rsidR="001E1C3E">
        <w:t xml:space="preserve">, </w:t>
      </w:r>
      <w:r w:rsidRPr="00671F22">
        <w:t>accumulated without resolution until the pressure became explosive.</w:t>
      </w:r>
    </w:p>
    <w:p w14:paraId="617F1BF5" w14:textId="16051D82" w:rsidR="00F73E9D" w:rsidRDefault="00671F22" w:rsidP="00F73E9D">
      <w:pPr>
        <w:pStyle w:val="Style1"/>
      </w:pPr>
      <w:r>
        <w:t>Issues, Interests &amp; Positions</w:t>
      </w:r>
    </w:p>
    <w:p w14:paraId="7B0F921A" w14:textId="6766EA21" w:rsidR="00F96C5A" w:rsidRDefault="001E1C3E" w:rsidP="001E1C3E">
      <w:pPr>
        <w:pStyle w:val="conflictbody"/>
      </w:pPr>
      <w:r>
        <w:t xml:space="preserve">Fisher &amp; </w:t>
      </w:r>
      <w:proofErr w:type="spellStart"/>
      <w:r>
        <w:t>Ury</w:t>
      </w:r>
      <w:proofErr w:type="spellEnd"/>
      <w:r>
        <w:t xml:space="preserve"> make one of their most powerful contributions in distinguishing between positions (what a party says it wants) and interests (why it wants it). In this conflict, both sides argued their positions with extraordinary ferocity while almost completely failing to communicate their underlying interests — particularly in the public and legal phases of the dispute.</w:t>
      </w:r>
    </w:p>
    <w:p w14:paraId="7C4ADC11" w14:textId="77777777" w:rsidR="00F96C5A" w:rsidRDefault="00F96C5A" w:rsidP="001E1C3E">
      <w:pPr>
        <w:pStyle w:val="conflictbody"/>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7"/>
        <w:gridCol w:w="1991"/>
        <w:gridCol w:w="3146"/>
        <w:gridCol w:w="2816"/>
      </w:tblGrid>
      <w:tr w:rsidR="001E1C3E" w14:paraId="6F758C08" w14:textId="77777777" w:rsidTr="001E1C3E">
        <w:trPr>
          <w:tblHeader/>
        </w:trPr>
        <w:tc>
          <w:tcPr>
            <w:tcW w:w="1407" w:type="dxa"/>
            <w:tcBorders>
              <w:top w:val="single" w:sz="1" w:space="0" w:color="BFBFBF"/>
              <w:left w:val="single" w:sz="1" w:space="0" w:color="BFBFBF"/>
              <w:bottom w:val="single" w:sz="1" w:space="0" w:color="BFBFBF"/>
              <w:right w:val="single" w:sz="1" w:space="0" w:color="BFBFBF"/>
            </w:tcBorders>
            <w:shd w:val="clear" w:color="auto" w:fill="2E5FA3"/>
            <w:tcMar>
              <w:top w:w="80" w:type="dxa"/>
              <w:left w:w="120" w:type="dxa"/>
              <w:bottom w:w="80" w:type="dxa"/>
              <w:right w:w="120" w:type="dxa"/>
            </w:tcMar>
          </w:tcPr>
          <w:p w14:paraId="6E1043EA" w14:textId="77777777" w:rsidR="001E1C3E" w:rsidRPr="00CC48EF" w:rsidRDefault="001E1C3E" w:rsidP="00962036">
            <w:pPr>
              <w:rPr>
                <w:rFonts w:ascii="Times New Roman" w:hAnsi="Times New Roman" w:cs="Times New Roman"/>
              </w:rPr>
            </w:pPr>
            <w:r w:rsidRPr="00CC48EF">
              <w:rPr>
                <w:rFonts w:ascii="Times New Roman" w:eastAsia="Arial" w:hAnsi="Times New Roman" w:cs="Times New Roman"/>
                <w:b/>
                <w:bCs/>
                <w:color w:val="FFFFFF"/>
                <w:szCs w:val="20"/>
              </w:rPr>
              <w:t>Issue</w:t>
            </w:r>
          </w:p>
        </w:tc>
        <w:tc>
          <w:tcPr>
            <w:tcW w:w="1991" w:type="dxa"/>
            <w:tcBorders>
              <w:top w:val="single" w:sz="1" w:space="0" w:color="BFBFBF"/>
              <w:left w:val="single" w:sz="1" w:space="0" w:color="BFBFBF"/>
              <w:bottom w:val="single" w:sz="1" w:space="0" w:color="BFBFBF"/>
              <w:right w:val="single" w:sz="1" w:space="0" w:color="BFBFBF"/>
            </w:tcBorders>
            <w:shd w:val="clear" w:color="auto" w:fill="2E5FA3"/>
            <w:tcMar>
              <w:top w:w="80" w:type="dxa"/>
              <w:left w:w="120" w:type="dxa"/>
              <w:bottom w:w="80" w:type="dxa"/>
              <w:right w:w="120" w:type="dxa"/>
            </w:tcMar>
          </w:tcPr>
          <w:p w14:paraId="010A5D20" w14:textId="77777777" w:rsidR="001E1C3E" w:rsidRPr="00CC48EF" w:rsidRDefault="001E1C3E" w:rsidP="00962036">
            <w:pPr>
              <w:rPr>
                <w:rFonts w:ascii="Times New Roman" w:hAnsi="Times New Roman" w:cs="Times New Roman"/>
              </w:rPr>
            </w:pPr>
            <w:r w:rsidRPr="00CC48EF">
              <w:rPr>
                <w:rFonts w:ascii="Times New Roman" w:eastAsia="Arial" w:hAnsi="Times New Roman" w:cs="Times New Roman"/>
                <w:b/>
                <w:bCs/>
                <w:color w:val="FFFFFF"/>
                <w:szCs w:val="20"/>
              </w:rPr>
              <w:t>The Question at Stake</w:t>
            </w:r>
          </w:p>
        </w:tc>
        <w:tc>
          <w:tcPr>
            <w:tcW w:w="3146" w:type="dxa"/>
            <w:tcBorders>
              <w:top w:val="single" w:sz="1" w:space="0" w:color="BFBFBF"/>
              <w:left w:val="single" w:sz="1" w:space="0" w:color="BFBFBF"/>
              <w:bottom w:val="single" w:sz="1" w:space="0" w:color="BFBFBF"/>
              <w:right w:val="single" w:sz="1" w:space="0" w:color="BFBFBF"/>
            </w:tcBorders>
            <w:shd w:val="clear" w:color="auto" w:fill="2E5FA3"/>
            <w:tcMar>
              <w:top w:w="80" w:type="dxa"/>
              <w:left w:w="120" w:type="dxa"/>
              <w:bottom w:w="80" w:type="dxa"/>
              <w:right w:w="120" w:type="dxa"/>
            </w:tcMar>
          </w:tcPr>
          <w:p w14:paraId="05A34482" w14:textId="77777777" w:rsidR="001E1C3E" w:rsidRPr="00CC48EF" w:rsidRDefault="001E1C3E" w:rsidP="00962036">
            <w:pPr>
              <w:rPr>
                <w:rFonts w:ascii="Times New Roman" w:hAnsi="Times New Roman" w:cs="Times New Roman"/>
              </w:rPr>
            </w:pPr>
            <w:r w:rsidRPr="00CC48EF">
              <w:rPr>
                <w:rFonts w:ascii="Times New Roman" w:eastAsia="Arial" w:hAnsi="Times New Roman" w:cs="Times New Roman"/>
                <w:b/>
                <w:bCs/>
                <w:color w:val="FFFFFF"/>
                <w:szCs w:val="20"/>
              </w:rPr>
              <w:t>Underlying Interests</w:t>
            </w:r>
          </w:p>
        </w:tc>
        <w:tc>
          <w:tcPr>
            <w:tcW w:w="2816" w:type="dxa"/>
            <w:tcBorders>
              <w:top w:val="single" w:sz="1" w:space="0" w:color="BFBFBF"/>
              <w:left w:val="single" w:sz="1" w:space="0" w:color="BFBFBF"/>
              <w:bottom w:val="single" w:sz="1" w:space="0" w:color="BFBFBF"/>
              <w:right w:val="single" w:sz="1" w:space="0" w:color="BFBFBF"/>
            </w:tcBorders>
            <w:shd w:val="clear" w:color="auto" w:fill="2E5FA3"/>
            <w:tcMar>
              <w:top w:w="80" w:type="dxa"/>
              <w:left w:w="120" w:type="dxa"/>
              <w:bottom w:w="80" w:type="dxa"/>
              <w:right w:w="120" w:type="dxa"/>
            </w:tcMar>
          </w:tcPr>
          <w:p w14:paraId="6387E553" w14:textId="77777777" w:rsidR="001E1C3E" w:rsidRPr="00CC48EF" w:rsidRDefault="001E1C3E" w:rsidP="00962036">
            <w:pPr>
              <w:rPr>
                <w:rFonts w:ascii="Times New Roman" w:hAnsi="Times New Roman" w:cs="Times New Roman"/>
              </w:rPr>
            </w:pPr>
            <w:r w:rsidRPr="00CC48EF">
              <w:rPr>
                <w:rFonts w:ascii="Times New Roman" w:eastAsia="Arial" w:hAnsi="Times New Roman" w:cs="Times New Roman"/>
                <w:b/>
                <w:bCs/>
                <w:color w:val="FFFFFF"/>
                <w:szCs w:val="20"/>
              </w:rPr>
              <w:t>Stated Positions</w:t>
            </w:r>
          </w:p>
        </w:tc>
      </w:tr>
      <w:tr w:rsidR="001E1C3E" w14:paraId="651A4EF8" w14:textId="77777777" w:rsidTr="001E1C3E">
        <w:tc>
          <w:tcPr>
            <w:tcW w:w="1407"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0B89F88F" w14:textId="77777777" w:rsidR="001E1C3E" w:rsidRPr="00CC48EF" w:rsidRDefault="001E1C3E" w:rsidP="00962036">
            <w:pPr>
              <w:rPr>
                <w:rFonts w:ascii="Times New Roman" w:hAnsi="Times New Roman" w:cs="Times New Roman"/>
              </w:rPr>
            </w:pPr>
            <w:r w:rsidRPr="00CC48EF">
              <w:rPr>
                <w:rFonts w:ascii="Times New Roman" w:eastAsia="Arial" w:hAnsi="Times New Roman" w:cs="Times New Roman"/>
                <w:b/>
                <w:bCs/>
                <w:color w:val="1F3864"/>
                <w:szCs w:val="20"/>
              </w:rPr>
              <w:t>Leadership Authority</w:t>
            </w:r>
          </w:p>
        </w:tc>
        <w:tc>
          <w:tcPr>
            <w:tcW w:w="1991" w:type="dxa"/>
            <w:tcBorders>
              <w:top w:val="single" w:sz="1" w:space="0" w:color="BFBFBF"/>
              <w:left w:val="single" w:sz="1" w:space="0" w:color="BFBFBF"/>
              <w:bottom w:val="single" w:sz="1" w:space="0" w:color="BFBFBF"/>
              <w:right w:val="single" w:sz="1" w:space="0" w:color="BFBFBF"/>
            </w:tcBorders>
            <w:shd w:val="clear" w:color="auto" w:fill="F7FBFF"/>
            <w:tcMar>
              <w:top w:w="80" w:type="dxa"/>
              <w:left w:w="120" w:type="dxa"/>
              <w:bottom w:w="80" w:type="dxa"/>
              <w:right w:w="120" w:type="dxa"/>
            </w:tcMar>
          </w:tcPr>
          <w:p w14:paraId="47113DEC" w14:textId="77777777" w:rsidR="001E1C3E" w:rsidRPr="00CC48EF" w:rsidRDefault="001E1C3E" w:rsidP="00962036">
            <w:pPr>
              <w:rPr>
                <w:rFonts w:ascii="Times New Roman" w:hAnsi="Times New Roman" w:cs="Times New Roman"/>
              </w:rPr>
            </w:pPr>
            <w:r w:rsidRPr="00CC48EF">
              <w:rPr>
                <w:rFonts w:ascii="Times New Roman" w:eastAsia="Arial" w:hAnsi="Times New Roman" w:cs="Times New Roman"/>
                <w:i/>
                <w:iCs/>
                <w:szCs w:val="20"/>
              </w:rPr>
              <w:t>Who actually governs Tata Sons day-to-day?</w:t>
            </w:r>
          </w:p>
        </w:tc>
        <w:tc>
          <w:tcPr>
            <w:tcW w:w="3146" w:type="dxa"/>
            <w:tcBorders>
              <w:top w:val="single" w:sz="1" w:space="0" w:color="BFBFBF"/>
              <w:left w:val="single" w:sz="1" w:space="0" w:color="BFBFBF"/>
              <w:bottom w:val="single" w:sz="1" w:space="0" w:color="BFBFBF"/>
              <w:right w:val="single" w:sz="1" w:space="0" w:color="BFBFBF"/>
            </w:tcBorders>
            <w:shd w:val="clear" w:color="auto" w:fill="FFFDF0"/>
            <w:tcMar>
              <w:top w:w="80" w:type="dxa"/>
              <w:left w:w="120" w:type="dxa"/>
              <w:bottom w:w="80" w:type="dxa"/>
              <w:right w:w="120" w:type="dxa"/>
            </w:tcMar>
          </w:tcPr>
          <w:p w14:paraId="34577DB4" w14:textId="77777777" w:rsidR="001E1C3E" w:rsidRPr="00CC48EF" w:rsidRDefault="001E1C3E" w:rsidP="00962036">
            <w:pPr>
              <w:rPr>
                <w:rFonts w:ascii="Times New Roman" w:eastAsia="Arial" w:hAnsi="Times New Roman" w:cs="Times New Roman"/>
                <w:szCs w:val="20"/>
              </w:rPr>
            </w:pPr>
            <w:r w:rsidRPr="00CC48EF">
              <w:rPr>
                <w:rFonts w:ascii="Times New Roman" w:eastAsia="Arial" w:hAnsi="Times New Roman" w:cs="Times New Roman"/>
                <w:szCs w:val="20"/>
              </w:rPr>
              <w:t xml:space="preserve">Mistry: Undivided authority as Executive Chairman </w:t>
            </w:r>
          </w:p>
          <w:p w14:paraId="7B815482" w14:textId="7CF73FCC" w:rsidR="001E1C3E" w:rsidRPr="00CC48EF" w:rsidRDefault="001E1C3E" w:rsidP="00962036">
            <w:pPr>
              <w:rPr>
                <w:rFonts w:ascii="Times New Roman" w:hAnsi="Times New Roman" w:cs="Times New Roman"/>
              </w:rPr>
            </w:pPr>
            <w:r w:rsidRPr="00CC48EF">
              <w:rPr>
                <w:rFonts w:ascii="Times New Roman" w:eastAsia="Arial" w:hAnsi="Times New Roman" w:cs="Times New Roman"/>
                <w:szCs w:val="20"/>
              </w:rPr>
              <w:t xml:space="preserve">Tata Trusts: Retain veto on strategic decisions through </w:t>
            </w:r>
            <w:proofErr w:type="spellStart"/>
            <w:r w:rsidRPr="00CC48EF">
              <w:rPr>
                <w:rFonts w:ascii="Times New Roman" w:eastAsia="Arial" w:hAnsi="Times New Roman" w:cs="Times New Roman"/>
                <w:szCs w:val="20"/>
              </w:rPr>
              <w:t>AoA</w:t>
            </w:r>
            <w:proofErr w:type="spellEnd"/>
            <w:r w:rsidRPr="00CC48EF">
              <w:rPr>
                <w:rFonts w:ascii="Times New Roman" w:eastAsia="Arial" w:hAnsi="Times New Roman" w:cs="Times New Roman"/>
                <w:szCs w:val="20"/>
              </w:rPr>
              <w:t xml:space="preserve"> Article 121</w:t>
            </w:r>
          </w:p>
        </w:tc>
        <w:tc>
          <w:tcPr>
            <w:tcW w:w="281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9CEC4F" w14:textId="77777777" w:rsidR="001E1C3E" w:rsidRPr="00CC48EF" w:rsidRDefault="001E1C3E" w:rsidP="00962036">
            <w:pPr>
              <w:rPr>
                <w:rFonts w:ascii="Times New Roman" w:eastAsia="Arial" w:hAnsi="Times New Roman" w:cs="Times New Roman"/>
                <w:szCs w:val="20"/>
              </w:rPr>
            </w:pPr>
            <w:r w:rsidRPr="00CC48EF">
              <w:rPr>
                <w:rFonts w:ascii="Times New Roman" w:eastAsia="Arial" w:hAnsi="Times New Roman" w:cs="Times New Roman"/>
                <w:szCs w:val="20"/>
              </w:rPr>
              <w:t xml:space="preserve">Mistry: Board must be free from Trust interference </w:t>
            </w:r>
          </w:p>
          <w:p w14:paraId="2B93EDE6" w14:textId="1B7E4154" w:rsidR="001E1C3E" w:rsidRPr="00CC48EF" w:rsidRDefault="001E1C3E" w:rsidP="00962036">
            <w:pPr>
              <w:rPr>
                <w:rFonts w:ascii="Times New Roman" w:hAnsi="Times New Roman" w:cs="Times New Roman"/>
              </w:rPr>
            </w:pPr>
            <w:r w:rsidRPr="00CC48EF">
              <w:rPr>
                <w:rFonts w:ascii="Times New Roman" w:eastAsia="Arial" w:hAnsi="Times New Roman" w:cs="Times New Roman"/>
                <w:szCs w:val="20"/>
              </w:rPr>
              <w:t>Tata: Chairman must align with the Trusts' mandate</w:t>
            </w:r>
          </w:p>
        </w:tc>
      </w:tr>
      <w:tr w:rsidR="001E1C3E" w14:paraId="5064F8C0" w14:textId="77777777" w:rsidTr="001E1C3E">
        <w:tc>
          <w:tcPr>
            <w:tcW w:w="14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5465B2" w14:textId="77777777" w:rsidR="001E1C3E" w:rsidRPr="00CC48EF" w:rsidRDefault="001E1C3E" w:rsidP="00962036">
            <w:pPr>
              <w:rPr>
                <w:rFonts w:ascii="Times New Roman" w:hAnsi="Times New Roman" w:cs="Times New Roman"/>
              </w:rPr>
            </w:pPr>
            <w:r w:rsidRPr="00CC48EF">
              <w:rPr>
                <w:rFonts w:ascii="Times New Roman" w:eastAsia="Arial" w:hAnsi="Times New Roman" w:cs="Times New Roman"/>
                <w:b/>
                <w:bCs/>
                <w:color w:val="1F3864"/>
                <w:szCs w:val="20"/>
              </w:rPr>
              <w:t>Strategic Portfolio</w:t>
            </w:r>
          </w:p>
        </w:tc>
        <w:tc>
          <w:tcPr>
            <w:tcW w:w="199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CE4331" w14:textId="77777777" w:rsidR="001E1C3E" w:rsidRPr="00CC48EF" w:rsidRDefault="001E1C3E" w:rsidP="00962036">
            <w:pPr>
              <w:rPr>
                <w:rFonts w:ascii="Times New Roman" w:hAnsi="Times New Roman" w:cs="Times New Roman"/>
              </w:rPr>
            </w:pPr>
            <w:r w:rsidRPr="00CC48EF">
              <w:rPr>
                <w:rFonts w:ascii="Times New Roman" w:eastAsia="Arial" w:hAnsi="Times New Roman" w:cs="Times New Roman"/>
                <w:i/>
                <w:iCs/>
                <w:szCs w:val="20"/>
              </w:rPr>
              <w:t>Which underperforming assets to keep, restructure, or exit?</w:t>
            </w:r>
          </w:p>
        </w:tc>
        <w:tc>
          <w:tcPr>
            <w:tcW w:w="314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B8DFA7" w14:textId="77777777" w:rsidR="001E1C3E" w:rsidRPr="00CC48EF" w:rsidRDefault="001E1C3E" w:rsidP="00962036">
            <w:pPr>
              <w:rPr>
                <w:rFonts w:ascii="Times New Roman" w:eastAsia="Arial" w:hAnsi="Times New Roman" w:cs="Times New Roman"/>
                <w:szCs w:val="20"/>
              </w:rPr>
            </w:pPr>
            <w:r w:rsidRPr="00CC48EF">
              <w:rPr>
                <w:rFonts w:ascii="Times New Roman" w:eastAsia="Arial" w:hAnsi="Times New Roman" w:cs="Times New Roman"/>
                <w:szCs w:val="20"/>
              </w:rPr>
              <w:t xml:space="preserve">Mistry: </w:t>
            </w:r>
            <w:proofErr w:type="spellStart"/>
            <w:r w:rsidRPr="00CC48EF">
              <w:rPr>
                <w:rFonts w:ascii="Times New Roman" w:eastAsia="Arial" w:hAnsi="Times New Roman" w:cs="Times New Roman"/>
                <w:szCs w:val="20"/>
              </w:rPr>
              <w:t>Rationalise</w:t>
            </w:r>
            <w:proofErr w:type="spellEnd"/>
            <w:r w:rsidRPr="00CC48EF">
              <w:rPr>
                <w:rFonts w:ascii="Times New Roman" w:eastAsia="Arial" w:hAnsi="Times New Roman" w:cs="Times New Roman"/>
                <w:szCs w:val="20"/>
              </w:rPr>
              <w:t xml:space="preserve"> loss-making units; </w:t>
            </w:r>
            <w:proofErr w:type="spellStart"/>
            <w:r w:rsidRPr="00CC48EF">
              <w:rPr>
                <w:rFonts w:ascii="Times New Roman" w:eastAsia="Arial" w:hAnsi="Times New Roman" w:cs="Times New Roman"/>
                <w:szCs w:val="20"/>
              </w:rPr>
              <w:t>prioritise</w:t>
            </w:r>
            <w:proofErr w:type="spellEnd"/>
            <w:r w:rsidRPr="00CC48EF">
              <w:rPr>
                <w:rFonts w:ascii="Times New Roman" w:eastAsia="Arial" w:hAnsi="Times New Roman" w:cs="Times New Roman"/>
                <w:szCs w:val="20"/>
              </w:rPr>
              <w:t xml:space="preserve"> financial returns </w:t>
            </w:r>
          </w:p>
          <w:p w14:paraId="28F48D5D" w14:textId="4C386CF5" w:rsidR="001E1C3E" w:rsidRPr="00CC48EF" w:rsidRDefault="001E1C3E" w:rsidP="00962036">
            <w:pPr>
              <w:rPr>
                <w:rFonts w:ascii="Times New Roman" w:hAnsi="Times New Roman" w:cs="Times New Roman"/>
              </w:rPr>
            </w:pPr>
            <w:r w:rsidRPr="00CC48EF">
              <w:rPr>
                <w:rFonts w:ascii="Times New Roman" w:eastAsia="Arial" w:hAnsi="Times New Roman" w:cs="Times New Roman"/>
                <w:szCs w:val="20"/>
              </w:rPr>
              <w:t>Tata: Preserve group identity and legacy assets regardless of short-term losses</w:t>
            </w:r>
          </w:p>
        </w:tc>
        <w:tc>
          <w:tcPr>
            <w:tcW w:w="281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98CE8A" w14:textId="77777777" w:rsidR="001E1C3E" w:rsidRPr="00CC48EF" w:rsidRDefault="001E1C3E" w:rsidP="00962036">
            <w:pPr>
              <w:rPr>
                <w:rFonts w:ascii="Times New Roman" w:eastAsia="Arial" w:hAnsi="Times New Roman" w:cs="Times New Roman"/>
                <w:szCs w:val="20"/>
              </w:rPr>
            </w:pPr>
            <w:r w:rsidRPr="00CC48EF">
              <w:rPr>
                <w:rFonts w:ascii="Times New Roman" w:eastAsia="Arial" w:hAnsi="Times New Roman" w:cs="Times New Roman"/>
                <w:szCs w:val="20"/>
              </w:rPr>
              <w:t xml:space="preserve">Mistry: Exit Nano, restructure Corus, settle DoCoMo </w:t>
            </w:r>
          </w:p>
          <w:p w14:paraId="48DFE51A" w14:textId="002286C4" w:rsidR="001E1C3E" w:rsidRPr="00CC48EF" w:rsidRDefault="001E1C3E" w:rsidP="00962036">
            <w:pPr>
              <w:rPr>
                <w:rFonts w:ascii="Times New Roman" w:hAnsi="Times New Roman" w:cs="Times New Roman"/>
              </w:rPr>
            </w:pPr>
            <w:r w:rsidRPr="00CC48EF">
              <w:rPr>
                <w:rFonts w:ascii="Times New Roman" w:eastAsia="Arial" w:hAnsi="Times New Roman" w:cs="Times New Roman"/>
                <w:szCs w:val="20"/>
              </w:rPr>
              <w:t>Tata: Nano is a national mission; Corus defines global stature</w:t>
            </w:r>
          </w:p>
        </w:tc>
      </w:tr>
      <w:tr w:rsidR="001E1C3E" w14:paraId="3B058D04" w14:textId="77777777" w:rsidTr="001E1C3E">
        <w:tc>
          <w:tcPr>
            <w:tcW w:w="1407"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CA7C394" w14:textId="77777777" w:rsidR="001E1C3E" w:rsidRPr="00CC48EF" w:rsidRDefault="001E1C3E" w:rsidP="00962036">
            <w:pPr>
              <w:rPr>
                <w:rFonts w:ascii="Times New Roman" w:hAnsi="Times New Roman" w:cs="Times New Roman"/>
              </w:rPr>
            </w:pPr>
            <w:r w:rsidRPr="00CC48EF">
              <w:rPr>
                <w:rFonts w:ascii="Times New Roman" w:eastAsia="Arial" w:hAnsi="Times New Roman" w:cs="Times New Roman"/>
                <w:b/>
                <w:bCs/>
                <w:color w:val="1F3864"/>
                <w:szCs w:val="20"/>
              </w:rPr>
              <w:lastRenderedPageBreak/>
              <w:t>Shareholder Liquidity</w:t>
            </w:r>
          </w:p>
        </w:tc>
        <w:tc>
          <w:tcPr>
            <w:tcW w:w="1991" w:type="dxa"/>
            <w:tcBorders>
              <w:top w:val="single" w:sz="1" w:space="0" w:color="BFBFBF"/>
              <w:left w:val="single" w:sz="1" w:space="0" w:color="BFBFBF"/>
              <w:bottom w:val="single" w:sz="1" w:space="0" w:color="BFBFBF"/>
              <w:right w:val="single" w:sz="1" w:space="0" w:color="BFBFBF"/>
            </w:tcBorders>
            <w:shd w:val="clear" w:color="auto" w:fill="F7FBFF"/>
            <w:tcMar>
              <w:top w:w="80" w:type="dxa"/>
              <w:left w:w="120" w:type="dxa"/>
              <w:bottom w:w="80" w:type="dxa"/>
              <w:right w:w="120" w:type="dxa"/>
            </w:tcMar>
          </w:tcPr>
          <w:p w14:paraId="5B06D8D5" w14:textId="77777777" w:rsidR="001E1C3E" w:rsidRPr="00CC48EF" w:rsidRDefault="001E1C3E" w:rsidP="00962036">
            <w:pPr>
              <w:rPr>
                <w:rFonts w:ascii="Times New Roman" w:hAnsi="Times New Roman" w:cs="Times New Roman"/>
              </w:rPr>
            </w:pPr>
            <w:r w:rsidRPr="00CC48EF">
              <w:rPr>
                <w:rFonts w:ascii="Times New Roman" w:eastAsia="Arial" w:hAnsi="Times New Roman" w:cs="Times New Roman"/>
                <w:i/>
                <w:iCs/>
                <w:szCs w:val="20"/>
              </w:rPr>
              <w:t xml:space="preserve">Can SP Group </w:t>
            </w:r>
            <w:proofErr w:type="spellStart"/>
            <w:r w:rsidRPr="00CC48EF">
              <w:rPr>
                <w:rFonts w:ascii="Times New Roman" w:eastAsia="Arial" w:hAnsi="Times New Roman" w:cs="Times New Roman"/>
                <w:i/>
                <w:iCs/>
                <w:szCs w:val="20"/>
              </w:rPr>
              <w:t>monetise</w:t>
            </w:r>
            <w:proofErr w:type="spellEnd"/>
            <w:r w:rsidRPr="00CC48EF">
              <w:rPr>
                <w:rFonts w:ascii="Times New Roman" w:eastAsia="Arial" w:hAnsi="Times New Roman" w:cs="Times New Roman"/>
                <w:i/>
                <w:iCs/>
                <w:szCs w:val="20"/>
              </w:rPr>
              <w:t xml:space="preserve"> or exit its 18.37% stake?</w:t>
            </w:r>
          </w:p>
        </w:tc>
        <w:tc>
          <w:tcPr>
            <w:tcW w:w="3146" w:type="dxa"/>
            <w:tcBorders>
              <w:top w:val="single" w:sz="1" w:space="0" w:color="BFBFBF"/>
              <w:left w:val="single" w:sz="1" w:space="0" w:color="BFBFBF"/>
              <w:bottom w:val="single" w:sz="1" w:space="0" w:color="BFBFBF"/>
              <w:right w:val="single" w:sz="1" w:space="0" w:color="BFBFBF"/>
            </w:tcBorders>
            <w:shd w:val="clear" w:color="auto" w:fill="FFFDF0"/>
            <w:tcMar>
              <w:top w:w="80" w:type="dxa"/>
              <w:left w:w="120" w:type="dxa"/>
              <w:bottom w:w="80" w:type="dxa"/>
              <w:right w:w="120" w:type="dxa"/>
            </w:tcMar>
          </w:tcPr>
          <w:p w14:paraId="455AAD06" w14:textId="77777777" w:rsidR="001E1C3E" w:rsidRPr="00CC48EF" w:rsidRDefault="001E1C3E" w:rsidP="00962036">
            <w:pPr>
              <w:rPr>
                <w:rFonts w:ascii="Times New Roman" w:eastAsia="Arial" w:hAnsi="Times New Roman" w:cs="Times New Roman"/>
                <w:szCs w:val="20"/>
              </w:rPr>
            </w:pPr>
            <w:r w:rsidRPr="00CC48EF">
              <w:rPr>
                <w:rFonts w:ascii="Times New Roman" w:eastAsia="Arial" w:hAnsi="Times New Roman" w:cs="Times New Roman"/>
                <w:szCs w:val="20"/>
              </w:rPr>
              <w:t xml:space="preserve">SP Group: Its stake is a family asset; they need liquidity for debt obligations </w:t>
            </w:r>
          </w:p>
          <w:p w14:paraId="30B95BF1" w14:textId="6E68CBAD" w:rsidR="001E1C3E" w:rsidRPr="00CC48EF" w:rsidRDefault="001E1C3E" w:rsidP="00962036">
            <w:pPr>
              <w:rPr>
                <w:rFonts w:ascii="Times New Roman" w:hAnsi="Times New Roman" w:cs="Times New Roman"/>
              </w:rPr>
            </w:pPr>
            <w:r w:rsidRPr="00CC48EF">
              <w:rPr>
                <w:rFonts w:ascii="Times New Roman" w:eastAsia="Arial" w:hAnsi="Times New Roman" w:cs="Times New Roman"/>
                <w:szCs w:val="20"/>
              </w:rPr>
              <w:t>Tata Sons: Private company structure must be preserved; no external ownership dilution</w:t>
            </w:r>
          </w:p>
        </w:tc>
        <w:tc>
          <w:tcPr>
            <w:tcW w:w="281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519CA8" w14:textId="77777777" w:rsidR="001E1C3E" w:rsidRPr="00CC48EF" w:rsidRDefault="001E1C3E" w:rsidP="00962036">
            <w:pPr>
              <w:rPr>
                <w:rFonts w:ascii="Times New Roman" w:eastAsia="Arial" w:hAnsi="Times New Roman" w:cs="Times New Roman"/>
                <w:szCs w:val="20"/>
              </w:rPr>
            </w:pPr>
            <w:r w:rsidRPr="00CC48EF">
              <w:rPr>
                <w:rFonts w:ascii="Times New Roman" w:eastAsia="Arial" w:hAnsi="Times New Roman" w:cs="Times New Roman"/>
                <w:szCs w:val="20"/>
              </w:rPr>
              <w:t xml:space="preserve">SP Group: Allow pledge, transfer, or IPO </w:t>
            </w:r>
          </w:p>
          <w:p w14:paraId="5208E9FE" w14:textId="42AC9EB7" w:rsidR="001E1C3E" w:rsidRPr="00CC48EF" w:rsidRDefault="001E1C3E" w:rsidP="00962036">
            <w:pPr>
              <w:rPr>
                <w:rFonts w:ascii="Times New Roman" w:hAnsi="Times New Roman" w:cs="Times New Roman"/>
              </w:rPr>
            </w:pPr>
            <w:r w:rsidRPr="00CC48EF">
              <w:rPr>
                <w:rFonts w:ascii="Times New Roman" w:eastAsia="Arial" w:hAnsi="Times New Roman" w:cs="Times New Roman"/>
                <w:szCs w:val="20"/>
              </w:rPr>
              <w:t xml:space="preserve">Tata Sons: </w:t>
            </w:r>
            <w:proofErr w:type="spellStart"/>
            <w:r w:rsidRPr="00CC48EF">
              <w:rPr>
                <w:rFonts w:ascii="Times New Roman" w:eastAsia="Arial" w:hAnsi="Times New Roman" w:cs="Times New Roman"/>
                <w:szCs w:val="20"/>
              </w:rPr>
              <w:t>AoA</w:t>
            </w:r>
            <w:proofErr w:type="spellEnd"/>
            <w:r w:rsidRPr="00CC48EF">
              <w:rPr>
                <w:rFonts w:ascii="Times New Roman" w:eastAsia="Arial" w:hAnsi="Times New Roman" w:cs="Times New Roman"/>
                <w:szCs w:val="20"/>
              </w:rPr>
              <w:t xml:space="preserve"> </w:t>
            </w:r>
            <w:proofErr w:type="spellStart"/>
            <w:r w:rsidRPr="00CC48EF">
              <w:rPr>
                <w:rFonts w:ascii="Times New Roman" w:eastAsia="Arial" w:hAnsi="Times New Roman" w:cs="Times New Roman"/>
                <w:szCs w:val="20"/>
              </w:rPr>
              <w:t>RoFR</w:t>
            </w:r>
            <w:proofErr w:type="spellEnd"/>
            <w:r w:rsidRPr="00CC48EF">
              <w:rPr>
                <w:rFonts w:ascii="Times New Roman" w:eastAsia="Arial" w:hAnsi="Times New Roman" w:cs="Times New Roman"/>
                <w:szCs w:val="20"/>
              </w:rPr>
              <w:t xml:space="preserve"> restrictions apply; no share sale without consent</w:t>
            </w:r>
          </w:p>
        </w:tc>
      </w:tr>
      <w:tr w:rsidR="001E1C3E" w14:paraId="4E216D79" w14:textId="77777777" w:rsidTr="001E1C3E">
        <w:tc>
          <w:tcPr>
            <w:tcW w:w="14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FFA0D4" w14:textId="77777777" w:rsidR="001E1C3E" w:rsidRPr="00CC48EF" w:rsidRDefault="001E1C3E" w:rsidP="00962036">
            <w:pPr>
              <w:rPr>
                <w:rFonts w:ascii="Times New Roman" w:hAnsi="Times New Roman" w:cs="Times New Roman"/>
              </w:rPr>
            </w:pPr>
            <w:r w:rsidRPr="00CC48EF">
              <w:rPr>
                <w:rFonts w:ascii="Times New Roman" w:eastAsia="Arial" w:hAnsi="Times New Roman" w:cs="Times New Roman"/>
                <w:b/>
                <w:bCs/>
                <w:color w:val="1F3864"/>
                <w:szCs w:val="20"/>
              </w:rPr>
              <w:t>Corporate Governance</w:t>
            </w:r>
          </w:p>
        </w:tc>
        <w:tc>
          <w:tcPr>
            <w:tcW w:w="199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C9BEB5" w14:textId="77777777" w:rsidR="001E1C3E" w:rsidRPr="00CC48EF" w:rsidRDefault="001E1C3E" w:rsidP="00962036">
            <w:pPr>
              <w:rPr>
                <w:rFonts w:ascii="Times New Roman" w:hAnsi="Times New Roman" w:cs="Times New Roman"/>
              </w:rPr>
            </w:pPr>
            <w:r w:rsidRPr="00CC48EF">
              <w:rPr>
                <w:rFonts w:ascii="Times New Roman" w:eastAsia="Arial" w:hAnsi="Times New Roman" w:cs="Times New Roman"/>
                <w:i/>
                <w:iCs/>
                <w:szCs w:val="20"/>
              </w:rPr>
              <w:t>How should major decisions be made and communicated?</w:t>
            </w:r>
          </w:p>
        </w:tc>
        <w:tc>
          <w:tcPr>
            <w:tcW w:w="314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DEF02F" w14:textId="77777777" w:rsidR="001E1C3E" w:rsidRPr="00CC48EF" w:rsidRDefault="001E1C3E" w:rsidP="00962036">
            <w:pPr>
              <w:rPr>
                <w:rFonts w:ascii="Times New Roman" w:eastAsia="Arial" w:hAnsi="Times New Roman" w:cs="Times New Roman"/>
                <w:szCs w:val="20"/>
              </w:rPr>
            </w:pPr>
            <w:r w:rsidRPr="00CC48EF">
              <w:rPr>
                <w:rFonts w:ascii="Times New Roman" w:eastAsia="Arial" w:hAnsi="Times New Roman" w:cs="Times New Roman"/>
                <w:szCs w:val="20"/>
              </w:rPr>
              <w:t xml:space="preserve">Mistry: Board supremacy; proper processes; no pre-decided agendas from Trusts </w:t>
            </w:r>
          </w:p>
          <w:p w14:paraId="49A5E97D" w14:textId="1CF3D27E" w:rsidR="001E1C3E" w:rsidRPr="00CC48EF" w:rsidRDefault="001E1C3E" w:rsidP="00962036">
            <w:pPr>
              <w:rPr>
                <w:rFonts w:ascii="Times New Roman" w:hAnsi="Times New Roman" w:cs="Times New Roman"/>
              </w:rPr>
            </w:pPr>
            <w:r w:rsidRPr="00CC48EF">
              <w:rPr>
                <w:rFonts w:ascii="Times New Roman" w:eastAsia="Arial" w:hAnsi="Times New Roman" w:cs="Times New Roman"/>
                <w:szCs w:val="20"/>
              </w:rPr>
              <w:t>Tata Trusts: As 66% shareholders, their guidance is legitimate stewardship</w:t>
            </w:r>
          </w:p>
        </w:tc>
        <w:tc>
          <w:tcPr>
            <w:tcW w:w="281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8D916B" w14:textId="77777777" w:rsidR="001E1C3E" w:rsidRPr="00CC48EF" w:rsidRDefault="001E1C3E" w:rsidP="00962036">
            <w:pPr>
              <w:rPr>
                <w:rFonts w:ascii="Times New Roman" w:eastAsia="Arial" w:hAnsi="Times New Roman" w:cs="Times New Roman"/>
                <w:szCs w:val="20"/>
              </w:rPr>
            </w:pPr>
            <w:r w:rsidRPr="00CC48EF">
              <w:rPr>
                <w:rFonts w:ascii="Times New Roman" w:eastAsia="Arial" w:hAnsi="Times New Roman" w:cs="Times New Roman"/>
                <w:szCs w:val="20"/>
              </w:rPr>
              <w:t>Mistry: Tata Sons must reform at board level</w:t>
            </w:r>
          </w:p>
          <w:p w14:paraId="7CFB420A" w14:textId="741065AC" w:rsidR="001E1C3E" w:rsidRPr="00CC48EF" w:rsidRDefault="001E1C3E" w:rsidP="00962036">
            <w:pPr>
              <w:rPr>
                <w:rFonts w:ascii="Times New Roman" w:hAnsi="Times New Roman" w:cs="Times New Roman"/>
              </w:rPr>
            </w:pPr>
            <w:r w:rsidRPr="00CC48EF">
              <w:rPr>
                <w:rFonts w:ascii="Times New Roman" w:eastAsia="Arial" w:hAnsi="Times New Roman" w:cs="Times New Roman"/>
                <w:szCs w:val="20"/>
              </w:rPr>
              <w:t>Tata: Removal was legitimate; board had the right</w:t>
            </w:r>
          </w:p>
        </w:tc>
      </w:tr>
      <w:tr w:rsidR="001E1C3E" w14:paraId="2D2C4B14" w14:textId="77777777" w:rsidTr="001E1C3E">
        <w:tc>
          <w:tcPr>
            <w:tcW w:w="1407"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3718DE6" w14:textId="77777777" w:rsidR="001E1C3E" w:rsidRPr="00CC48EF" w:rsidRDefault="001E1C3E" w:rsidP="00962036">
            <w:pPr>
              <w:rPr>
                <w:rFonts w:ascii="Times New Roman" w:hAnsi="Times New Roman" w:cs="Times New Roman"/>
              </w:rPr>
            </w:pPr>
            <w:r w:rsidRPr="00CC48EF">
              <w:rPr>
                <w:rFonts w:ascii="Times New Roman" w:eastAsia="Arial" w:hAnsi="Times New Roman" w:cs="Times New Roman"/>
                <w:b/>
                <w:bCs/>
                <w:color w:val="1F3864"/>
                <w:szCs w:val="20"/>
              </w:rPr>
              <w:t>Legacy &amp; Reputation</w:t>
            </w:r>
          </w:p>
        </w:tc>
        <w:tc>
          <w:tcPr>
            <w:tcW w:w="1991" w:type="dxa"/>
            <w:tcBorders>
              <w:top w:val="single" w:sz="1" w:space="0" w:color="BFBFBF"/>
              <w:left w:val="single" w:sz="1" w:space="0" w:color="BFBFBF"/>
              <w:bottom w:val="single" w:sz="1" w:space="0" w:color="BFBFBF"/>
              <w:right w:val="single" w:sz="1" w:space="0" w:color="BFBFBF"/>
            </w:tcBorders>
            <w:shd w:val="clear" w:color="auto" w:fill="F7FBFF"/>
            <w:tcMar>
              <w:top w:w="80" w:type="dxa"/>
              <w:left w:w="120" w:type="dxa"/>
              <w:bottom w:w="80" w:type="dxa"/>
              <w:right w:w="120" w:type="dxa"/>
            </w:tcMar>
          </w:tcPr>
          <w:p w14:paraId="665DB3AD" w14:textId="77777777" w:rsidR="001E1C3E" w:rsidRPr="00CC48EF" w:rsidRDefault="001E1C3E" w:rsidP="00962036">
            <w:pPr>
              <w:rPr>
                <w:rFonts w:ascii="Times New Roman" w:hAnsi="Times New Roman" w:cs="Times New Roman"/>
              </w:rPr>
            </w:pPr>
            <w:r w:rsidRPr="00CC48EF">
              <w:rPr>
                <w:rFonts w:ascii="Times New Roman" w:eastAsia="Arial" w:hAnsi="Times New Roman" w:cs="Times New Roman"/>
                <w:i/>
                <w:iCs/>
                <w:szCs w:val="20"/>
              </w:rPr>
              <w:t>Whose version of the Tata story is 'true'?</w:t>
            </w:r>
          </w:p>
        </w:tc>
        <w:tc>
          <w:tcPr>
            <w:tcW w:w="3146" w:type="dxa"/>
            <w:tcBorders>
              <w:top w:val="single" w:sz="1" w:space="0" w:color="BFBFBF"/>
              <w:left w:val="single" w:sz="1" w:space="0" w:color="BFBFBF"/>
              <w:bottom w:val="single" w:sz="1" w:space="0" w:color="BFBFBF"/>
              <w:right w:val="single" w:sz="1" w:space="0" w:color="BFBFBF"/>
            </w:tcBorders>
            <w:shd w:val="clear" w:color="auto" w:fill="FFFDF0"/>
            <w:tcMar>
              <w:top w:w="80" w:type="dxa"/>
              <w:left w:w="120" w:type="dxa"/>
              <w:bottom w:w="80" w:type="dxa"/>
              <w:right w:w="120" w:type="dxa"/>
            </w:tcMar>
          </w:tcPr>
          <w:p w14:paraId="4F6AB42F" w14:textId="77777777" w:rsidR="001E1C3E" w:rsidRPr="00CC48EF" w:rsidRDefault="001E1C3E" w:rsidP="00962036">
            <w:pPr>
              <w:rPr>
                <w:rFonts w:ascii="Times New Roman" w:eastAsia="Arial" w:hAnsi="Times New Roman" w:cs="Times New Roman"/>
                <w:szCs w:val="20"/>
              </w:rPr>
            </w:pPr>
            <w:r w:rsidRPr="00CC48EF">
              <w:rPr>
                <w:rFonts w:ascii="Times New Roman" w:eastAsia="Arial" w:hAnsi="Times New Roman" w:cs="Times New Roman"/>
                <w:szCs w:val="20"/>
              </w:rPr>
              <w:t>Mistry: The group had significant hidden liabilities; his reforms were being blocked</w:t>
            </w:r>
          </w:p>
          <w:p w14:paraId="33C2EF41" w14:textId="34197358" w:rsidR="001E1C3E" w:rsidRPr="00CC48EF" w:rsidRDefault="001E1C3E" w:rsidP="00962036">
            <w:pPr>
              <w:rPr>
                <w:rFonts w:ascii="Times New Roman" w:hAnsi="Times New Roman" w:cs="Times New Roman"/>
              </w:rPr>
            </w:pPr>
            <w:r w:rsidRPr="00CC48EF">
              <w:rPr>
                <w:rFonts w:ascii="Times New Roman" w:eastAsia="Arial" w:hAnsi="Times New Roman" w:cs="Times New Roman"/>
                <w:szCs w:val="20"/>
              </w:rPr>
              <w:t xml:space="preserve"> Ratan Tata: The group's values and name are non-negotiable; Mistry threatened both</w:t>
            </w:r>
          </w:p>
        </w:tc>
        <w:tc>
          <w:tcPr>
            <w:tcW w:w="281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3A502B" w14:textId="77777777" w:rsidR="001E1C3E" w:rsidRPr="00CC48EF" w:rsidRDefault="001E1C3E" w:rsidP="00962036">
            <w:pPr>
              <w:rPr>
                <w:rFonts w:ascii="Times New Roman" w:eastAsia="Arial" w:hAnsi="Times New Roman" w:cs="Times New Roman"/>
                <w:szCs w:val="20"/>
              </w:rPr>
            </w:pPr>
            <w:r w:rsidRPr="00CC48EF">
              <w:rPr>
                <w:rFonts w:ascii="Times New Roman" w:eastAsia="Arial" w:hAnsi="Times New Roman" w:cs="Times New Roman"/>
                <w:szCs w:val="20"/>
              </w:rPr>
              <w:t xml:space="preserve">Mistry: Published his letter; fought in courts </w:t>
            </w:r>
          </w:p>
          <w:p w14:paraId="586170AC" w14:textId="4B8F5846" w:rsidR="001E1C3E" w:rsidRPr="00CC48EF" w:rsidRDefault="001E1C3E" w:rsidP="00962036">
            <w:pPr>
              <w:rPr>
                <w:rFonts w:ascii="Times New Roman" w:hAnsi="Times New Roman" w:cs="Times New Roman"/>
              </w:rPr>
            </w:pPr>
            <w:r w:rsidRPr="00CC48EF">
              <w:rPr>
                <w:rFonts w:ascii="Times New Roman" w:eastAsia="Arial" w:hAnsi="Times New Roman" w:cs="Times New Roman"/>
                <w:szCs w:val="20"/>
              </w:rPr>
              <w:t>Tata: Denied all charges; cited performance; leveraged Ratan Tata's moral authority</w:t>
            </w:r>
          </w:p>
        </w:tc>
      </w:tr>
    </w:tbl>
    <w:p w14:paraId="274B3DD5" w14:textId="77777777" w:rsidR="003A5E5E" w:rsidRDefault="003A5E5E" w:rsidP="001E1C3E">
      <w:pPr>
        <w:spacing w:line="360" w:lineRule="auto"/>
        <w:jc w:val="both"/>
        <w:rPr>
          <w:rFonts w:ascii="Georgia" w:eastAsia="Georgia" w:hAnsi="Georgia" w:cs="Georgia"/>
        </w:rPr>
      </w:pPr>
    </w:p>
    <w:p w14:paraId="1344A18F" w14:textId="5EA627A1" w:rsidR="001E1C3E" w:rsidRDefault="001E1C3E" w:rsidP="001E1C3E">
      <w:pPr>
        <w:spacing w:line="360" w:lineRule="auto"/>
        <w:jc w:val="both"/>
      </w:pPr>
      <w:r>
        <w:rPr>
          <w:rFonts w:ascii="Georgia" w:eastAsia="Georgia" w:hAnsi="Georgia" w:cs="Georgia"/>
        </w:rPr>
        <w:t>A position is what someone says they want. An interest is why they want it. Conflating the two — assuming that because the other side’s stated position opposes yours, their underlying interests must too — is the most common and most costly error in conflict.</w:t>
      </w:r>
    </w:p>
    <w:p w14:paraId="4AF6A5B1" w14:textId="16E0E6B2" w:rsidR="001E1C3E" w:rsidRPr="00CC48EF" w:rsidRDefault="001E1C3E" w:rsidP="001E1C3E">
      <w:pPr>
        <w:spacing w:line="360" w:lineRule="auto"/>
        <w:jc w:val="both"/>
        <w:rPr>
          <w:rFonts w:ascii="Georgia" w:eastAsia="Georgia" w:hAnsi="Georgia" w:cs="Georgia"/>
        </w:rPr>
      </w:pPr>
      <w:r>
        <w:rPr>
          <w:rFonts w:ascii="Georgia" w:eastAsia="Georgia" w:hAnsi="Georgia" w:cs="Georgia"/>
        </w:rPr>
        <w:t xml:space="preserve">Tata Sons’ position was unambiguous: Mistry had to go. Their underlying interests were more complex. They wanted to protect the Tata brand, preserve the Trusts’ stewardship role, </w:t>
      </w:r>
      <w:proofErr w:type="gramStart"/>
      <w:r>
        <w:rPr>
          <w:rFonts w:ascii="Georgia" w:eastAsia="Georgia" w:hAnsi="Georgia" w:cs="Georgia"/>
        </w:rPr>
        <w:t>and  I</w:t>
      </w:r>
      <w:proofErr w:type="gramEnd"/>
      <w:r>
        <w:rPr>
          <w:rFonts w:ascii="Georgia" w:eastAsia="Georgia" w:hAnsi="Georgia" w:cs="Georgia"/>
        </w:rPr>
        <w:t xml:space="preserve"> think this is the part that rarely gets named directly</w:t>
      </w:r>
      <w:r w:rsidR="00CC48EF">
        <w:rPr>
          <w:rFonts w:ascii="Georgia" w:eastAsia="Georgia" w:hAnsi="Georgia" w:cs="Georgia"/>
        </w:rPr>
        <w:t xml:space="preserve">, </w:t>
      </w:r>
      <w:r>
        <w:rPr>
          <w:rFonts w:ascii="Georgia" w:eastAsia="Georgia" w:hAnsi="Georgia" w:cs="Georgia"/>
        </w:rPr>
        <w:t xml:space="preserve">they wanted to protect Ratan Tata’s legacy. In an institution built on the moral authority of its patriarch, acknowledgement </w:t>
      </w:r>
      <w:r w:rsidR="00CC48EF">
        <w:rPr>
          <w:rFonts w:ascii="Georgia" w:eastAsia="Georgia" w:hAnsi="Georgia" w:cs="Georgia"/>
        </w:rPr>
        <w:t xml:space="preserve">of financial mistakes </w:t>
      </w:r>
      <w:r>
        <w:rPr>
          <w:rFonts w:ascii="Georgia" w:eastAsia="Georgia" w:hAnsi="Georgia" w:cs="Georgia"/>
        </w:rPr>
        <w:t>carried enormous weight.</w:t>
      </w:r>
    </w:p>
    <w:p w14:paraId="733F60B9" w14:textId="2802C87E" w:rsidR="001E1C3E" w:rsidRDefault="001E1C3E" w:rsidP="001E1C3E">
      <w:pPr>
        <w:spacing w:line="360" w:lineRule="auto"/>
        <w:jc w:val="both"/>
      </w:pPr>
      <w:r>
        <w:rPr>
          <w:rFonts w:ascii="Georgia" w:eastAsia="Georgia" w:hAnsi="Georgia" w:cs="Georgia"/>
        </w:rPr>
        <w:t>Mistry’s position was initially reinstatement, and later vindication through litigation. His underlying interests were more achievable if anyone had asked about them directly. He wanted his professional reputation preserved. He wanted recognition that the SP Group, as the single largest individual shareholder, was entitled to a genuine voice in governance. And, practically, he needed a path to liquidity for the SP Group’s stake</w:t>
      </w:r>
      <w:r w:rsidR="00CC48EF">
        <w:rPr>
          <w:rFonts w:ascii="Georgia" w:eastAsia="Georgia" w:hAnsi="Georgia" w:cs="Georgia"/>
        </w:rPr>
        <w:t>.</w:t>
      </w:r>
    </w:p>
    <w:p w14:paraId="616E88D9" w14:textId="77777777" w:rsidR="001E1C3E" w:rsidRDefault="001E1C3E" w:rsidP="001E1C3E">
      <w:pPr>
        <w:spacing w:line="360" w:lineRule="auto"/>
        <w:jc w:val="both"/>
      </w:pPr>
      <w:r>
        <w:rPr>
          <w:rFonts w:ascii="Georgia" w:eastAsia="Georgia" w:hAnsi="Georgia" w:cs="Georgia"/>
        </w:rPr>
        <w:lastRenderedPageBreak/>
        <w:t>The tragedy, viewed through this lens, is that the interests were not as irreconcilable as the positions made them appear. Tata Sons wanted Mistry out. Mistry wanted fair treatment and financial resolution. There was a deal there. Nobody looked for it.</w:t>
      </w:r>
    </w:p>
    <w:p w14:paraId="49C3F0BC" w14:textId="0DCD2676" w:rsidR="00CC48EF" w:rsidRDefault="001E1C3E" w:rsidP="00CC48EF">
      <w:pPr>
        <w:pStyle w:val="conflictbody"/>
      </w:pPr>
      <w:r>
        <w:t>No court, press release, or EGM can deliver vindication to both sides simultaneously</w:t>
      </w:r>
    </w:p>
    <w:p w14:paraId="77B8A1D6" w14:textId="1249348B" w:rsidR="001E1C3E" w:rsidRDefault="001E1C3E" w:rsidP="00CC48EF">
      <w:pPr>
        <w:rPr>
          <w:rFonts w:ascii="Times New Roman" w:hAnsi="Times New Roman"/>
          <w:sz w:val="24"/>
        </w:rPr>
      </w:pPr>
    </w:p>
    <w:p w14:paraId="1D716A67" w14:textId="77777777" w:rsidR="00F96C5A" w:rsidRPr="00CC48EF" w:rsidRDefault="00F96C5A" w:rsidP="00CC48EF">
      <w:pPr>
        <w:rPr>
          <w:rFonts w:ascii="Times New Roman" w:hAnsi="Times New Roman"/>
          <w:sz w:val="24"/>
        </w:rPr>
      </w:pPr>
    </w:p>
    <w:p w14:paraId="08A2105B" w14:textId="50A9A624" w:rsidR="00CC48EF" w:rsidRDefault="00CC48EF" w:rsidP="00CC48EF">
      <w:pPr>
        <w:pStyle w:val="Style1"/>
      </w:pPr>
      <w:r>
        <w:t>Connectors &amp; Divid</w:t>
      </w:r>
      <w:r w:rsidR="003A5E5E">
        <w:t>er</w:t>
      </w:r>
      <w:r>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C48EF" w:rsidRPr="00CC48EF" w14:paraId="6AF131F0" w14:textId="77777777" w:rsidTr="00962036">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375623"/>
            <w:tcMar>
              <w:top w:w="80" w:type="dxa"/>
              <w:left w:w="120" w:type="dxa"/>
              <w:bottom w:w="80" w:type="dxa"/>
              <w:right w:w="120" w:type="dxa"/>
            </w:tcMar>
          </w:tcPr>
          <w:p w14:paraId="1F0CAC71"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FFFFFF"/>
                <w:sz w:val="24"/>
                <w:szCs w:val="24"/>
              </w:rPr>
              <w:t>CONNECTOR</w:t>
            </w:r>
          </w:p>
        </w:tc>
        <w:tc>
          <w:tcPr>
            <w:tcW w:w="7360" w:type="dxa"/>
            <w:tcBorders>
              <w:top w:val="single" w:sz="1" w:space="0" w:color="BFBFBF"/>
              <w:left w:val="single" w:sz="1" w:space="0" w:color="BFBFBF"/>
              <w:bottom w:val="single" w:sz="1" w:space="0" w:color="BFBFBF"/>
              <w:right w:val="single" w:sz="1" w:space="0" w:color="BFBFBF"/>
            </w:tcBorders>
            <w:shd w:val="clear" w:color="auto" w:fill="375623"/>
            <w:tcMar>
              <w:top w:w="80" w:type="dxa"/>
              <w:left w:w="120" w:type="dxa"/>
              <w:bottom w:w="80" w:type="dxa"/>
              <w:right w:w="120" w:type="dxa"/>
            </w:tcMar>
          </w:tcPr>
          <w:p w14:paraId="44401EFA"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FFFFFF"/>
                <w:sz w:val="24"/>
                <w:szCs w:val="24"/>
              </w:rPr>
              <w:t>How It Links the Parties</w:t>
            </w:r>
          </w:p>
        </w:tc>
      </w:tr>
      <w:tr w:rsidR="00CC48EF" w:rsidRPr="00CC48EF" w14:paraId="091D7800" w14:textId="77777777" w:rsidTr="00962036">
        <w:tc>
          <w:tcPr>
            <w:tcW w:w="2000" w:type="dxa"/>
            <w:tcBorders>
              <w:top w:val="single" w:sz="1" w:space="0" w:color="BFBFBF"/>
              <w:left w:val="single" w:sz="1" w:space="0" w:color="BFBFBF"/>
              <w:bottom w:val="single" w:sz="1" w:space="0" w:color="BFBFBF"/>
              <w:right w:val="single" w:sz="1" w:space="0" w:color="BFBFBF"/>
            </w:tcBorders>
            <w:shd w:val="clear" w:color="auto" w:fill="E2F0D9"/>
            <w:tcMar>
              <w:top w:w="80" w:type="dxa"/>
              <w:left w:w="120" w:type="dxa"/>
              <w:bottom w:w="80" w:type="dxa"/>
              <w:right w:w="120" w:type="dxa"/>
            </w:tcMar>
          </w:tcPr>
          <w:p w14:paraId="4215AB37"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375623"/>
                <w:sz w:val="24"/>
                <w:szCs w:val="24"/>
              </w:rPr>
              <w:t>Family Bonds</w:t>
            </w:r>
          </w:p>
        </w:tc>
        <w:tc>
          <w:tcPr>
            <w:tcW w:w="7360" w:type="dxa"/>
            <w:tcBorders>
              <w:top w:val="single" w:sz="1" w:space="0" w:color="BFBFBF"/>
              <w:left w:val="single" w:sz="1" w:space="0" w:color="BFBFBF"/>
              <w:bottom w:val="single" w:sz="1" w:space="0" w:color="BFBFBF"/>
              <w:right w:val="single" w:sz="1" w:space="0" w:color="BFBFBF"/>
            </w:tcBorders>
            <w:shd w:val="clear" w:color="auto" w:fill="F9FFF9"/>
            <w:tcMar>
              <w:top w:w="80" w:type="dxa"/>
              <w:left w:w="120" w:type="dxa"/>
              <w:bottom w:w="80" w:type="dxa"/>
              <w:right w:w="120" w:type="dxa"/>
            </w:tcMar>
          </w:tcPr>
          <w:p w14:paraId="54562D87"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sz w:val="24"/>
                <w:szCs w:val="24"/>
              </w:rPr>
              <w:t>Cyrus's sister Aloo is married to Noel Tata. This family link survived the corporate war and may yet be the bridge to resolution.</w:t>
            </w:r>
          </w:p>
        </w:tc>
      </w:tr>
      <w:tr w:rsidR="00CC48EF" w:rsidRPr="00CC48EF" w14:paraId="681D3C63" w14:textId="77777777" w:rsidTr="00962036">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915750"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375623"/>
                <w:sz w:val="24"/>
                <w:szCs w:val="24"/>
              </w:rPr>
              <w:t>Shared History</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CF848F"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sz w:val="24"/>
                <w:szCs w:val="24"/>
              </w:rPr>
              <w:t>Over 90 years of cross-shareholding; the Mistry family had been the Tatas' silent, trusted partner for three generations.</w:t>
            </w:r>
          </w:p>
        </w:tc>
      </w:tr>
      <w:tr w:rsidR="00CC48EF" w:rsidRPr="00CC48EF" w14:paraId="0F55B82C" w14:textId="77777777" w:rsidTr="00962036">
        <w:tc>
          <w:tcPr>
            <w:tcW w:w="2000" w:type="dxa"/>
            <w:tcBorders>
              <w:top w:val="single" w:sz="1" w:space="0" w:color="BFBFBF"/>
              <w:left w:val="single" w:sz="1" w:space="0" w:color="BFBFBF"/>
              <w:bottom w:val="single" w:sz="1" w:space="0" w:color="BFBFBF"/>
              <w:right w:val="single" w:sz="1" w:space="0" w:color="BFBFBF"/>
            </w:tcBorders>
            <w:shd w:val="clear" w:color="auto" w:fill="E2F0D9"/>
            <w:tcMar>
              <w:top w:w="80" w:type="dxa"/>
              <w:left w:w="120" w:type="dxa"/>
              <w:bottom w:w="80" w:type="dxa"/>
              <w:right w:w="120" w:type="dxa"/>
            </w:tcMar>
          </w:tcPr>
          <w:p w14:paraId="44A28505"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375623"/>
                <w:sz w:val="24"/>
                <w:szCs w:val="24"/>
              </w:rPr>
              <w:t>Mutual Stakes</w:t>
            </w:r>
          </w:p>
        </w:tc>
        <w:tc>
          <w:tcPr>
            <w:tcW w:w="7360" w:type="dxa"/>
            <w:tcBorders>
              <w:top w:val="single" w:sz="1" w:space="0" w:color="BFBFBF"/>
              <w:left w:val="single" w:sz="1" w:space="0" w:color="BFBFBF"/>
              <w:bottom w:val="single" w:sz="1" w:space="0" w:color="BFBFBF"/>
              <w:right w:val="single" w:sz="1" w:space="0" w:color="BFBFBF"/>
            </w:tcBorders>
            <w:shd w:val="clear" w:color="auto" w:fill="F9FFF9"/>
            <w:tcMar>
              <w:top w:w="80" w:type="dxa"/>
              <w:left w:w="120" w:type="dxa"/>
              <w:bottom w:w="80" w:type="dxa"/>
              <w:right w:w="120" w:type="dxa"/>
            </w:tcMar>
          </w:tcPr>
          <w:p w14:paraId="29D5EF9A"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sz w:val="24"/>
                <w:szCs w:val="24"/>
              </w:rPr>
              <w:t>Both sides have enormous financial interests in the health and reputation of Tata Group companies. A public collapse would destroy value for all.</w:t>
            </w:r>
          </w:p>
        </w:tc>
      </w:tr>
      <w:tr w:rsidR="00CC48EF" w:rsidRPr="00CC48EF" w14:paraId="77DA0034" w14:textId="77777777" w:rsidTr="00962036">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871F90"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375623"/>
                <w:sz w:val="24"/>
                <w:szCs w:val="24"/>
              </w:rPr>
              <w:t>Philanthropic Alignment</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D2BE43"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sz w:val="24"/>
                <w:szCs w:val="24"/>
              </w:rPr>
              <w:t>Both Tata Trusts and the SP Group operate large philanthropic programs. Neither side wished to be seen as anti-India or anti-people.</w:t>
            </w:r>
          </w:p>
        </w:tc>
      </w:tr>
      <w:tr w:rsidR="00CC48EF" w:rsidRPr="00CC48EF" w14:paraId="61F0DA1C" w14:textId="77777777" w:rsidTr="00962036">
        <w:tc>
          <w:tcPr>
            <w:tcW w:w="2000" w:type="dxa"/>
            <w:tcBorders>
              <w:top w:val="single" w:sz="1" w:space="0" w:color="BFBFBF"/>
              <w:left w:val="single" w:sz="1" w:space="0" w:color="BFBFBF"/>
              <w:bottom w:val="single" w:sz="1" w:space="0" w:color="BFBFBF"/>
              <w:right w:val="single" w:sz="1" w:space="0" w:color="BFBFBF"/>
            </w:tcBorders>
            <w:shd w:val="clear" w:color="auto" w:fill="E2F0D9"/>
            <w:tcMar>
              <w:top w:w="80" w:type="dxa"/>
              <w:left w:w="120" w:type="dxa"/>
              <w:bottom w:w="80" w:type="dxa"/>
              <w:right w:w="120" w:type="dxa"/>
            </w:tcMar>
          </w:tcPr>
          <w:p w14:paraId="0146D25D"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375623"/>
                <w:sz w:val="24"/>
                <w:szCs w:val="24"/>
              </w:rPr>
              <w:t>Legal Restraint</w:t>
            </w:r>
          </w:p>
        </w:tc>
        <w:tc>
          <w:tcPr>
            <w:tcW w:w="7360" w:type="dxa"/>
            <w:tcBorders>
              <w:top w:val="single" w:sz="1" w:space="0" w:color="BFBFBF"/>
              <w:left w:val="single" w:sz="1" w:space="0" w:color="BFBFBF"/>
              <w:bottom w:val="single" w:sz="1" w:space="0" w:color="BFBFBF"/>
              <w:right w:val="single" w:sz="1" w:space="0" w:color="BFBFBF"/>
            </w:tcBorders>
            <w:shd w:val="clear" w:color="auto" w:fill="F9FFF9"/>
            <w:tcMar>
              <w:top w:w="80" w:type="dxa"/>
              <w:left w:w="120" w:type="dxa"/>
              <w:bottom w:w="80" w:type="dxa"/>
              <w:right w:w="120" w:type="dxa"/>
            </w:tcMar>
          </w:tcPr>
          <w:p w14:paraId="1500FCD9"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sz w:val="24"/>
                <w:szCs w:val="24"/>
              </w:rPr>
              <w:t>Even at the height of conflict, both sides operated within the law and respected court orders — no extrajudicial action was taken.</w:t>
            </w:r>
          </w:p>
        </w:tc>
      </w:tr>
      <w:tr w:rsidR="00CC48EF" w:rsidRPr="00CC48EF" w14:paraId="3954E24D" w14:textId="77777777" w:rsidTr="00962036">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EC623C"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375623"/>
                <w:sz w:val="24"/>
                <w:szCs w:val="24"/>
              </w:rPr>
              <w:t>Noel Tata's New Role</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819C45"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sz w:val="24"/>
                <w:szCs w:val="24"/>
              </w:rPr>
              <w:t>Post-2024, Noel Tata as Chairman of Tata Trusts provides a credible, less combative figure to potentially renegotiate the SP Group relationship.</w:t>
            </w:r>
          </w:p>
        </w:tc>
      </w:tr>
    </w:tbl>
    <w:p w14:paraId="37F4715E" w14:textId="77777777" w:rsidR="00CC48EF" w:rsidRPr="00CC48EF" w:rsidRDefault="00CC48EF" w:rsidP="00CC48EF">
      <w:pPr>
        <w:pStyle w:val="conflictbody"/>
        <w:rPr>
          <w:rFonts w:cs="Times New Roman"/>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C48EF" w:rsidRPr="00CC48EF" w14:paraId="10E200EC" w14:textId="77777777" w:rsidTr="00962036">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C00000"/>
            <w:tcMar>
              <w:top w:w="80" w:type="dxa"/>
              <w:left w:w="120" w:type="dxa"/>
              <w:bottom w:w="80" w:type="dxa"/>
              <w:right w:w="120" w:type="dxa"/>
            </w:tcMar>
          </w:tcPr>
          <w:p w14:paraId="66810CC9"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FFFFFF"/>
                <w:sz w:val="24"/>
                <w:szCs w:val="24"/>
              </w:rPr>
              <w:t>DIVIDER</w:t>
            </w:r>
          </w:p>
        </w:tc>
        <w:tc>
          <w:tcPr>
            <w:tcW w:w="7360" w:type="dxa"/>
            <w:tcBorders>
              <w:top w:val="single" w:sz="1" w:space="0" w:color="BFBFBF"/>
              <w:left w:val="single" w:sz="1" w:space="0" w:color="BFBFBF"/>
              <w:bottom w:val="single" w:sz="1" w:space="0" w:color="BFBFBF"/>
              <w:right w:val="single" w:sz="1" w:space="0" w:color="BFBFBF"/>
            </w:tcBorders>
            <w:shd w:val="clear" w:color="auto" w:fill="C00000"/>
            <w:tcMar>
              <w:top w:w="80" w:type="dxa"/>
              <w:left w:w="120" w:type="dxa"/>
              <w:bottom w:w="80" w:type="dxa"/>
              <w:right w:w="120" w:type="dxa"/>
            </w:tcMar>
          </w:tcPr>
          <w:p w14:paraId="7FD45C33"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FFFFFF"/>
                <w:sz w:val="24"/>
                <w:szCs w:val="24"/>
              </w:rPr>
              <w:t>How It Drives the Parties Apart</w:t>
            </w:r>
          </w:p>
        </w:tc>
      </w:tr>
      <w:tr w:rsidR="00CC48EF" w:rsidRPr="00CC48EF" w14:paraId="1DE48C79" w14:textId="77777777" w:rsidTr="00962036">
        <w:tc>
          <w:tcPr>
            <w:tcW w:w="20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tcPr>
          <w:p w14:paraId="494A22E5" w14:textId="77777777" w:rsidR="00CC48EF" w:rsidRPr="00CC48EF" w:rsidRDefault="00CC48EF" w:rsidP="00962036">
            <w:pPr>
              <w:rPr>
                <w:rFonts w:ascii="Times New Roman" w:hAnsi="Times New Roman" w:cs="Times New Roman"/>
                <w:sz w:val="24"/>
                <w:szCs w:val="24"/>
              </w:rPr>
            </w:pPr>
            <w:proofErr w:type="spellStart"/>
            <w:r w:rsidRPr="00CC48EF">
              <w:rPr>
                <w:rFonts w:ascii="Times New Roman" w:eastAsia="Arial" w:hAnsi="Times New Roman" w:cs="Times New Roman"/>
                <w:b/>
                <w:bCs/>
                <w:color w:val="C00000"/>
                <w:sz w:val="24"/>
                <w:szCs w:val="24"/>
              </w:rPr>
              <w:t>AoA</w:t>
            </w:r>
            <w:proofErr w:type="spellEnd"/>
            <w:r w:rsidRPr="00CC48EF">
              <w:rPr>
                <w:rFonts w:ascii="Times New Roman" w:eastAsia="Arial" w:hAnsi="Times New Roman" w:cs="Times New Roman"/>
                <w:b/>
                <w:bCs/>
                <w:color w:val="C00000"/>
                <w:sz w:val="24"/>
                <w:szCs w:val="24"/>
              </w:rPr>
              <w:t xml:space="preserve"> Architecture</w:t>
            </w:r>
          </w:p>
        </w:tc>
        <w:tc>
          <w:tcPr>
            <w:tcW w:w="7360" w:type="dxa"/>
            <w:tcBorders>
              <w:top w:val="single" w:sz="1" w:space="0" w:color="BFBFBF"/>
              <w:left w:val="single" w:sz="1" w:space="0" w:color="BFBFBF"/>
              <w:bottom w:val="single" w:sz="1" w:space="0" w:color="BFBFBF"/>
              <w:right w:val="single" w:sz="1" w:space="0" w:color="BFBFBF"/>
            </w:tcBorders>
            <w:shd w:val="clear" w:color="auto" w:fill="F9FFF9"/>
            <w:tcMar>
              <w:top w:w="80" w:type="dxa"/>
              <w:left w:w="120" w:type="dxa"/>
              <w:bottom w:w="80" w:type="dxa"/>
              <w:right w:w="120" w:type="dxa"/>
            </w:tcMar>
          </w:tcPr>
          <w:p w14:paraId="3C2977C5"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sz w:val="24"/>
                <w:szCs w:val="24"/>
              </w:rPr>
              <w:t xml:space="preserve">Article 121 of Tata Sons' </w:t>
            </w:r>
            <w:proofErr w:type="spellStart"/>
            <w:r w:rsidRPr="00CC48EF">
              <w:rPr>
                <w:rFonts w:ascii="Times New Roman" w:eastAsia="Arial" w:hAnsi="Times New Roman" w:cs="Times New Roman"/>
                <w:sz w:val="24"/>
                <w:szCs w:val="24"/>
              </w:rPr>
              <w:t>AoA</w:t>
            </w:r>
            <w:proofErr w:type="spellEnd"/>
            <w:r w:rsidRPr="00CC48EF">
              <w:rPr>
                <w:rFonts w:ascii="Times New Roman" w:eastAsia="Arial" w:hAnsi="Times New Roman" w:cs="Times New Roman"/>
                <w:sz w:val="24"/>
                <w:szCs w:val="24"/>
              </w:rPr>
              <w:t xml:space="preserve"> gave Tata Trusts nominees affirmative veto powers. This structural asymmetry meant Mistry could never be a genuinely empowered Executive Chairman.</w:t>
            </w:r>
          </w:p>
        </w:tc>
      </w:tr>
      <w:tr w:rsidR="00CC48EF" w:rsidRPr="00CC48EF" w14:paraId="428B39EB" w14:textId="77777777" w:rsidTr="00962036">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EDB181"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C00000"/>
                <w:sz w:val="24"/>
                <w:szCs w:val="24"/>
              </w:rPr>
              <w:lastRenderedPageBreak/>
              <w:t>Leaked Letter</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BFA0DE"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sz w:val="24"/>
                <w:szCs w:val="24"/>
              </w:rPr>
              <w:t>The public release of Mistry's confidential October 2016 letter poisoned any possibility of back-channel resolution. It made the conflict personal, national, and irreversible.</w:t>
            </w:r>
          </w:p>
        </w:tc>
      </w:tr>
      <w:tr w:rsidR="00CC48EF" w:rsidRPr="00CC48EF" w14:paraId="7F8EFFAB" w14:textId="77777777" w:rsidTr="00962036">
        <w:tc>
          <w:tcPr>
            <w:tcW w:w="20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tcPr>
          <w:p w14:paraId="7239BAF8"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C00000"/>
                <w:sz w:val="24"/>
                <w:szCs w:val="24"/>
              </w:rPr>
              <w:t>Ratan Tata's Continued Shadow</w:t>
            </w:r>
          </w:p>
        </w:tc>
        <w:tc>
          <w:tcPr>
            <w:tcW w:w="7360" w:type="dxa"/>
            <w:tcBorders>
              <w:top w:val="single" w:sz="1" w:space="0" w:color="BFBFBF"/>
              <w:left w:val="single" w:sz="1" w:space="0" w:color="BFBFBF"/>
              <w:bottom w:val="single" w:sz="1" w:space="0" w:color="BFBFBF"/>
              <w:right w:val="single" w:sz="1" w:space="0" w:color="BFBFBF"/>
            </w:tcBorders>
            <w:shd w:val="clear" w:color="auto" w:fill="F9FFF9"/>
            <w:tcMar>
              <w:top w:w="80" w:type="dxa"/>
              <w:left w:w="120" w:type="dxa"/>
              <w:bottom w:w="80" w:type="dxa"/>
              <w:right w:w="120" w:type="dxa"/>
            </w:tcMar>
          </w:tcPr>
          <w:p w14:paraId="2BC6AAB1"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sz w:val="24"/>
                <w:szCs w:val="24"/>
              </w:rPr>
              <w:t>Unlike JRD Tata, who transferred full authority when he handed over to Ratan Tata, Ratan retained effective veto power through the Trusts. This structural 'founder's dilemma' was never resolved.</w:t>
            </w:r>
          </w:p>
        </w:tc>
      </w:tr>
      <w:tr w:rsidR="00CC48EF" w:rsidRPr="00CC48EF" w14:paraId="0D36A8C7" w14:textId="77777777" w:rsidTr="00962036">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F34C3E"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C00000"/>
                <w:sz w:val="24"/>
                <w:szCs w:val="24"/>
              </w:rPr>
              <w:t>Valuation Gap</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C0A996"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sz w:val="24"/>
                <w:szCs w:val="24"/>
              </w:rPr>
              <w:t>A massive gap between SP Group's and Tata Sons' valuation of the minority stake made any buyout negotiation practically impossible. Neither side would move enough.</w:t>
            </w:r>
          </w:p>
        </w:tc>
      </w:tr>
      <w:tr w:rsidR="00CC48EF" w:rsidRPr="00CC48EF" w14:paraId="3D370573" w14:textId="77777777" w:rsidTr="00962036">
        <w:tc>
          <w:tcPr>
            <w:tcW w:w="20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tcPr>
          <w:p w14:paraId="04F58023"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C00000"/>
                <w:sz w:val="24"/>
                <w:szCs w:val="24"/>
              </w:rPr>
              <w:t>Legacy vs. Financials</w:t>
            </w:r>
          </w:p>
        </w:tc>
        <w:tc>
          <w:tcPr>
            <w:tcW w:w="7360" w:type="dxa"/>
            <w:tcBorders>
              <w:top w:val="single" w:sz="1" w:space="0" w:color="BFBFBF"/>
              <w:left w:val="single" w:sz="1" w:space="0" w:color="BFBFBF"/>
              <w:bottom w:val="single" w:sz="1" w:space="0" w:color="BFBFBF"/>
              <w:right w:val="single" w:sz="1" w:space="0" w:color="BFBFBF"/>
            </w:tcBorders>
            <w:shd w:val="clear" w:color="auto" w:fill="F9FFF9"/>
            <w:tcMar>
              <w:top w:w="80" w:type="dxa"/>
              <w:left w:w="120" w:type="dxa"/>
              <w:bottom w:w="80" w:type="dxa"/>
              <w:right w:w="120" w:type="dxa"/>
            </w:tcMar>
          </w:tcPr>
          <w:p w14:paraId="594167C6"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sz w:val="24"/>
                <w:szCs w:val="24"/>
              </w:rPr>
              <w:t>Tata's identity is built around legacy, name, and mission. Mistry's identity as a businessman was built around financial discipline and return on capital. These worldviews are fundamentally incompatible at the leadership level.</w:t>
            </w:r>
          </w:p>
        </w:tc>
      </w:tr>
      <w:tr w:rsidR="00CC48EF" w:rsidRPr="00CC48EF" w14:paraId="30FF4F6A" w14:textId="77777777" w:rsidTr="00962036">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D8E38C"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b/>
                <w:bCs/>
                <w:color w:val="C00000"/>
                <w:sz w:val="24"/>
                <w:szCs w:val="24"/>
              </w:rPr>
              <w:t>The Wadia Expulsion</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9E325F" w14:textId="77777777" w:rsidR="00CC48EF" w:rsidRPr="00CC48EF" w:rsidRDefault="00CC48EF" w:rsidP="00962036">
            <w:pPr>
              <w:rPr>
                <w:rFonts w:ascii="Times New Roman" w:hAnsi="Times New Roman" w:cs="Times New Roman"/>
                <w:sz w:val="24"/>
                <w:szCs w:val="24"/>
              </w:rPr>
            </w:pPr>
            <w:r w:rsidRPr="00CC48EF">
              <w:rPr>
                <w:rFonts w:ascii="Times New Roman" w:eastAsia="Arial" w:hAnsi="Times New Roman" w:cs="Times New Roman"/>
                <w:sz w:val="24"/>
                <w:szCs w:val="24"/>
              </w:rPr>
              <w:t xml:space="preserve">Tata Sons' move to remove </w:t>
            </w:r>
            <w:proofErr w:type="spellStart"/>
            <w:r w:rsidRPr="00CC48EF">
              <w:rPr>
                <w:rFonts w:ascii="Times New Roman" w:eastAsia="Arial" w:hAnsi="Times New Roman" w:cs="Times New Roman"/>
                <w:sz w:val="24"/>
                <w:szCs w:val="24"/>
              </w:rPr>
              <w:t>Nusli</w:t>
            </w:r>
            <w:proofErr w:type="spellEnd"/>
            <w:r w:rsidRPr="00CC48EF">
              <w:rPr>
                <w:rFonts w:ascii="Times New Roman" w:eastAsia="Arial" w:hAnsi="Times New Roman" w:cs="Times New Roman"/>
                <w:sz w:val="24"/>
                <w:szCs w:val="24"/>
              </w:rPr>
              <w:t xml:space="preserve"> Wadia from Tata company boards — a man who had been close to the group for decades — for simply siding with Mistry at an EGM, </w:t>
            </w:r>
            <w:proofErr w:type="spellStart"/>
            <w:r w:rsidRPr="00CC48EF">
              <w:rPr>
                <w:rFonts w:ascii="Times New Roman" w:eastAsia="Arial" w:hAnsi="Times New Roman" w:cs="Times New Roman"/>
                <w:sz w:val="24"/>
                <w:szCs w:val="24"/>
              </w:rPr>
              <w:t>signalled</w:t>
            </w:r>
            <w:proofErr w:type="spellEnd"/>
            <w:r w:rsidRPr="00CC48EF">
              <w:rPr>
                <w:rFonts w:ascii="Times New Roman" w:eastAsia="Arial" w:hAnsi="Times New Roman" w:cs="Times New Roman"/>
                <w:sz w:val="24"/>
                <w:szCs w:val="24"/>
              </w:rPr>
              <w:t xml:space="preserve"> to all parties that neutrality was not an option.</w:t>
            </w:r>
          </w:p>
        </w:tc>
      </w:tr>
    </w:tbl>
    <w:p w14:paraId="577E26B5" w14:textId="77777777" w:rsidR="00CC48EF" w:rsidRDefault="00CC48EF" w:rsidP="00CC48EF">
      <w:pPr>
        <w:spacing w:before="60" w:after="100"/>
      </w:pPr>
    </w:p>
    <w:p w14:paraId="677F6691" w14:textId="0946FD4A" w:rsidR="00CC48EF" w:rsidRDefault="00CC48EF" w:rsidP="00CC48EF">
      <w:pPr>
        <w:pStyle w:val="Style1"/>
      </w:pPr>
      <w:r>
        <w:t>Options for Resolution</w:t>
      </w:r>
    </w:p>
    <w:p w14:paraId="4E99C0B7" w14:textId="0C1BF2A4" w:rsidR="003A5E5E" w:rsidRDefault="003A5E5E" w:rsidP="003A5E5E">
      <w:pPr>
        <w:pStyle w:val="conflictbody"/>
      </w:pPr>
      <w:r>
        <w:rPr>
          <w:rFonts w:ascii="Georgia" w:eastAsia="Georgia" w:hAnsi="Georgia" w:cs="Georgia"/>
          <w:sz w:val="22"/>
        </w:rPr>
        <w:t xml:space="preserve">What is striking about the Tata-Mistry conflict is how completely this phase was skipped. The moment the board voted on October 24, both sides moved directly to adversarial postures. There was no back channel. No mediation </w:t>
      </w:r>
      <w:proofErr w:type="gramStart"/>
      <w:r>
        <w:rPr>
          <w:rFonts w:ascii="Georgia" w:eastAsia="Georgia" w:hAnsi="Georgia" w:cs="Georgia"/>
          <w:sz w:val="22"/>
        </w:rPr>
        <w:t>attempt</w:t>
      </w:r>
      <w:proofErr w:type="gramEnd"/>
      <w:r>
        <w:rPr>
          <w:rFonts w:ascii="Georgia" w:eastAsia="Georgia" w:hAnsi="Georgia" w:cs="Georgia"/>
          <w:sz w:val="22"/>
        </w:rPr>
        <w:t xml:space="preserve">. No quiet conversation between Noel Tata and </w:t>
      </w:r>
      <w:proofErr w:type="spellStart"/>
      <w:r>
        <w:rPr>
          <w:rFonts w:ascii="Georgia" w:eastAsia="Georgia" w:hAnsi="Georgia" w:cs="Georgia"/>
          <w:sz w:val="22"/>
        </w:rPr>
        <w:t>Shapoor</w:t>
      </w:r>
      <w:proofErr w:type="spellEnd"/>
      <w:r>
        <w:rPr>
          <w:rFonts w:ascii="Georgia" w:eastAsia="Georgia" w:hAnsi="Georgia" w:cs="Georgia"/>
          <w:sz w:val="22"/>
        </w:rPr>
        <w:t xml:space="preserve"> Mistry.</w:t>
      </w:r>
    </w:p>
    <w:p w14:paraId="47B10D0F" w14:textId="77777777" w:rsidR="003A5E5E" w:rsidRDefault="003A5E5E" w:rsidP="003A5E5E">
      <w:pPr>
        <w:pStyle w:val="conflictbody"/>
        <w:rPr>
          <w:rFonts w:ascii="Georgia" w:eastAsia="Georgia" w:hAnsi="Georgia" w:cs="Georgia"/>
          <w:sz w:val="22"/>
        </w:rPr>
      </w:pPr>
      <w:r>
        <w:rPr>
          <w:rFonts w:ascii="Georgia" w:eastAsia="Georgia" w:hAnsi="Georgia" w:cs="Georgia"/>
          <w:sz w:val="22"/>
        </w:rPr>
        <w:t>The options available, had anyone looked, were not complicated.</w:t>
      </w:r>
    </w:p>
    <w:p w14:paraId="6A1EE0FC" w14:textId="744C75F0" w:rsidR="003A5E5E" w:rsidRDefault="003A5E5E" w:rsidP="003A5E5E">
      <w:pPr>
        <w:pStyle w:val="conflictbody"/>
        <w:rPr>
          <w:rFonts w:ascii="Georgia" w:eastAsia="Georgia" w:hAnsi="Georgia" w:cs="Georgia"/>
          <w:sz w:val="22"/>
        </w:rPr>
      </w:pPr>
      <w:r>
        <w:rPr>
          <w:rFonts w:ascii="Georgia" w:eastAsia="Georgia" w:hAnsi="Georgia" w:cs="Georgia"/>
          <w:sz w:val="22"/>
        </w:rPr>
        <w:t xml:space="preserve">A mediated exit with a clear, dignified public narrative and fair compensation, could have addressed Mistry’s core interests without requiring Tata Sons to concede anything about the legality of the removal. </w:t>
      </w:r>
    </w:p>
    <w:p w14:paraId="3F8CB811" w14:textId="77777777" w:rsidR="003A5E5E" w:rsidRDefault="003A5E5E" w:rsidP="003A5E5E">
      <w:pPr>
        <w:pStyle w:val="conflictbody"/>
        <w:rPr>
          <w:rFonts w:ascii="Georgia" w:eastAsia="Georgia" w:hAnsi="Georgia" w:cs="Georgia"/>
          <w:sz w:val="22"/>
        </w:rPr>
      </w:pPr>
      <w:r>
        <w:rPr>
          <w:rFonts w:ascii="Georgia" w:eastAsia="Georgia" w:hAnsi="Georgia" w:cs="Georgia"/>
          <w:sz w:val="22"/>
        </w:rPr>
        <w:t xml:space="preserve">A structured buyout of the SP Group’s stake at an independently assessed valuation would have cleanly separated two families whose commercial relationship had broken down, while giving the SP Group the liquidity it genuinely needed. </w:t>
      </w:r>
    </w:p>
    <w:p w14:paraId="7B830544" w14:textId="4F80E431" w:rsidR="003A5E5E" w:rsidRDefault="003A5E5E" w:rsidP="003A5E5E">
      <w:pPr>
        <w:pStyle w:val="conflictbody"/>
      </w:pPr>
      <w:r>
        <w:rPr>
          <w:rFonts w:ascii="Georgia" w:eastAsia="Georgia" w:hAnsi="Georgia" w:cs="Georgia"/>
          <w:sz w:val="22"/>
        </w:rPr>
        <w:lastRenderedPageBreak/>
        <w:t xml:space="preserve">A negotiated governance reform, like a revised </w:t>
      </w:r>
      <w:proofErr w:type="spellStart"/>
      <w:r>
        <w:rPr>
          <w:rFonts w:ascii="Georgia" w:eastAsia="Georgia" w:hAnsi="Georgia" w:cs="Georgia"/>
          <w:sz w:val="22"/>
        </w:rPr>
        <w:t>AoA</w:t>
      </w:r>
      <w:proofErr w:type="spellEnd"/>
      <w:r>
        <w:rPr>
          <w:rFonts w:ascii="Georgia" w:eastAsia="Georgia" w:hAnsi="Georgia" w:cs="Georgia"/>
          <w:sz w:val="22"/>
        </w:rPr>
        <w:t xml:space="preserve"> giving the Executive Chairman clearer operational authority while preserving the Trusts’ stewardship role would have addressed the structural root cause and prevented the same conflict from recurring with the next Chairman.</w:t>
      </w:r>
    </w:p>
    <w:p w14:paraId="54B342C9" w14:textId="7187D279" w:rsidR="003A5E5E" w:rsidRDefault="003A5E5E" w:rsidP="003A5E5E">
      <w:pPr>
        <w:pStyle w:val="conflictbody"/>
        <w:rPr>
          <w:rFonts w:ascii="Georgia" w:eastAsia="Georgia" w:hAnsi="Georgia" w:cs="Georgia"/>
          <w:sz w:val="22"/>
        </w:rPr>
      </w:pPr>
      <w:r>
        <w:rPr>
          <w:rFonts w:ascii="Georgia" w:eastAsia="Georgia" w:hAnsi="Georgia" w:cs="Georgia"/>
          <w:sz w:val="22"/>
        </w:rPr>
        <w:t>The BATNA analysis is also revealing here. Tata Sons’ BATNA was strong: retain private status, manage the fallout, move on. The SP Group’s BATNA was weak: an illiquid stake, growing debt obligations, and no clean exit route. A party with a genuinely weak BATNA and no mediator to level the table will eventually lose regardless of the merits of their case. That is more or less what happened.</w:t>
      </w:r>
    </w:p>
    <w:p w14:paraId="77E947E9" w14:textId="586F2263" w:rsidR="003A5E5E" w:rsidRDefault="003A5E5E" w:rsidP="003A5E5E">
      <w:pPr>
        <w:pStyle w:val="Style1"/>
      </w:pPr>
      <w:r>
        <w:t>Why the Resolution Failed</w:t>
      </w:r>
    </w:p>
    <w:p w14:paraId="0A2C3104" w14:textId="77777777" w:rsidR="003A5E5E" w:rsidRDefault="003A5E5E" w:rsidP="003A5E5E">
      <w:pPr>
        <w:pStyle w:val="conflictbody"/>
      </w:pPr>
      <w:r>
        <w:t xml:space="preserve">The Supreme Court’s March 2021 judgment found in </w:t>
      </w:r>
      <w:proofErr w:type="spellStart"/>
      <w:r>
        <w:t>favour</w:t>
      </w:r>
      <w:proofErr w:type="spellEnd"/>
      <w:r>
        <w:t xml:space="preserve"> of Tata Sons. Mistry’s removal was legal. The NCLAT order reinstating him was overturned.</w:t>
      </w:r>
      <w:r>
        <w:rPr>
          <w:rStyle w:val="FootnoteReference"/>
        </w:rPr>
        <w:footnoteReference w:id="9"/>
      </w:r>
      <w:r>
        <w:t xml:space="preserve"> This is usually described as a resolution. I want to argue that it was not. A court judgment resolves a legal question; it does not resolve a conflict. The SP Group’s stake remained illiquid. The governance architecture of Tata Sons remained unreformed. A future Chairman would face precisely the same structural ambiguity Mistry had faced. The Supreme Court told us who won legally. It did not tell us why any of this had to happen.</w:t>
      </w:r>
    </w:p>
    <w:p w14:paraId="5C611F06" w14:textId="77777777" w:rsidR="003A5E5E" w:rsidRDefault="003A5E5E" w:rsidP="003A5E5E">
      <w:pPr>
        <w:pStyle w:val="conflictbody"/>
      </w:pPr>
      <w:r>
        <w:t>Five reasons, in my assessment, explain why genuine resolution was never achieved. First, the conflict became public before it could become a conversation.</w:t>
      </w:r>
      <w:r>
        <w:rPr>
          <w:rStyle w:val="FootnoteReference"/>
        </w:rPr>
        <w:footnoteReference w:id="10"/>
      </w:r>
      <w:r>
        <w:t xml:space="preserve"> Once Mistry’s letter was in the press, both sides were performing for audiences rather than speaking to each other. Public humiliation does not lend itself to back-channel resolution.</w:t>
      </w:r>
    </w:p>
    <w:p w14:paraId="14F00857" w14:textId="19EB7D17" w:rsidR="003A5E5E" w:rsidRDefault="003A5E5E" w:rsidP="003A5E5E">
      <w:pPr>
        <w:pStyle w:val="conflictbody"/>
      </w:pPr>
      <w:r>
        <w:t>Second, neither side could separate their personal stakes from the institutional question.</w:t>
      </w:r>
      <w:r>
        <w:rPr>
          <w:rStyle w:val="FootnoteReference"/>
        </w:rPr>
        <w:footnoteReference w:id="11"/>
      </w:r>
      <w:r>
        <w:t xml:space="preserve"> For Ratan Tata, any concession to Mistry’s version of events was a concession that Ratan himself </w:t>
      </w:r>
      <w:r>
        <w:lastRenderedPageBreak/>
        <w:t xml:space="preserve">had made mistakes. He was not, at that stage of his life, a man who could easily accept that framing. For Mistry, any settlement short of full vindication felt like accepting that his removal had been justified. Fisher and </w:t>
      </w:r>
      <w:proofErr w:type="spellStart"/>
      <w:r>
        <w:t>Ury</w:t>
      </w:r>
      <w:proofErr w:type="spellEnd"/>
      <w:r>
        <w:t xml:space="preserve"> call this the ‘people problem’ </w:t>
      </w:r>
      <w:r w:rsidR="00427168">
        <w:t>i.e.</w:t>
      </w:r>
      <w:r>
        <w:t xml:space="preserve"> when ego and identity become inseparable from the substantive dispute, the dispute becomes about something no agreement can actually deliver.</w:t>
      </w:r>
    </w:p>
    <w:p w14:paraId="577CBF4E" w14:textId="2A213E00" w:rsidR="003A5E5E" w:rsidRDefault="003A5E5E" w:rsidP="003A5E5E">
      <w:pPr>
        <w:pStyle w:val="conflictbody"/>
      </w:pPr>
      <w:r>
        <w:t>Third, there was no mediator</w:t>
      </w:r>
      <w:r w:rsidR="00175B40">
        <w:t xml:space="preserve">. </w:t>
      </w:r>
      <w:r>
        <w:t>India’s corporate ecosystem does not have a strong culture of mediation in boardroom disputes. The reflexive response to conflict is litigation. But courts are designed to determine what is legal, not what is fair or what serves both parties’ long-term interests. A skilled mediator might have opened the conversation about underlying interests that the legal process was structurally incapable of opening. Nobody requested one.</w:t>
      </w:r>
    </w:p>
    <w:p w14:paraId="67C3FB09" w14:textId="678A5306" w:rsidR="003A5E5E" w:rsidRDefault="003A5E5E" w:rsidP="003A5E5E">
      <w:pPr>
        <w:pStyle w:val="conflictbody"/>
      </w:pPr>
      <w:r>
        <w:t xml:space="preserve">Fourth, the structural asymmetry was never addressed. Even today, the </w:t>
      </w:r>
      <w:proofErr w:type="spellStart"/>
      <w:r>
        <w:t>AoA</w:t>
      </w:r>
      <w:proofErr w:type="spellEnd"/>
      <w:r>
        <w:t xml:space="preserve"> of Tata Sons has not been fundamentally reformed. The recent tensions within the Tata Trusts involving the </w:t>
      </w:r>
      <w:proofErr w:type="spellStart"/>
      <w:r>
        <w:t>Mehli</w:t>
      </w:r>
      <w:proofErr w:type="spellEnd"/>
      <w:r>
        <w:t xml:space="preserve"> Mistry faction in 2025 suggest the fault line has not moved. Only the names have changed.</w:t>
      </w:r>
    </w:p>
    <w:p w14:paraId="30AFB4B6" w14:textId="40A004B1" w:rsidR="00175B40" w:rsidRDefault="003A5E5E" w:rsidP="00175B40">
      <w:pPr>
        <w:pStyle w:val="conflictbody"/>
      </w:pPr>
      <w:r>
        <w:t>Fifth</w:t>
      </w:r>
      <w:r w:rsidR="00427168">
        <w:t xml:space="preserve">, </w:t>
      </w:r>
      <w:r>
        <w:t xml:space="preserve">Ratan Tata’s decision not to make a clean succession in 2012 was the original sin of this conflict. He gave Mistry the title without the authority. He retained structural control through the Trusts. He created a situation where the Executive Chairman could be overridden at any point. And when Mistry acted </w:t>
      </w:r>
      <w:r w:rsidR="00427168">
        <w:t>based on</w:t>
      </w:r>
      <w:r>
        <w:t xml:space="preserve"> the authority he had been given in name, the response was removal. </w:t>
      </w:r>
      <w:r w:rsidR="00F76D1D">
        <w:t>T</w:t>
      </w:r>
      <w:r>
        <w:t xml:space="preserve">he manner of Mistry’s removal </w:t>
      </w:r>
      <w:r w:rsidR="00427168">
        <w:t>was</w:t>
      </w:r>
      <w:r>
        <w:t xml:space="preserve"> abrupt, </w:t>
      </w:r>
      <w:r w:rsidRPr="00427168">
        <w:t>without process, without stated cause</w:t>
      </w:r>
      <w:r w:rsidR="00427168">
        <w:t xml:space="preserve"> </w:t>
      </w:r>
      <w:proofErr w:type="gramStart"/>
      <w:r w:rsidR="00427168">
        <w:t>and</w:t>
      </w:r>
      <w:r w:rsidRPr="00427168">
        <w:t xml:space="preserve">  was</w:t>
      </w:r>
      <w:proofErr w:type="gramEnd"/>
      <w:r w:rsidRPr="00427168">
        <w:t xml:space="preserve"> not consistent with the governance values the Tata Group publicly espouses. </w:t>
      </w:r>
    </w:p>
    <w:p w14:paraId="2C2CFCE3" w14:textId="77777777" w:rsidR="00427168" w:rsidRDefault="00427168" w:rsidP="003A5E5E">
      <w:pPr>
        <w:pStyle w:val="conflictbody"/>
      </w:pPr>
    </w:p>
    <w:p w14:paraId="2AEC630A" w14:textId="3052859C" w:rsidR="00427168" w:rsidRDefault="00427168" w:rsidP="00427168">
      <w:pPr>
        <w:pStyle w:val="Style1"/>
      </w:pPr>
      <w:r>
        <w:t>Lessons and Personal Reflection.</w:t>
      </w:r>
    </w:p>
    <w:p w14:paraId="68DC79FA" w14:textId="7C1AC418" w:rsidR="00A471B3" w:rsidRDefault="00A471B3" w:rsidP="00A471B3">
      <w:pPr>
        <w:pStyle w:val="conflictbody"/>
      </w:pPr>
      <w:r>
        <w:t>The Tata-Mistry conflict is, at its heart, the story of a negotiation that was never attempted.</w:t>
      </w:r>
    </w:p>
    <w:p w14:paraId="30D00B48" w14:textId="422881BA" w:rsidR="00A471B3" w:rsidRDefault="00A471B3" w:rsidP="00A471B3">
      <w:pPr>
        <w:pStyle w:val="conflictbody"/>
        <w:rPr>
          <w:rFonts w:eastAsia="Times New Roman" w:cs="Times New Roman"/>
          <w:color w:val="auto"/>
        </w:rPr>
      </w:pPr>
      <w:r>
        <w:t>The removal of Mistry was a governance failure</w:t>
      </w:r>
      <w:r>
        <w:t xml:space="preserve">, </w:t>
      </w:r>
      <w:r>
        <w:t xml:space="preserve">not because he was necessarily the right leader, but because the manner of removal </w:t>
      </w:r>
      <w:r>
        <w:t>was</w:t>
      </w:r>
      <w:r>
        <w:t xml:space="preserve"> abrupt, </w:t>
      </w:r>
      <w:r w:rsidR="00F96C5A">
        <w:t>without notice, without stated cause, and without process</w:t>
      </w:r>
      <w:r w:rsidR="00F96C5A">
        <w:t xml:space="preserve"> </w:t>
      </w:r>
      <w:r w:rsidR="00785BBF">
        <w:t>this</w:t>
      </w:r>
      <w:r w:rsidR="00F96C5A">
        <w:t xml:space="preserve"> </w:t>
      </w:r>
      <w:r>
        <w:t>violated every principle of fair governance. Tata Sons had the legal authority to remove him. What it did not have was the wisdom to do it well. Those are different things. Equally, Mistry's failure to prevent his confidential board letter from entering the public domain was a strategic error that ended any possibility of a negotiated solution.</w:t>
      </w:r>
      <w:r w:rsidR="00785BBF" w:rsidRPr="00785BBF">
        <w:t xml:space="preserve"> </w:t>
      </w:r>
      <w:r w:rsidR="00785BBF">
        <w:t>Both</w:t>
      </w:r>
      <w:r w:rsidR="00785BBF">
        <w:t xml:space="preserve"> sides were simultaneously right and wrong</w:t>
      </w:r>
      <w:r>
        <w:t>.</w:t>
      </w:r>
    </w:p>
    <w:p w14:paraId="111D543B" w14:textId="46260BB5" w:rsidR="00A471B3" w:rsidRDefault="00A471B3" w:rsidP="00A471B3">
      <w:pPr>
        <w:pStyle w:val="conflictbody"/>
      </w:pPr>
      <w:r>
        <w:t xml:space="preserve">The most painful aspect is how preventable it was. A well-drafted succession charter, a clearly worded </w:t>
      </w:r>
      <w:proofErr w:type="spellStart"/>
      <w:r>
        <w:t>AoA</w:t>
      </w:r>
      <w:proofErr w:type="spellEnd"/>
      <w:r>
        <w:t>, a pre-agreed dispute resolution mechanism</w:t>
      </w:r>
      <w:r w:rsidR="00785BBF">
        <w:t>,</w:t>
      </w:r>
      <w:r>
        <w:t xml:space="preserve"> any of these would have made the entire episode unnecessary</w:t>
      </w:r>
      <w:r w:rsidR="00785BBF">
        <w:t xml:space="preserve">, </w:t>
      </w:r>
      <w:r w:rsidR="00785BBF">
        <w:t>a negotiated exit might have achieved the same outcome at a fraction of the cost, and with the historic Tata-Mistry family relationship intact</w:t>
      </w:r>
      <w:r>
        <w:t xml:space="preserve"> Instead, Ratan Tata handed Mistry a title without authority, retained structural control through the Trusts, and created a situation where conflict was not just possible but inevitable</w:t>
      </w:r>
      <w:r w:rsidR="00F96C5A">
        <w:t>.</w:t>
      </w:r>
    </w:p>
    <w:p w14:paraId="2D35204B" w14:textId="7E34EB43" w:rsidR="00A471B3" w:rsidRDefault="00A471B3" w:rsidP="00A471B3">
      <w:pPr>
        <w:pStyle w:val="conflictbody"/>
      </w:pPr>
      <w:r>
        <w:t xml:space="preserve">Both principals are now gone. The opportunity exists for Noel Tata and </w:t>
      </w:r>
      <w:proofErr w:type="spellStart"/>
      <w:r>
        <w:t>Shapoor</w:t>
      </w:r>
      <w:proofErr w:type="spellEnd"/>
      <w:r>
        <w:t xml:space="preserve"> Mistry to do what their predecessors could not</w:t>
      </w:r>
      <w:r w:rsidR="00F96C5A">
        <w:t>.</w:t>
      </w:r>
      <w:r>
        <w:t xml:space="preserve"> </w:t>
      </w:r>
    </w:p>
    <w:p w14:paraId="6A24B44F" w14:textId="6D801EFC" w:rsidR="00A471B3" w:rsidRDefault="00A471B3" w:rsidP="00A471B3">
      <w:pPr>
        <w:pStyle w:val="conflictbody"/>
      </w:pPr>
      <w:r>
        <w:t xml:space="preserve">Fisher and </w:t>
      </w:r>
      <w:proofErr w:type="spellStart"/>
      <w:r>
        <w:t>Ury</w:t>
      </w:r>
      <w:proofErr w:type="spellEnd"/>
      <w:r>
        <w:t xml:space="preserve"> remind us that the goal of negotiation is not to win. In this conflict, nobody has. Both sides paid an enormous price in money, reputation, and the slow erosion of a relationship that took ninety years to build</w:t>
      </w:r>
      <w:r w:rsidR="00785BBF">
        <w:t>,</w:t>
      </w:r>
      <w:r>
        <w:t xml:space="preserve"> for an outcome a single honest conversation in October 2016 might have produced at a fraction of the cost.</w:t>
      </w:r>
    </w:p>
    <w:p w14:paraId="7C18400D" w14:textId="21A006B4" w:rsidR="00F96C5A" w:rsidRDefault="00F96C5A" w:rsidP="00175B40">
      <w:pPr>
        <w:pStyle w:val="conflictbody"/>
      </w:pPr>
      <w:r>
        <w:t>Both sides chose to be right over choosing to resolve. In conflict, that is almost always the most expensive decision you can make</w:t>
      </w:r>
      <w:r w:rsidR="00175B40">
        <w:t>.</w:t>
      </w:r>
    </w:p>
    <w:p w14:paraId="132DE4AF" w14:textId="77777777" w:rsidR="00175B40" w:rsidRDefault="00175B40" w:rsidP="00175B40">
      <w:pPr>
        <w:pStyle w:val="conflictbody"/>
      </w:pPr>
      <w:bookmarkStart w:id="0" w:name="_GoBack"/>
      <w:bookmarkEnd w:id="0"/>
    </w:p>
    <w:p w14:paraId="42A0C423" w14:textId="77777777" w:rsidR="00F76D1D" w:rsidRDefault="00F76D1D" w:rsidP="00F76D1D">
      <w:pPr>
        <w:pStyle w:val="Style1"/>
      </w:pPr>
      <w:r>
        <w:t>Bibliography</w:t>
      </w:r>
    </w:p>
    <w:p w14:paraId="2C915985" w14:textId="77777777" w:rsidR="00F76D1D" w:rsidRDefault="00F76D1D" w:rsidP="00F96C5A">
      <w:pPr>
        <w:pStyle w:val="conflictbody"/>
      </w:pPr>
      <w:r>
        <w:t xml:space="preserve">Fisher, R., </w:t>
      </w:r>
      <w:proofErr w:type="spellStart"/>
      <w:r>
        <w:t>Ury</w:t>
      </w:r>
      <w:proofErr w:type="spellEnd"/>
      <w:r>
        <w:t>, W., &amp; Patton, B. (1991). Getting to Yes: Negotiating Agreement Without Giving In (2nd ed.). New York: Penguin Books.</w:t>
      </w:r>
    </w:p>
    <w:p w14:paraId="5F23FEE2" w14:textId="77777777" w:rsidR="00F76D1D" w:rsidRDefault="00F76D1D" w:rsidP="00F96C5A">
      <w:pPr>
        <w:pStyle w:val="conflictbody"/>
      </w:pPr>
      <w:r>
        <w:t>Khanna, T., &amp; Palepu, K. (2000). 'The Future of Business Groups in Emerging Markets: Long Run Evidence from India.' Academy of Management Journal, 43(2).</w:t>
      </w:r>
    </w:p>
    <w:p w14:paraId="02F60D74" w14:textId="77777777" w:rsidR="00F76D1D" w:rsidRDefault="00F76D1D" w:rsidP="00F96C5A">
      <w:pPr>
        <w:pStyle w:val="conflictbody"/>
      </w:pPr>
      <w:r>
        <w:t>Mistry, C. P. (2016). Letter to Tata Sons Board, October 2016. Reported in The Economic Times and Business Standard.</w:t>
      </w:r>
    </w:p>
    <w:p w14:paraId="346EDD74" w14:textId="77777777" w:rsidR="00F76D1D" w:rsidRDefault="00F76D1D" w:rsidP="00F96C5A">
      <w:pPr>
        <w:pStyle w:val="conflictbody"/>
      </w:pPr>
      <w:r>
        <w:t>National Company Law Tribunal (NCLT), Mumbai Bench. (2018). Order dated July 9, 2018. Company Petition No. 82/2017.</w:t>
      </w:r>
    </w:p>
    <w:p w14:paraId="1C327B78" w14:textId="77777777" w:rsidR="00F76D1D" w:rsidRDefault="00F76D1D" w:rsidP="00F96C5A">
      <w:pPr>
        <w:pStyle w:val="conflictbody"/>
      </w:pPr>
      <w:r>
        <w:t>National Company Law Appellate Tribunal (NCLAT). (2019). Order dated December 18, 2019.</w:t>
      </w:r>
    </w:p>
    <w:p w14:paraId="57B76A48" w14:textId="77777777" w:rsidR="00F76D1D" w:rsidRDefault="00F76D1D" w:rsidP="00F96C5A">
      <w:pPr>
        <w:pStyle w:val="conflictbody"/>
      </w:pPr>
      <w:r>
        <w:t>Ranganathan, V. (2018). 'Corporate Governance in Indian Family Firms: Lessons from the Tata-Mistry Dispute.' Indian Journal of Corporate Governance, Vol. 11.</w:t>
      </w:r>
    </w:p>
    <w:p w14:paraId="32753522" w14:textId="77777777" w:rsidR="00F76D1D" w:rsidRDefault="00F76D1D" w:rsidP="00F96C5A">
      <w:pPr>
        <w:pStyle w:val="conflictbody"/>
      </w:pPr>
      <w:r>
        <w:t>Supreme Court of India. (2021). Tata Sons Pvt. Ltd. v. Cyrus Investments Pvt. Ltd., Civil Appeal No. 440 of 2020. Judgment dated March 26, 2021.</w:t>
      </w:r>
    </w:p>
    <w:p w14:paraId="55841F2F" w14:textId="77777777" w:rsidR="00F76D1D" w:rsidRDefault="00F76D1D" w:rsidP="00F96C5A">
      <w:pPr>
        <w:pStyle w:val="conflictbody"/>
      </w:pPr>
      <w:r>
        <w:lastRenderedPageBreak/>
        <w:t xml:space="preserve">'Tata-Mistry Saga: A Timeline.' (2019). </w:t>
      </w:r>
      <w:proofErr w:type="spellStart"/>
      <w:r>
        <w:t>Livemint</w:t>
      </w:r>
      <w:proofErr w:type="spellEnd"/>
      <w:r>
        <w:t>, November 2019.</w:t>
      </w:r>
    </w:p>
    <w:p w14:paraId="48AD3301" w14:textId="77777777" w:rsidR="00F76D1D" w:rsidRDefault="00F76D1D" w:rsidP="00F96C5A">
      <w:pPr>
        <w:pStyle w:val="conflictbody"/>
      </w:pPr>
      <w:r>
        <w:t>Tata Sons Private Limited. Articles of Association. Ministry of Corporate Affairs filings.</w:t>
      </w:r>
    </w:p>
    <w:p w14:paraId="5ED23DFC" w14:textId="77777777" w:rsidR="00F76D1D" w:rsidRPr="00F76D1D" w:rsidRDefault="00F76D1D" w:rsidP="00F76D1D">
      <w:pPr>
        <w:spacing w:after="120" w:line="360" w:lineRule="auto"/>
        <w:ind w:firstLine="720"/>
        <w:jc w:val="both"/>
      </w:pPr>
    </w:p>
    <w:sectPr w:rsidR="00F76D1D" w:rsidRPr="00F76D1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F52134" w14:textId="77777777" w:rsidR="006A1FFC" w:rsidRDefault="006A1FFC" w:rsidP="006A1FFC">
      <w:pPr>
        <w:spacing w:after="0" w:line="240" w:lineRule="auto"/>
      </w:pPr>
      <w:r>
        <w:separator/>
      </w:r>
    </w:p>
  </w:endnote>
  <w:endnote w:type="continuationSeparator" w:id="0">
    <w:p w14:paraId="2B6D04C6" w14:textId="77777777" w:rsidR="006A1FFC" w:rsidRDefault="006A1FFC" w:rsidP="006A1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047F34" w14:textId="77777777" w:rsidR="006A1FFC" w:rsidRDefault="006A1FFC" w:rsidP="006A1FFC">
      <w:pPr>
        <w:spacing w:after="0" w:line="240" w:lineRule="auto"/>
      </w:pPr>
      <w:r>
        <w:separator/>
      </w:r>
    </w:p>
  </w:footnote>
  <w:footnote w:type="continuationSeparator" w:id="0">
    <w:p w14:paraId="55561F8F" w14:textId="77777777" w:rsidR="006A1FFC" w:rsidRDefault="006A1FFC" w:rsidP="006A1FFC">
      <w:pPr>
        <w:spacing w:after="0" w:line="240" w:lineRule="auto"/>
      </w:pPr>
      <w:r>
        <w:continuationSeparator/>
      </w:r>
    </w:p>
  </w:footnote>
  <w:footnote w:id="1">
    <w:p w14:paraId="39F86C3E" w14:textId="77777777" w:rsidR="00050C90" w:rsidRDefault="00050C90" w:rsidP="00050C90">
      <w:pPr>
        <w:spacing w:after="60"/>
        <w:jc w:val="both"/>
      </w:pPr>
      <w:r>
        <w:rPr>
          <w:rStyle w:val="FootnoteReference"/>
        </w:rPr>
        <w:footnoteRef/>
      </w:r>
      <w:r>
        <w:t xml:space="preserve"> </w:t>
      </w:r>
      <w:r>
        <w:rPr>
          <w:rFonts w:ascii="Times New Roman" w:eastAsia="Times New Roman" w:hAnsi="Times New Roman" w:cs="Times New Roman"/>
          <w:sz w:val="18"/>
          <w:szCs w:val="18"/>
        </w:rPr>
        <w:t>Tata Sons Private Limited v. Cyrus Investments Pvt. Ltd., Civil Appeal No. 440 of 2020, Supreme Court of India (2021).</w:t>
      </w:r>
    </w:p>
    <w:p w14:paraId="0A5D57D3" w14:textId="77777777" w:rsidR="00050C90" w:rsidRDefault="00050C90">
      <w:pPr>
        <w:pStyle w:val="FootnoteText"/>
      </w:pPr>
    </w:p>
  </w:footnote>
  <w:footnote w:id="2">
    <w:p w14:paraId="39FEF033" w14:textId="77777777" w:rsidR="00050C90" w:rsidRDefault="00050C90">
      <w:pPr>
        <w:pStyle w:val="FootnoteText"/>
      </w:pPr>
      <w:r>
        <w:rPr>
          <w:rStyle w:val="FootnoteReference"/>
        </w:rPr>
        <w:footnoteRef/>
      </w:r>
      <w:r>
        <w:t xml:space="preserve"> </w:t>
      </w:r>
      <w:r w:rsidRPr="00050C90">
        <w:rPr>
          <w:rFonts w:ascii="Times New Roman" w:eastAsia="Arial" w:hAnsi="Times New Roman" w:cs="Times New Roman"/>
          <w:sz w:val="18"/>
          <w:szCs w:val="22"/>
        </w:rPr>
        <w:t>Business Today – A Messy Breakup; Business Standard</w:t>
      </w:r>
    </w:p>
  </w:footnote>
  <w:footnote w:id="3">
    <w:p w14:paraId="0451B75D" w14:textId="77777777" w:rsidR="00050C90" w:rsidRDefault="00050C90">
      <w:pPr>
        <w:pStyle w:val="FootnoteText"/>
      </w:pPr>
      <w:r>
        <w:rPr>
          <w:rStyle w:val="FootnoteReference"/>
        </w:rPr>
        <w:footnoteRef/>
      </w:r>
      <w:r>
        <w:t xml:space="preserve"> </w:t>
      </w:r>
      <w:r w:rsidRPr="00050C90">
        <w:rPr>
          <w:rFonts w:ascii="Times New Roman" w:eastAsia="Arial" w:hAnsi="Times New Roman" w:cs="Times New Roman"/>
          <w:szCs w:val="22"/>
        </w:rPr>
        <w:t>Bhatt &amp; Joshi Associates – Corporate Governance Case PDF</w:t>
      </w:r>
    </w:p>
  </w:footnote>
  <w:footnote w:id="4">
    <w:p w14:paraId="4DF40E4D" w14:textId="77777777" w:rsidR="000823BD" w:rsidRPr="000823BD" w:rsidRDefault="000823BD">
      <w:pPr>
        <w:pStyle w:val="FootnoteText"/>
        <w:rPr>
          <w:rFonts w:ascii="Times New Roman" w:hAnsi="Times New Roman" w:cs="Times New Roman"/>
          <w:sz w:val="18"/>
        </w:rPr>
      </w:pPr>
      <w:r>
        <w:rPr>
          <w:rStyle w:val="FootnoteReference"/>
        </w:rPr>
        <w:footnoteRef/>
      </w:r>
      <w:r>
        <w:t xml:space="preserve"> </w:t>
      </w:r>
      <w:r w:rsidRPr="000823BD">
        <w:rPr>
          <w:rFonts w:ascii="Times New Roman" w:eastAsia="Arial" w:hAnsi="Times New Roman" w:cs="Times New Roman"/>
          <w:szCs w:val="22"/>
        </w:rPr>
        <w:t>Source: Wikipedia – Cyrus Mistry</w:t>
      </w:r>
    </w:p>
  </w:footnote>
  <w:footnote w:id="5">
    <w:p w14:paraId="26D57D8F" w14:textId="77777777" w:rsidR="000823BD" w:rsidRDefault="000823BD">
      <w:pPr>
        <w:pStyle w:val="FootnoteText"/>
      </w:pPr>
      <w:r w:rsidRPr="000823BD">
        <w:rPr>
          <w:rStyle w:val="FootnoteReference"/>
          <w:rFonts w:ascii="Times New Roman" w:hAnsi="Times New Roman" w:cs="Times New Roman"/>
          <w:sz w:val="18"/>
        </w:rPr>
        <w:footnoteRef/>
      </w:r>
      <w:r w:rsidRPr="000823BD">
        <w:rPr>
          <w:rFonts w:ascii="Times New Roman" w:hAnsi="Times New Roman" w:cs="Times New Roman"/>
          <w:sz w:val="18"/>
        </w:rPr>
        <w:t xml:space="preserve"> </w:t>
      </w:r>
      <w:r w:rsidRPr="000823BD">
        <w:rPr>
          <w:rFonts w:ascii="Times New Roman" w:eastAsia="Arial" w:hAnsi="Times New Roman" w:cs="Times New Roman"/>
          <w:szCs w:val="22"/>
        </w:rPr>
        <w:t>Source: Outlook Business – Youngest Chairman profile</w:t>
      </w:r>
    </w:p>
  </w:footnote>
  <w:footnote w:id="6">
    <w:p w14:paraId="673EABC4" w14:textId="77777777" w:rsidR="000823BD" w:rsidRDefault="000823BD" w:rsidP="000823BD">
      <w:pPr>
        <w:spacing w:after="80" w:line="280" w:lineRule="auto"/>
      </w:pPr>
      <w:r>
        <w:rPr>
          <w:rStyle w:val="FootnoteReference"/>
        </w:rPr>
        <w:footnoteRef/>
      </w:r>
      <w:r>
        <w:rPr>
          <w:rFonts w:ascii="Georgia" w:eastAsia="Georgia" w:hAnsi="Georgia" w:cs="Georgia"/>
          <w:color w:val="333333"/>
          <w:sz w:val="18"/>
          <w:szCs w:val="18"/>
        </w:rPr>
        <w:t>Noel Tata was appointed Chairman of Tata Trusts in November 2024, following Ratan Tata's death. Given that his wife Aloo Mistry is Cyrus Mistry's sister, Noel Tata is the only individual with genuine standing on both sides of the family-institutional divide.</w:t>
      </w:r>
    </w:p>
  </w:footnote>
  <w:footnote w:id="7">
    <w:p w14:paraId="2A20B151" w14:textId="7B4E0BC5" w:rsidR="00671F22" w:rsidRPr="00671F22" w:rsidRDefault="00671F22" w:rsidP="00671F22">
      <w:pPr>
        <w:spacing w:before="60" w:after="100"/>
        <w:rPr>
          <w:sz w:val="18"/>
          <w:szCs w:val="18"/>
        </w:rPr>
      </w:pPr>
      <w:r w:rsidRPr="00671F22">
        <w:rPr>
          <w:rStyle w:val="FootnoteReference"/>
          <w:sz w:val="18"/>
          <w:szCs w:val="18"/>
        </w:rPr>
        <w:footnoteRef/>
      </w:r>
      <w:r w:rsidRPr="00671F22">
        <w:rPr>
          <w:sz w:val="18"/>
          <w:szCs w:val="18"/>
        </w:rPr>
        <w:t xml:space="preserve"> </w:t>
      </w:r>
      <w:r w:rsidRPr="00671F22">
        <w:rPr>
          <w:rFonts w:ascii="Arial" w:eastAsia="Arial" w:hAnsi="Arial" w:cs="Arial"/>
          <w:sz w:val="18"/>
          <w:szCs w:val="18"/>
        </w:rPr>
        <w:t>. Source: Business Today – A Messy Breakup</w:t>
      </w:r>
    </w:p>
  </w:footnote>
  <w:footnote w:id="8">
    <w:p w14:paraId="408534BE" w14:textId="7C5D44EF" w:rsidR="001373BC" w:rsidRPr="00671F22" w:rsidRDefault="001373BC">
      <w:pPr>
        <w:pStyle w:val="FootnoteText"/>
        <w:rPr>
          <w:sz w:val="18"/>
          <w:szCs w:val="18"/>
        </w:rPr>
      </w:pPr>
      <w:r w:rsidRPr="00671F22">
        <w:rPr>
          <w:rStyle w:val="FootnoteReference"/>
          <w:sz w:val="18"/>
          <w:szCs w:val="18"/>
        </w:rPr>
        <w:footnoteRef/>
      </w:r>
      <w:r w:rsidRPr="00671F22">
        <w:rPr>
          <w:sz w:val="18"/>
          <w:szCs w:val="18"/>
        </w:rPr>
        <w:t xml:space="preserve"> Getting to Yes- Fisher and </w:t>
      </w:r>
      <w:proofErr w:type="spellStart"/>
      <w:r w:rsidRPr="00671F22">
        <w:rPr>
          <w:sz w:val="18"/>
          <w:szCs w:val="18"/>
        </w:rPr>
        <w:t>Ury</w:t>
      </w:r>
      <w:proofErr w:type="spellEnd"/>
    </w:p>
  </w:footnote>
  <w:footnote w:id="9">
    <w:p w14:paraId="7B3983FA" w14:textId="77777777" w:rsidR="003A5E5E" w:rsidRDefault="003A5E5E" w:rsidP="003A5E5E">
      <w:pPr>
        <w:spacing w:after="80" w:line="280" w:lineRule="auto"/>
      </w:pPr>
      <w:r>
        <w:rPr>
          <w:rStyle w:val="FootnoteReference"/>
        </w:rPr>
        <w:footnoteRef/>
      </w:r>
      <w:r>
        <w:rPr>
          <w:rFonts w:ascii="Georgia" w:eastAsia="Georgia" w:hAnsi="Georgia" w:cs="Georgia"/>
          <w:color w:val="333333"/>
          <w:sz w:val="18"/>
          <w:szCs w:val="18"/>
        </w:rPr>
        <w:t xml:space="preserve">Supreme Court of India. (2021). Tata Sons Pvt. Ltd. v. Cyrus Investments Pvt. Ltd., Civil Appeal No. 440 of 2020. Judgment dated March 26, 2021. The bench of Justices S.A. </w:t>
      </w:r>
      <w:proofErr w:type="spellStart"/>
      <w:r>
        <w:rPr>
          <w:rFonts w:ascii="Georgia" w:eastAsia="Georgia" w:hAnsi="Georgia" w:cs="Georgia"/>
          <w:color w:val="333333"/>
          <w:sz w:val="18"/>
          <w:szCs w:val="18"/>
        </w:rPr>
        <w:t>Bobde</w:t>
      </w:r>
      <w:proofErr w:type="spellEnd"/>
      <w:r>
        <w:rPr>
          <w:rFonts w:ascii="Georgia" w:eastAsia="Georgia" w:hAnsi="Georgia" w:cs="Georgia"/>
          <w:color w:val="333333"/>
          <w:sz w:val="18"/>
          <w:szCs w:val="18"/>
        </w:rPr>
        <w:t xml:space="preserve">, A.S. Bopanna and V. </w:t>
      </w:r>
      <w:proofErr w:type="spellStart"/>
      <w:r>
        <w:rPr>
          <w:rFonts w:ascii="Georgia" w:eastAsia="Georgia" w:hAnsi="Georgia" w:cs="Georgia"/>
          <w:color w:val="333333"/>
          <w:sz w:val="18"/>
          <w:szCs w:val="18"/>
        </w:rPr>
        <w:t>Ramasubramanian</w:t>
      </w:r>
      <w:proofErr w:type="spellEnd"/>
      <w:r>
        <w:rPr>
          <w:rFonts w:ascii="Georgia" w:eastAsia="Georgia" w:hAnsi="Georgia" w:cs="Georgia"/>
          <w:color w:val="333333"/>
          <w:sz w:val="18"/>
          <w:szCs w:val="18"/>
        </w:rPr>
        <w:t xml:space="preserve"> held, inter alia, that the removal of Mistry did not constitute oppression of minority shareholders.</w:t>
      </w:r>
    </w:p>
  </w:footnote>
  <w:footnote w:id="10">
    <w:p w14:paraId="6888FAFD" w14:textId="77777777" w:rsidR="003A5E5E" w:rsidRDefault="003A5E5E" w:rsidP="003A5E5E"/>
    <w:p w14:paraId="6A11AEC6" w14:textId="77777777" w:rsidR="003A5E5E" w:rsidRDefault="003A5E5E" w:rsidP="003A5E5E"/>
  </w:footnote>
  <w:footnote w:id="11">
    <w:p w14:paraId="436ACD3A" w14:textId="77777777" w:rsidR="003A5E5E" w:rsidRDefault="003A5E5E" w:rsidP="003A5E5E">
      <w:pPr>
        <w:spacing w:after="80" w:line="280" w:lineRule="auto"/>
      </w:pPr>
      <w:r>
        <w:rPr>
          <w:rStyle w:val="FootnoteReference"/>
        </w:rPr>
        <w:footnoteRef/>
      </w:r>
      <w:r>
        <w:rPr>
          <w:rFonts w:ascii="Georgia" w:eastAsia="Georgia" w:hAnsi="Georgia" w:cs="Georgia"/>
          <w:color w:val="333333"/>
          <w:sz w:val="18"/>
          <w:szCs w:val="18"/>
        </w:rPr>
        <w:t xml:space="preserve">Fisher &amp; </w:t>
      </w:r>
      <w:proofErr w:type="spellStart"/>
      <w:r>
        <w:rPr>
          <w:rFonts w:ascii="Georgia" w:eastAsia="Georgia" w:hAnsi="Georgia" w:cs="Georgia"/>
          <w:color w:val="333333"/>
          <w:sz w:val="18"/>
          <w:szCs w:val="18"/>
        </w:rPr>
        <w:t>Ury</w:t>
      </w:r>
      <w:proofErr w:type="spellEnd"/>
      <w:r>
        <w:rPr>
          <w:rFonts w:ascii="Georgia" w:eastAsia="Georgia" w:hAnsi="Georgia" w:cs="Georgia"/>
          <w:color w:val="333333"/>
          <w:sz w:val="18"/>
          <w:szCs w:val="18"/>
        </w:rPr>
        <w:t xml:space="preserve"> (1991), p. 11. The authors describe the 'people problem' in negotiation: 'Human beings are not computers. We are creatures of strong emotions who often have radically different perceptions and have difficulty communicating clearly. Emotions typically become entangled with the objective merits of the problem.'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26991"/>
    <w:multiLevelType w:val="multilevel"/>
    <w:tmpl w:val="C3727A3A"/>
    <w:lvl w:ilvl="0">
      <w:start w:val="1"/>
      <w:numFmt w:val="decimal"/>
      <w:pStyle w:val="Style1"/>
      <w:lvlText w:val="%1."/>
      <w:lvlJc w:val="left"/>
      <w:pPr>
        <w:ind w:left="720" w:hanging="360"/>
      </w:pPr>
      <w:rPr>
        <w:rFonts w:hint="default"/>
      </w:rPr>
    </w:lvl>
    <w:lvl w:ilvl="1">
      <w:start w:val="1"/>
      <w:numFmt w:val="decimal"/>
      <w:pStyle w:val="Style2"/>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7D93334"/>
    <w:multiLevelType w:val="hybridMultilevel"/>
    <w:tmpl w:val="12ACA0B0"/>
    <w:lvl w:ilvl="0" w:tplc="1722F66A">
      <w:start w:val="1"/>
      <w:numFmt w:val="bullet"/>
      <w:lvlText w:val="•"/>
      <w:lvlJc w:val="left"/>
      <w:pPr>
        <w:ind w:left="720" w:hanging="360"/>
      </w:pPr>
    </w:lvl>
    <w:lvl w:ilvl="1" w:tplc="E6BE9810">
      <w:start w:val="1"/>
      <w:numFmt w:val="bullet"/>
      <w:lvlText w:val="◦"/>
      <w:lvlJc w:val="left"/>
      <w:pPr>
        <w:ind w:left="1080" w:hanging="360"/>
      </w:pPr>
    </w:lvl>
    <w:lvl w:ilvl="2" w:tplc="3BFCC3AA">
      <w:numFmt w:val="decimal"/>
      <w:lvlText w:val=""/>
      <w:lvlJc w:val="left"/>
    </w:lvl>
    <w:lvl w:ilvl="3" w:tplc="003433D4">
      <w:numFmt w:val="decimal"/>
      <w:lvlText w:val=""/>
      <w:lvlJc w:val="left"/>
    </w:lvl>
    <w:lvl w:ilvl="4" w:tplc="D36EADFE">
      <w:numFmt w:val="decimal"/>
      <w:lvlText w:val=""/>
      <w:lvlJc w:val="left"/>
    </w:lvl>
    <w:lvl w:ilvl="5" w:tplc="73B2E938">
      <w:numFmt w:val="decimal"/>
      <w:lvlText w:val=""/>
      <w:lvlJc w:val="left"/>
    </w:lvl>
    <w:lvl w:ilvl="6" w:tplc="BD7A9A02">
      <w:numFmt w:val="decimal"/>
      <w:lvlText w:val=""/>
      <w:lvlJc w:val="left"/>
    </w:lvl>
    <w:lvl w:ilvl="7" w:tplc="CD54B4BE">
      <w:numFmt w:val="decimal"/>
      <w:lvlText w:val=""/>
      <w:lvlJc w:val="left"/>
    </w:lvl>
    <w:lvl w:ilvl="8" w:tplc="92B48142">
      <w:numFmt w:val="decimal"/>
      <w:lvlText w:val=""/>
      <w:lvlJc w:val="left"/>
    </w:lvl>
  </w:abstractNum>
  <w:abstractNum w:abstractNumId="2" w15:restartNumberingAfterBreak="0">
    <w:nsid w:val="0950686D"/>
    <w:multiLevelType w:val="hybridMultilevel"/>
    <w:tmpl w:val="8FB81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3E65AB"/>
    <w:multiLevelType w:val="hybridMultilevel"/>
    <w:tmpl w:val="D9B20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5F1758"/>
    <w:multiLevelType w:val="hybridMultilevel"/>
    <w:tmpl w:val="AAC4C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A859FC"/>
    <w:multiLevelType w:val="hybridMultilevel"/>
    <w:tmpl w:val="C6F0876C"/>
    <w:lvl w:ilvl="0" w:tplc="B22245AA">
      <w:start w:val="1"/>
      <w:numFmt w:val="bullet"/>
      <w:lvlText w:val="•"/>
      <w:lvlJc w:val="left"/>
      <w:pPr>
        <w:ind w:left="720" w:hanging="360"/>
      </w:pPr>
    </w:lvl>
    <w:lvl w:ilvl="1" w:tplc="10E6C4A8">
      <w:start w:val="1"/>
      <w:numFmt w:val="bullet"/>
      <w:lvlText w:val="◦"/>
      <w:lvlJc w:val="left"/>
      <w:pPr>
        <w:ind w:left="1080" w:hanging="360"/>
      </w:pPr>
    </w:lvl>
    <w:lvl w:ilvl="2" w:tplc="05E2F0C8">
      <w:numFmt w:val="decimal"/>
      <w:lvlText w:val=""/>
      <w:lvlJc w:val="left"/>
    </w:lvl>
    <w:lvl w:ilvl="3" w:tplc="DCC63F6A">
      <w:numFmt w:val="decimal"/>
      <w:lvlText w:val=""/>
      <w:lvlJc w:val="left"/>
    </w:lvl>
    <w:lvl w:ilvl="4" w:tplc="2976DA34">
      <w:numFmt w:val="decimal"/>
      <w:lvlText w:val=""/>
      <w:lvlJc w:val="left"/>
    </w:lvl>
    <w:lvl w:ilvl="5" w:tplc="7696BC8A">
      <w:numFmt w:val="decimal"/>
      <w:lvlText w:val=""/>
      <w:lvlJc w:val="left"/>
    </w:lvl>
    <w:lvl w:ilvl="6" w:tplc="A4B08362">
      <w:numFmt w:val="decimal"/>
      <w:lvlText w:val=""/>
      <w:lvlJc w:val="left"/>
    </w:lvl>
    <w:lvl w:ilvl="7" w:tplc="DFCC36B4">
      <w:numFmt w:val="decimal"/>
      <w:lvlText w:val=""/>
      <w:lvlJc w:val="left"/>
    </w:lvl>
    <w:lvl w:ilvl="8" w:tplc="0A7EE1DE">
      <w:numFmt w:val="decimal"/>
      <w:lvlText w:val=""/>
      <w:lvlJc w:val="left"/>
    </w:lvl>
  </w:abstractNum>
  <w:num w:numId="1">
    <w:abstractNumId w:val="4"/>
  </w:num>
  <w:num w:numId="2">
    <w:abstractNumId w:val="0"/>
  </w:num>
  <w:num w:numId="3">
    <w:abstractNumId w:val="3"/>
  </w:num>
  <w:num w:numId="4">
    <w:abstractNumId w:val="2"/>
  </w:num>
  <w:num w:numId="5">
    <w:abstractNumId w:val="1"/>
    <w:lvlOverride w:ilvl="0">
      <w:startOverride w:val="1"/>
    </w:lvlOverride>
  </w:num>
  <w:num w:numId="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4D5"/>
    <w:rsid w:val="00050C90"/>
    <w:rsid w:val="000823BD"/>
    <w:rsid w:val="000A3B07"/>
    <w:rsid w:val="001373BC"/>
    <w:rsid w:val="00175B40"/>
    <w:rsid w:val="001E1C3E"/>
    <w:rsid w:val="002044D5"/>
    <w:rsid w:val="00315B53"/>
    <w:rsid w:val="003A5E5E"/>
    <w:rsid w:val="00427168"/>
    <w:rsid w:val="00671F22"/>
    <w:rsid w:val="006A1FFC"/>
    <w:rsid w:val="00785BBF"/>
    <w:rsid w:val="0088246F"/>
    <w:rsid w:val="00A471B3"/>
    <w:rsid w:val="00AF300E"/>
    <w:rsid w:val="00B518E9"/>
    <w:rsid w:val="00C26020"/>
    <w:rsid w:val="00CC48EF"/>
    <w:rsid w:val="00E776EF"/>
    <w:rsid w:val="00F73E9D"/>
    <w:rsid w:val="00F76D1D"/>
    <w:rsid w:val="00F96C5A"/>
    <w:rsid w:val="00FB667B"/>
    <w:rsid w:val="00FC3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5C2C1"/>
  <w15:docId w15:val="{CAC094FC-FF31-467B-BDCF-3442987B2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uiPriority w:val="9"/>
    <w:qFormat/>
    <w:rsid w:val="00FB66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73E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71F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FB667B"/>
    <w:rPr>
      <w:rFonts w:asciiTheme="majorHAnsi" w:eastAsiaTheme="majorEastAsia" w:hAnsiTheme="majorHAnsi" w:cstheme="majorBidi"/>
      <w:color w:val="2F5496" w:themeColor="accent1" w:themeShade="BF"/>
      <w:sz w:val="32"/>
      <w:szCs w:val="32"/>
    </w:rPr>
  </w:style>
  <w:style w:type="paragraph" w:customStyle="1" w:styleId="conflictbody">
    <w:name w:val="conflict body"/>
    <w:link w:val="conflictbodyChar"/>
    <w:qFormat/>
    <w:rsid w:val="00C26020"/>
    <w:pPr>
      <w:spacing w:line="360" w:lineRule="auto"/>
    </w:pPr>
    <w:rPr>
      <w:rFonts w:ascii="Times New Roman" w:eastAsia="Calibri" w:hAnsi="Times New Roman" w:cs="Calibri"/>
      <w:color w:val="000000"/>
      <w:sz w:val="24"/>
    </w:rPr>
  </w:style>
  <w:style w:type="character" w:styleId="FootnoteReference">
    <w:name w:val="footnote reference"/>
    <w:uiPriority w:val="99"/>
    <w:semiHidden/>
    <w:unhideWhenUsed/>
    <w:rsid w:val="006A1FFC"/>
    <w:rPr>
      <w:vertAlign w:val="superscript"/>
    </w:rPr>
  </w:style>
  <w:style w:type="character" w:customStyle="1" w:styleId="conflictbodyChar">
    <w:name w:val="conflict body Char"/>
    <w:basedOn w:val="DefaultParagraphFont"/>
    <w:link w:val="conflictbody"/>
    <w:rsid w:val="00C26020"/>
    <w:rPr>
      <w:rFonts w:ascii="Times New Roman" w:eastAsia="Calibri" w:hAnsi="Times New Roman" w:cs="Calibri"/>
      <w:color w:val="000000"/>
      <w:sz w:val="24"/>
    </w:rPr>
  </w:style>
  <w:style w:type="paragraph" w:customStyle="1" w:styleId="Style1">
    <w:name w:val="Style1"/>
    <w:basedOn w:val="conflictbody"/>
    <w:link w:val="Style1Char"/>
    <w:qFormat/>
    <w:rsid w:val="00E776EF"/>
    <w:pPr>
      <w:numPr>
        <w:numId w:val="2"/>
      </w:numPr>
      <w:tabs>
        <w:tab w:val="left" w:pos="-360"/>
        <w:tab w:val="left" w:pos="360"/>
      </w:tabs>
      <w:ind w:left="0" w:hanging="450"/>
    </w:pPr>
    <w:rPr>
      <w:sz w:val="32"/>
    </w:rPr>
  </w:style>
  <w:style w:type="paragraph" w:customStyle="1" w:styleId="Style2">
    <w:name w:val="Style2"/>
    <w:basedOn w:val="conflictbody"/>
    <w:link w:val="Style2Char"/>
    <w:qFormat/>
    <w:rsid w:val="00315B53"/>
    <w:pPr>
      <w:numPr>
        <w:ilvl w:val="1"/>
        <w:numId w:val="2"/>
      </w:numPr>
    </w:pPr>
    <w:rPr>
      <w:sz w:val="28"/>
    </w:rPr>
  </w:style>
  <w:style w:type="character" w:customStyle="1" w:styleId="Style1Char">
    <w:name w:val="Style1 Char"/>
    <w:basedOn w:val="conflictbodyChar"/>
    <w:link w:val="Style1"/>
    <w:rsid w:val="00E776EF"/>
    <w:rPr>
      <w:rFonts w:ascii="Times New Roman" w:eastAsia="Calibri" w:hAnsi="Times New Roman" w:cs="Calibri"/>
      <w:color w:val="000000"/>
      <w:sz w:val="32"/>
    </w:rPr>
  </w:style>
  <w:style w:type="paragraph" w:styleId="FootnoteText">
    <w:name w:val="footnote text"/>
    <w:basedOn w:val="Normal"/>
    <w:link w:val="FootnoteTextChar"/>
    <w:uiPriority w:val="99"/>
    <w:semiHidden/>
    <w:unhideWhenUsed/>
    <w:rsid w:val="00050C90"/>
    <w:pPr>
      <w:spacing w:after="0" w:line="240" w:lineRule="auto"/>
    </w:pPr>
    <w:rPr>
      <w:sz w:val="20"/>
      <w:szCs w:val="20"/>
    </w:rPr>
  </w:style>
  <w:style w:type="character" w:customStyle="1" w:styleId="Style2Char">
    <w:name w:val="Style2 Char"/>
    <w:basedOn w:val="conflictbodyChar"/>
    <w:link w:val="Style2"/>
    <w:rsid w:val="00315B53"/>
    <w:rPr>
      <w:rFonts w:ascii="Times New Roman" w:eastAsia="Calibri" w:hAnsi="Times New Roman" w:cs="Calibri"/>
      <w:color w:val="000000"/>
      <w:sz w:val="28"/>
    </w:rPr>
  </w:style>
  <w:style w:type="character" w:customStyle="1" w:styleId="FootnoteTextChar">
    <w:name w:val="Footnote Text Char"/>
    <w:basedOn w:val="DefaultParagraphFont"/>
    <w:link w:val="FootnoteText"/>
    <w:uiPriority w:val="99"/>
    <w:semiHidden/>
    <w:rsid w:val="00050C90"/>
    <w:rPr>
      <w:rFonts w:ascii="Calibri" w:eastAsia="Calibri" w:hAnsi="Calibri" w:cs="Calibri"/>
      <w:color w:val="000000"/>
      <w:sz w:val="20"/>
      <w:szCs w:val="20"/>
    </w:rPr>
  </w:style>
  <w:style w:type="character" w:customStyle="1" w:styleId="Heading2Char">
    <w:name w:val="Heading 2 Char"/>
    <w:basedOn w:val="DefaultParagraphFont"/>
    <w:link w:val="Heading2"/>
    <w:uiPriority w:val="9"/>
    <w:semiHidden/>
    <w:rsid w:val="00F73E9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qFormat/>
    <w:rsid w:val="00F73E9D"/>
    <w:pPr>
      <w:ind w:left="720"/>
      <w:contextualSpacing/>
    </w:pPr>
  </w:style>
  <w:style w:type="character" w:customStyle="1" w:styleId="Heading3Char">
    <w:name w:val="Heading 3 Char"/>
    <w:basedOn w:val="DefaultParagraphFont"/>
    <w:link w:val="Heading3"/>
    <w:uiPriority w:val="9"/>
    <w:semiHidden/>
    <w:rsid w:val="00671F22"/>
    <w:rPr>
      <w:rFonts w:asciiTheme="majorHAnsi" w:eastAsiaTheme="majorEastAsia" w:hAnsiTheme="majorHAnsi" w:cstheme="majorBidi"/>
      <w:color w:val="1F3763" w:themeColor="accent1" w:themeShade="7F"/>
      <w:sz w:val="24"/>
      <w:szCs w:val="24"/>
    </w:rPr>
  </w:style>
  <w:style w:type="paragraph" w:customStyle="1" w:styleId="font-claude-response-body">
    <w:name w:val="font-claude-response-body"/>
    <w:basedOn w:val="Normal"/>
    <w:rsid w:val="00A471B3"/>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6147522">
      <w:bodyDiv w:val="1"/>
      <w:marLeft w:val="0"/>
      <w:marRight w:val="0"/>
      <w:marTop w:val="0"/>
      <w:marBottom w:val="0"/>
      <w:divBdr>
        <w:top w:val="none" w:sz="0" w:space="0" w:color="auto"/>
        <w:left w:val="none" w:sz="0" w:space="0" w:color="auto"/>
        <w:bottom w:val="none" w:sz="0" w:space="0" w:color="auto"/>
        <w:right w:val="none" w:sz="0" w:space="0" w:color="auto"/>
      </w:divBdr>
    </w:div>
    <w:div w:id="1122462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A45B3-19DE-4FD2-BB7B-250572D43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13</Pages>
  <Words>3219</Words>
  <Characters>18351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dell</cp:lastModifiedBy>
  <cp:revision>4</cp:revision>
  <dcterms:created xsi:type="dcterms:W3CDTF">2026-03-08T21:27:00Z</dcterms:created>
  <dcterms:modified xsi:type="dcterms:W3CDTF">2026-03-09T03:48:00Z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1f70d3f7-1c27-47be-bbe8-cab6b8db02b6</vt:lpwstr>
  </property>
</Properties>
</file>