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2D36" w14:textId="77777777" w:rsidR="00200E74" w:rsidRDefault="00000000" w:rsidP="0092389A">
      <w:pPr>
        <w:spacing w:after="0" w:line="360" w:lineRule="auto"/>
      </w:pPr>
      <w:r>
        <w:rPr>
          <w:b/>
          <w:color w:val="0D1B2A"/>
          <w:sz w:val="32"/>
        </w:rPr>
        <w:t>Section 5: Proposed Analytical Approach</w:t>
      </w:r>
    </w:p>
    <w:p w14:paraId="449F5146" w14:textId="77777777" w:rsidR="00200E74" w:rsidRDefault="00000000" w:rsidP="0092389A">
      <w:pPr>
        <w:spacing w:after="0" w:line="360" w:lineRule="auto"/>
      </w:pPr>
      <w:r>
        <w:rPr>
          <w:i/>
          <w:color w:val="606060"/>
          <w:sz w:val="20"/>
        </w:rPr>
        <w:t>DAMO 699 Capstone Proposal  ·  Group 3  ·  Member 1 — Alrick Grandison</w:t>
      </w:r>
    </w:p>
    <w:p w14:paraId="0A8E0C39" w14:textId="77777777" w:rsidR="00CB11E2" w:rsidRDefault="00CB11E2" w:rsidP="00CB11E2">
      <w:pPr>
        <w:spacing w:after="0" w:line="360" w:lineRule="auto"/>
        <w:rPr>
          <w:color w:val="000000"/>
        </w:rPr>
      </w:pPr>
    </w:p>
    <w:p w14:paraId="2EFDD069" w14:textId="4AA72D9F" w:rsidR="00200E74" w:rsidRDefault="00000000" w:rsidP="00CB11E2">
      <w:pPr>
        <w:spacing w:after="0" w:line="360" w:lineRule="auto"/>
      </w:pPr>
      <w:r>
        <w:rPr>
          <w:color w:val="000000"/>
        </w:rPr>
        <w:t>A multi-tenant application scheduler with a layered framework can provide fair distribution of workloads and high resource utilization (Chaudhari, 2025). This project proposes a framework with two layers: a prediction layer and an optimization layer. The prediction layer trains machine learning models on historical cluster data to forecast resource consumption by tenant workloads. The optimization layer takes these predictions as exogenous inputs and applies a formal optimization model to schedule workloads (Kovalenko &amp; Zhdanova, 2024). The framework simulates how a Kubernetes (K8s) scheduling component (Kubernetes, n.d.) would work but does not implement an actual K8s cluster, and serves as a base model for developing a production multi-tenant scheduler in future work. Memory is the target resource for increased utilization in this project; however, the framework includes both memory and Central Processing Unit (CPU) because CPU is required alongside memory for workload execution and is typically declared together with memory in container specifications. Network bandwidth, power consumption, and autoscaling are outside the scope of this project.</w:t>
      </w:r>
    </w:p>
    <w:p w14:paraId="5A3107C9" w14:textId="77777777" w:rsidR="00200E74" w:rsidRDefault="00000000" w:rsidP="0092389A">
      <w:pPr>
        <w:spacing w:after="0" w:line="360" w:lineRule="auto"/>
      </w:pPr>
      <w:r>
        <w:rPr>
          <w:color w:val="000000"/>
        </w:rPr>
        <w:t>The K8s default scheduler was designed for single-tenant cases (Priya, 2025). It assigns pods, containerized applications or workloads, to nodes, physical or virtual machines, based solely on declared resource requests. In a multi-tenant cluster, where multiple tenants (accounts or customers) share the same nodes, this approach causes systematic under-utilization and unequal resource access. This framework addresses both problems. It provides an orchestration model with a regularly updated prediction layer that feeds its outputs to an optimization layer. The optimization layer uses predictions, along with fairness and utilization objectives and resource constraints, to optimally schedule pods to nodes across tenants. The framework will train on open-source cluster data, specifically the Google Cluster Trace v3, and will run simulation on trace data as well as synthesized workload scenarios. This method works because we are learning the trends in how tenants deploy workloads and using that information to optimize resource utilization and scheduling decisions.</w:t>
      </w:r>
    </w:p>
    <w:p w14:paraId="09F3022D" w14:textId="77777777" w:rsidR="00CB11E2" w:rsidRDefault="00CB11E2" w:rsidP="0092389A">
      <w:pPr>
        <w:spacing w:after="0" w:line="360" w:lineRule="auto"/>
        <w:rPr>
          <w:b/>
        </w:rPr>
      </w:pPr>
    </w:p>
    <w:p w14:paraId="26049A57" w14:textId="766B3591" w:rsidR="00200E74" w:rsidRPr="0092389A" w:rsidRDefault="00000000" w:rsidP="0092389A">
      <w:pPr>
        <w:spacing w:after="0" w:line="360" w:lineRule="auto"/>
      </w:pPr>
      <w:r w:rsidRPr="0092389A">
        <w:rPr>
          <w:b/>
        </w:rPr>
        <w:t>Prediction layer</w:t>
      </w:r>
    </w:p>
    <w:p w14:paraId="2977DD22" w14:textId="77777777" w:rsidR="00CB11E2" w:rsidRDefault="00CB11E2" w:rsidP="00CB11E2">
      <w:pPr>
        <w:spacing w:after="0" w:line="360" w:lineRule="auto"/>
        <w:rPr>
          <w:color w:val="000000"/>
        </w:rPr>
      </w:pPr>
    </w:p>
    <w:p w14:paraId="19A1B9CC" w14:textId="0FBEE585" w:rsidR="00200E74" w:rsidRDefault="00000000" w:rsidP="00CB11E2">
      <w:pPr>
        <w:spacing w:after="0" w:line="360" w:lineRule="auto"/>
      </w:pPr>
      <w:r>
        <w:rPr>
          <w:color w:val="000000"/>
        </w:rPr>
        <w:t xml:space="preserve">The prediction layer runs two models. The first model is a Long Short-Term Memory (LSTM) regressor for temporal predictions. Kofi (2025) showed that an LSTM model trained on the </w:t>
      </w:r>
      <w:r>
        <w:rPr>
          <w:color w:val="000000"/>
        </w:rPr>
        <w:lastRenderedPageBreak/>
        <w:t>Google Cluster Trace v3 with Savitzky-Golay smoothing and min-max normalization preprocessing achieves an R² of 0.99 for workload prediction, and significantly outperforms comparable models such as SVM and SATCN in prediction accuracy and error minimization. The LSTM captures the time-series behavior of tenant workloads and predicts when resource usage spikes will occur and how long they will last.</w:t>
      </w:r>
    </w:p>
    <w:p w14:paraId="6C6197CE" w14:textId="77777777" w:rsidR="00200E74" w:rsidRDefault="00000000" w:rsidP="0092389A">
      <w:pPr>
        <w:spacing w:after="0" w:line="360" w:lineRule="auto"/>
      </w:pPr>
      <w:r>
        <w:rPr>
          <w:color w:val="000000"/>
        </w:rPr>
        <w:t>The second model is a Random Forest (RF) classifier for job classification. Doukha and Ez-zahout (2025) compared RF against LSTM on CPU and memory prediction tasks. RF achieved a Mean Absolute Percentage Error (MAPE) of 2.65% while LSTM achieved 17.43% for static point predictions. RF is selected for classifying incoming jobs by resource consumption profile because it provides higher accuracy and interpretability than recurrent architectures for that task. Classification of job types also informs the optimization layer on which resource constraints apply to each workload class (Kovalenko &amp; Zhdanova, 2024).</w:t>
      </w:r>
    </w:p>
    <w:p w14:paraId="29FDFC25" w14:textId="77777777" w:rsidR="00CB11E2" w:rsidRDefault="00CB11E2" w:rsidP="0092389A">
      <w:pPr>
        <w:spacing w:after="0" w:line="360" w:lineRule="auto"/>
        <w:rPr>
          <w:color w:val="000000"/>
        </w:rPr>
      </w:pPr>
    </w:p>
    <w:p w14:paraId="7709ABB9" w14:textId="5013FDD7" w:rsidR="00200E74" w:rsidRDefault="00000000" w:rsidP="0092389A">
      <w:pPr>
        <w:spacing w:after="0" w:line="360" w:lineRule="auto"/>
      </w:pPr>
      <w:r>
        <w:rPr>
          <w:color w:val="000000"/>
        </w:rPr>
        <w:t>Tenants typically over-request memory as a precautionary buffer; actual workload consumption is consistently lower than declared. The prediction layer captures this gap. By using the 95th percentile (P95) of predicted memory usage rather than the declared request, the framework can schedule more workloads onto a node than declared capacity would permit, safely overcommitting memory. This is a key contribution of the framework, as existing work tends to overcommit only CPU, where throttling is the worst-case outcome. Memory overcommitment carries higher risk: when a container exceeds its memory limit, the Linux kernel immediately terminates it in an Out-of-Memory (OOM) kill, ending the workload and constituting a Service Level Agreement (SLA) violation. CPU throttling only slows execution, but an OOM kill is unrecoverable. The P95 addresses this risk by covering 95% of real-world memory spikes without holding the full, over-declared reservation, providing a safety margin that makes memory overcommitment viable.</w:t>
      </w:r>
    </w:p>
    <w:p w14:paraId="396418B1" w14:textId="77777777" w:rsidR="00CB11E2" w:rsidRDefault="00CB11E2" w:rsidP="0092389A">
      <w:pPr>
        <w:spacing w:after="0" w:line="360" w:lineRule="auto"/>
        <w:rPr>
          <w:b/>
        </w:rPr>
      </w:pPr>
    </w:p>
    <w:p w14:paraId="490DDC01" w14:textId="08B596BA" w:rsidR="00200E74" w:rsidRPr="0092389A" w:rsidRDefault="00000000" w:rsidP="0092389A">
      <w:pPr>
        <w:spacing w:after="0" w:line="360" w:lineRule="auto"/>
        <w:rPr>
          <w:b/>
        </w:rPr>
      </w:pPr>
      <w:r w:rsidRPr="0092389A">
        <w:rPr>
          <w:b/>
        </w:rPr>
        <w:t>Optimization layer</w:t>
      </w:r>
    </w:p>
    <w:p w14:paraId="61BF7342" w14:textId="77777777" w:rsidR="00CB11E2" w:rsidRDefault="00CB11E2" w:rsidP="00CB11E2">
      <w:pPr>
        <w:spacing w:after="0" w:line="360" w:lineRule="auto"/>
        <w:rPr>
          <w:color w:val="000000"/>
        </w:rPr>
      </w:pPr>
    </w:p>
    <w:p w14:paraId="33BDFFAF" w14:textId="2C6CB744" w:rsidR="00200E74" w:rsidRDefault="00000000" w:rsidP="00CB11E2">
      <w:pPr>
        <w:spacing w:after="0" w:line="360" w:lineRule="auto"/>
      </w:pPr>
      <w:r>
        <w:rPr>
          <w:color w:val="000000"/>
        </w:rPr>
        <w:t>The optimization layer takes the P95 memory estimate and the temporal usage profile from the prediction layer as exogenous parameters (Kovalenko &amp; Zhdanova, 2024). Rather than accepting tenant-declared resource requests as accurate, the optimization layer substitutes predicted actual consumption values. This substitution is the mechanism that enables safe overcommitment.</w:t>
      </w:r>
    </w:p>
    <w:p w14:paraId="4B94F44B" w14:textId="77777777" w:rsidR="00CB11E2" w:rsidRDefault="00CB11E2" w:rsidP="0092389A">
      <w:pPr>
        <w:spacing w:after="0" w:line="360" w:lineRule="auto"/>
        <w:rPr>
          <w:color w:val="000000"/>
        </w:rPr>
      </w:pPr>
    </w:p>
    <w:p w14:paraId="1B06B6F1" w14:textId="448C0B29" w:rsidR="00200E74" w:rsidRDefault="00000000" w:rsidP="0092389A">
      <w:pPr>
        <w:spacing w:after="0" w:line="360" w:lineRule="auto"/>
      </w:pPr>
      <w:r>
        <w:rPr>
          <w:color w:val="000000"/>
        </w:rPr>
        <w:t xml:space="preserve">Kovalenko and Zhdanova (2024) proposed a mathematical model for workload scheduling in cloud environments using </w:t>
      </w:r>
      <w:proofErr w:type="gramStart"/>
      <w:r>
        <w:rPr>
          <w:color w:val="000000"/>
        </w:rPr>
        <w:t>a multi</w:t>
      </w:r>
      <w:proofErr w:type="gramEnd"/>
      <w:r>
        <w:rPr>
          <w:color w:val="000000"/>
        </w:rPr>
        <w:t>-objective function and resource capacity constraints. This project takes inspiration from that structure and extends it with prediction-driven inputs and a fairness objective. The objective function maximizes a weighted combination of three terms: average memory utilization across nodes, fairness equality across tenants, and SLA compliance rate. Resource capacity constraints ensure that the total predicted memory and CPU assigned to any node does not exceed that node’s available capacity at any point in the simulation.</w:t>
      </w:r>
    </w:p>
    <w:p w14:paraId="6BA4F146" w14:textId="77777777" w:rsidR="00200E74" w:rsidRDefault="00000000" w:rsidP="0092389A">
      <w:pPr>
        <w:spacing w:after="0" w:line="360" w:lineRule="auto"/>
      </w:pPr>
      <w:r>
        <w:rPr>
          <w:color w:val="000000"/>
        </w:rPr>
        <w:t>The fairness objective draws from two sources. Beltre, Saha, and Govindaraju (2019) introduced Dominant Demand Share (DDS), which measures a tenant’s resource share across both running workloads and its pending queue. Their experiments showed that DRF alone produced waiting time deviations of up to 157% above the cluster average, while combining DDS with DRF reduced this to below 13%. Shi and Yu (2024) formalize fairness as an optimization objective using Lyapunov optimization, where a virtual demand queue per tenant tracks unmet demand and its minimization ensures no tenant is chronically delayed, achieving 31.9% lower scheduling fairness variance than the best baseline. This project uses DDS as the fairness measure in the objective function and adapts the Job Scheduling Index (JSI) from Shi and Yu (2024), replacing their payment-bid demand signal with the RF-predicted memory consumption value.</w:t>
      </w:r>
    </w:p>
    <w:p w14:paraId="7A6D0CAC" w14:textId="77777777" w:rsidR="00CB11E2" w:rsidRDefault="00CB11E2" w:rsidP="00CB11E2">
      <w:pPr>
        <w:spacing w:after="0" w:line="360" w:lineRule="auto"/>
        <w:rPr>
          <w:color w:val="000000"/>
        </w:rPr>
      </w:pPr>
    </w:p>
    <w:p w14:paraId="31C8ED56" w14:textId="3A737570" w:rsidR="00200E74" w:rsidRDefault="00000000" w:rsidP="00CB11E2">
      <w:pPr>
        <w:spacing w:after="0" w:line="360" w:lineRule="auto"/>
      </w:pPr>
      <w:r>
        <w:rPr>
          <w:color w:val="000000"/>
        </w:rPr>
        <w:t>Together, the prediction layer and optimization layer form a framework that directly answers the research question. The prediction layer converts over-declared requests into accurate utilization estimates. The optimization layer then maximizes utilization and fairness simultaneously, subject to resource capacity constraints. Scheduling on predicted rather than declared values reduces idle capacity, and including fairness as an explicit objective ensures that utilization gains are distributed equitably across tenants.</w:t>
      </w:r>
    </w:p>
    <w:p w14:paraId="0445CD18" w14:textId="77777777" w:rsidR="00200E74" w:rsidRDefault="00000000" w:rsidP="0092389A">
      <w:pPr>
        <w:spacing w:after="0" w:line="360" w:lineRule="auto"/>
      </w:pPr>
      <w:r>
        <w:rPr>
          <w:b/>
          <w:color w:val="007A8A"/>
          <w:sz w:val="24"/>
        </w:rPr>
        <w:t>APA References for Section 5</w:t>
      </w:r>
    </w:p>
    <w:p w14:paraId="04D9C4D3" w14:textId="77777777" w:rsidR="00200E74" w:rsidRPr="0092389A" w:rsidRDefault="00000000" w:rsidP="0092389A">
      <w:pPr>
        <w:spacing w:after="0" w:line="360" w:lineRule="auto"/>
        <w:ind w:left="576" w:hanging="576"/>
      </w:pPr>
      <w:r w:rsidRPr="0092389A">
        <w:rPr>
          <w:color w:val="000000"/>
        </w:rPr>
        <w:t>Beltre, A., Saha, P., &amp; Govindaraju, M. (2019). KubeSphere: An approach to multi-tenant fair scheduling for Kubernetes clusters. 2019 IEEE Cloud Summit, 14–20. https://doi.org/10.1109/CloudSummit47114.2019.00009</w:t>
      </w:r>
    </w:p>
    <w:p w14:paraId="3160817C" w14:textId="77777777" w:rsidR="00200E74" w:rsidRPr="0092389A" w:rsidRDefault="00000000" w:rsidP="0092389A">
      <w:pPr>
        <w:spacing w:after="0" w:line="360" w:lineRule="auto"/>
        <w:ind w:left="576" w:hanging="576"/>
      </w:pPr>
      <w:r w:rsidRPr="0092389A">
        <w:rPr>
          <w:color w:val="000000"/>
        </w:rPr>
        <w:t xml:space="preserve">Chaudhari, A. H. (2025). Multi-tenant AI workload scheduling on Kubernetes: Addressing modern cloud computing challenges. International Journal of Computational and </w:t>
      </w:r>
      <w:r w:rsidRPr="0092389A">
        <w:rPr>
          <w:color w:val="000000"/>
        </w:rPr>
        <w:lastRenderedPageBreak/>
        <w:t>Experimental Science and ENgineering, 11(3), 6870–6877. https://doi.org/10.22399/ijcesen.3931</w:t>
      </w:r>
    </w:p>
    <w:p w14:paraId="5E5439AD" w14:textId="77777777" w:rsidR="00200E74" w:rsidRPr="0092389A" w:rsidRDefault="00000000" w:rsidP="0092389A">
      <w:pPr>
        <w:spacing w:after="0" w:line="360" w:lineRule="auto"/>
        <w:ind w:left="576" w:hanging="576"/>
      </w:pPr>
      <w:r w:rsidRPr="0092389A">
        <w:rPr>
          <w:color w:val="000000"/>
        </w:rPr>
        <w:t>Doukha, R., &amp; Ez-zahout, A. (2025). Enhanced virtual machine resource optimization in cloud computing using real-time monitoring and predictive modeling. International Journal of Advanced Computer Science and Applications, 16(2), 658. https://www.ijacsa.thesai.org</w:t>
      </w:r>
    </w:p>
    <w:p w14:paraId="60359490" w14:textId="77777777" w:rsidR="00200E74" w:rsidRPr="0092389A" w:rsidRDefault="00000000" w:rsidP="0092389A">
      <w:pPr>
        <w:spacing w:after="0" w:line="360" w:lineRule="auto"/>
        <w:ind w:left="576" w:hanging="576"/>
      </w:pPr>
      <w:r w:rsidRPr="0092389A">
        <w:rPr>
          <w:color w:val="000000"/>
        </w:rPr>
        <w:t>Kofi, J. E. (2025). Data-driven cloud workload optimization using machine learning modeling for proactive resource management. International Journal of Emerging Research in Engineering and Technology, 6(4), 27–37. https://doi.org/10.63282/3050-922X.IJERET-V6I4P104</w:t>
      </w:r>
    </w:p>
    <w:p w14:paraId="029135AD" w14:textId="77777777" w:rsidR="00200E74" w:rsidRPr="0092389A" w:rsidRDefault="00000000" w:rsidP="0092389A">
      <w:pPr>
        <w:spacing w:after="0" w:line="360" w:lineRule="auto"/>
        <w:ind w:left="576" w:hanging="576"/>
      </w:pPr>
      <w:r w:rsidRPr="0092389A">
        <w:rPr>
          <w:color w:val="000000"/>
        </w:rPr>
        <w:t>Kovalenko, V., &amp; Zhdanova, O. (2024). Dynamic mathematical model for resource management and scheduling in cloud computing environments. Information, Computing and Intelligent Systems, 5, 90–100. https://doi.org/10.20535/2786-8729.5.2024/316545</w:t>
      </w:r>
    </w:p>
    <w:p w14:paraId="17C4EDC4" w14:textId="77777777" w:rsidR="00200E74" w:rsidRPr="0092389A" w:rsidRDefault="00000000" w:rsidP="0092389A">
      <w:pPr>
        <w:spacing w:after="0" w:line="360" w:lineRule="auto"/>
        <w:ind w:left="576" w:hanging="576"/>
      </w:pPr>
      <w:r w:rsidRPr="0092389A">
        <w:rPr>
          <w:color w:val="000000"/>
        </w:rPr>
        <w:t>Kubernetes. (n.d.). kube-scheduler. Kubernetes Documentation. Retrieved April 19, 2026, from https://kubernetes.io/docs/concepts/scheduling-eviction/kube-scheduler/</w:t>
      </w:r>
    </w:p>
    <w:p w14:paraId="78E2295B" w14:textId="77777777" w:rsidR="00200E74" w:rsidRPr="0092389A" w:rsidRDefault="00000000" w:rsidP="0092389A">
      <w:pPr>
        <w:spacing w:after="0" w:line="360" w:lineRule="auto"/>
        <w:ind w:left="576" w:hanging="576"/>
      </w:pPr>
      <w:r w:rsidRPr="0092389A">
        <w:rPr>
          <w:color w:val="000000"/>
        </w:rPr>
        <w:t>Priya, L. (2025). QoS-aware multi-tenant container orchestration using Kubernetes. International Journal of Advanced Research in Computer Science and Engineering, 1(3), 19–26. https://doi.org/10.63345/v1.i3.303</w:t>
      </w:r>
    </w:p>
    <w:p w14:paraId="17597EE6" w14:textId="77777777" w:rsidR="00200E74" w:rsidRPr="0092389A" w:rsidRDefault="00000000" w:rsidP="0092389A">
      <w:pPr>
        <w:spacing w:after="0" w:line="360" w:lineRule="auto"/>
        <w:ind w:left="576" w:hanging="576"/>
      </w:pPr>
      <w:r w:rsidRPr="0092389A">
        <w:rPr>
          <w:color w:val="000000"/>
        </w:rPr>
        <w:t>Shi, Y., &amp; Yu, H. (2024). Fairness-aware job scheduling for multi-job federated learning. arXiv:2401.02740v3. https://arxiv.org/abs/2401.02740</w:t>
      </w:r>
    </w:p>
    <w:sectPr w:rsidR="00200E74" w:rsidRPr="0092389A"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85086">
    <w:abstractNumId w:val="8"/>
  </w:num>
  <w:num w:numId="2" w16cid:durableId="1616985034">
    <w:abstractNumId w:val="6"/>
  </w:num>
  <w:num w:numId="3" w16cid:durableId="1761677320">
    <w:abstractNumId w:val="5"/>
  </w:num>
  <w:num w:numId="4" w16cid:durableId="966471570">
    <w:abstractNumId w:val="4"/>
  </w:num>
  <w:num w:numId="5" w16cid:durableId="184485211">
    <w:abstractNumId w:val="7"/>
  </w:num>
  <w:num w:numId="6" w16cid:durableId="1857695598">
    <w:abstractNumId w:val="3"/>
  </w:num>
  <w:num w:numId="7" w16cid:durableId="1131438303">
    <w:abstractNumId w:val="2"/>
  </w:num>
  <w:num w:numId="8" w16cid:durableId="1014498362">
    <w:abstractNumId w:val="1"/>
  </w:num>
  <w:num w:numId="9" w16cid:durableId="75945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E74"/>
    <w:rsid w:val="0029639D"/>
    <w:rsid w:val="00326F90"/>
    <w:rsid w:val="006B221A"/>
    <w:rsid w:val="0092389A"/>
    <w:rsid w:val="00AA1D8D"/>
    <w:rsid w:val="00B47730"/>
    <w:rsid w:val="00CB0664"/>
    <w:rsid w:val="00CB1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EF9AD"/>
  <w14:defaultImageDpi w14:val="300"/>
  <w15:docId w15:val="{3E513ACE-5BAA-46FD-920E-910DCC1C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Alrick Grandison</cp:lastModifiedBy>
  <cp:revision>3</cp:revision>
  <dcterms:created xsi:type="dcterms:W3CDTF">2013-12-23T23:15:00Z</dcterms:created>
  <dcterms:modified xsi:type="dcterms:W3CDTF">2026-04-19T07:26:00Z</dcterms:modified>
  <cp:category/>
</cp:coreProperties>
</file>