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0ADE4" w14:textId="77777777" w:rsidR="00E560B0" w:rsidRDefault="00000000">
      <w:pPr>
        <w:spacing w:before="160" w:after="80"/>
        <w:jc w:val="center"/>
      </w:pPr>
      <w:r>
        <w:rPr>
          <w:b/>
          <w:color w:val="0D1B2A"/>
          <w:sz w:val="40"/>
        </w:rPr>
        <w:t>Capstone Proposal — Work Division Plan</w:t>
      </w:r>
    </w:p>
    <w:p w14:paraId="538BD19A" w14:textId="77777777" w:rsidR="00E560B0" w:rsidRDefault="00000000">
      <w:pPr>
        <w:spacing w:after="40"/>
        <w:jc w:val="center"/>
      </w:pPr>
      <w:r>
        <w:rPr>
          <w:color w:val="505050"/>
        </w:rPr>
        <w:t>Group 3  ·  DAMO 699  ·  Spring 2026</w:t>
      </w:r>
    </w:p>
    <w:p w14:paraId="35F4EF9E" w14:textId="77777777" w:rsidR="00E560B0" w:rsidRDefault="00000000">
      <w:pPr>
        <w:spacing w:after="240"/>
        <w:jc w:val="center"/>
      </w:pPr>
      <w:r>
        <w:rPr>
          <w:color w:val="505050"/>
          <w:sz w:val="21"/>
        </w:rPr>
        <w:t>Tha Pyay Hmu  ·  Lhagii Tsogtbayar  ·  Nadia Ríos  ·  Jorge Mendoza  ·  Alrick Grandison</w:t>
      </w:r>
    </w:p>
    <w:p w14:paraId="10993EBE" w14:textId="77777777" w:rsidR="00E560B0" w:rsidRDefault="00E560B0">
      <w:pPr>
        <w:pBdr>
          <w:bottom w:val="single" w:sz="4" w:space="0" w:color="CCCCCC"/>
        </w:pBdr>
        <w:spacing w:before="80" w:after="80"/>
      </w:pPr>
    </w:p>
    <w:p w14:paraId="6208B74B" w14:textId="77777777" w:rsidR="00E560B0" w:rsidRDefault="00000000">
      <w:pPr>
        <w:pBdr>
          <w:bottom w:val="single" w:sz="6" w:space="0" w:color="0084AA"/>
        </w:pBdr>
        <w:spacing w:before="280" w:after="80"/>
      </w:pPr>
      <w:r>
        <w:rPr>
          <w:b/>
          <w:color w:val="006AA6"/>
          <w:sz w:val="30"/>
        </w:rPr>
        <w:t>⚠️  Important: APA Style and Scientific Writing (Read Before Starting)</w:t>
      </w:r>
    </w:p>
    <w:p w14:paraId="036CA1E6" w14:textId="77777777" w:rsidR="00E560B0" w:rsidRDefault="00000000">
      <w:pPr>
        <w:pStyle w:val="ListBullet"/>
        <w:spacing w:before="20" w:after="60"/>
        <w:ind w:left="432"/>
      </w:pPr>
      <w:r>
        <w:rPr>
          <w:color w:val="1A2E44"/>
          <w:sz w:val="21"/>
        </w:rPr>
        <w:t>Use APA 7th edition for all citations. In-text: (Author, Year) or Author (Year). Every claim that is not your own must be cited.</w:t>
      </w:r>
    </w:p>
    <w:p w14:paraId="798BAC60" w14:textId="77777777" w:rsidR="00E560B0" w:rsidRDefault="00000000">
      <w:pPr>
        <w:pStyle w:val="ListBullet"/>
        <w:spacing w:before="20" w:after="60"/>
        <w:ind w:left="432"/>
      </w:pPr>
      <w:r>
        <w:rPr>
          <w:color w:val="1A2E44"/>
          <w:sz w:val="21"/>
        </w:rPr>
        <w:t>All cited sources must appear in the References section at the end of the proposal in full APA format. Example: Ghodsi, A., Zaharia, M., et al. (2011). Dominant resource fairness. Proceedings of NSDI ‘11, 323–336.</w:t>
      </w:r>
    </w:p>
    <w:p w14:paraId="7E60C513" w14:textId="77777777" w:rsidR="00E560B0" w:rsidRDefault="00000000">
      <w:pPr>
        <w:pStyle w:val="ListBullet"/>
        <w:spacing w:before="20" w:after="60"/>
        <w:ind w:left="432"/>
      </w:pPr>
      <w:r>
        <w:rPr>
          <w:color w:val="1A2E44"/>
          <w:sz w:val="21"/>
        </w:rPr>
        <w:t>Use scientific writing style: third person, objective tone, past tense for prior work ('Doukha (2025) found that...'), present tense for your own claims ('our model predicts...').</w:t>
      </w:r>
    </w:p>
    <w:p w14:paraId="617560D0" w14:textId="317A4220" w:rsidR="00E560B0" w:rsidRDefault="00755F8C">
      <w:pPr>
        <w:pStyle w:val="ListBullet"/>
        <w:spacing w:before="20" w:after="60"/>
        <w:ind w:left="432"/>
      </w:pPr>
      <w:r>
        <w:rPr>
          <w:color w:val="1A2E44"/>
          <w:sz w:val="21"/>
        </w:rPr>
        <w:t>Write</w:t>
      </w:r>
      <w:r w:rsidR="00000000">
        <w:rPr>
          <w:color w:val="1A2E44"/>
          <w:sz w:val="21"/>
        </w:rPr>
        <w:t xml:space="preserve"> in complete sentences.</w:t>
      </w:r>
    </w:p>
    <w:p w14:paraId="6F0FEF97" w14:textId="77777777" w:rsidR="00E560B0" w:rsidRDefault="00000000">
      <w:pPr>
        <w:pStyle w:val="ListBullet"/>
        <w:spacing w:before="20" w:after="60"/>
        <w:ind w:left="432"/>
      </w:pPr>
      <w:r>
        <w:rPr>
          <w:color w:val="1A2E44"/>
          <w:sz w:val="21"/>
        </w:rPr>
        <w:t>Every table and figure must have a numbered caption.</w:t>
      </w:r>
    </w:p>
    <w:p w14:paraId="51676080" w14:textId="77777777" w:rsidR="00E560B0" w:rsidRDefault="00000000">
      <w:pPr>
        <w:pStyle w:val="ListBullet"/>
        <w:spacing w:before="20" w:after="60"/>
        <w:ind w:left="432"/>
      </w:pPr>
      <w:r>
        <w:rPr>
          <w:color w:val="1A2E44"/>
          <w:sz w:val="21"/>
        </w:rPr>
        <w:t>Refer to the Proposal Draft.md and Research_Paper_Reviews_Jobs.md files for paper details, numbers, and quotes to draw from.</w:t>
      </w:r>
    </w:p>
    <w:p w14:paraId="05EDF707" w14:textId="77777777" w:rsidR="00E560B0" w:rsidRDefault="00000000">
      <w:pPr>
        <w:pBdr>
          <w:bottom w:val="single" w:sz="6" w:space="0" w:color="0084AA"/>
        </w:pBdr>
        <w:spacing w:before="280" w:after="80"/>
      </w:pPr>
      <w:r>
        <w:rPr>
          <w:b/>
          <w:color w:val="006AA6"/>
          <w:sz w:val="30"/>
        </w:rPr>
        <w:t>Section Assignments Overview</w:t>
      </w:r>
    </w:p>
    <w:p w14:paraId="152A89EF" w14:textId="77777777" w:rsidR="00E560B0" w:rsidRDefault="00000000">
      <w:pPr>
        <w:spacing w:after="80"/>
      </w:pPr>
      <w:r>
        <w:rPr>
          <w:i/>
          <w:color w:val="505050"/>
          <w:sz w:val="21"/>
        </w:rPr>
        <w:t>Total content: ≤5 pages (excluding cover page and references).</w:t>
      </w:r>
    </w:p>
    <w:p w14:paraId="1BFA46C1" w14:textId="77777777" w:rsidR="00E560B0" w:rsidRDefault="00000000">
      <w:pPr>
        <w:spacing w:after="160"/>
      </w:pPr>
      <w:r>
        <w:rPr>
          <w:i/>
          <w:color w:val="B88600"/>
          <w:sz w:val="20"/>
        </w:rPr>
        <w:t>Note: 5 pages is tight for this technical project. Consider asking the instructor if 6–7 pages is acceptable given the two heavy sections (5 and 6).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90"/>
        <w:gridCol w:w="4125"/>
        <w:gridCol w:w="2364"/>
        <w:gridCol w:w="1765"/>
      </w:tblGrid>
      <w:tr w:rsidR="00E560B0" w14:paraId="41EDE45D" w14:textId="77777777">
        <w:trPr>
          <w:jc w:val="center"/>
        </w:trPr>
        <w:tc>
          <w:tcPr>
            <w:tcW w:w="864" w:type="dxa"/>
            <w:shd w:val="clear" w:color="auto" w:fill="0D1B2A"/>
          </w:tcPr>
          <w:p w14:paraId="6B79250A" w14:textId="77777777" w:rsidR="00E560B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Section</w:t>
            </w:r>
          </w:p>
        </w:tc>
        <w:tc>
          <w:tcPr>
            <w:tcW w:w="4896" w:type="dxa"/>
            <w:shd w:val="clear" w:color="auto" w:fill="0D1B2A"/>
          </w:tcPr>
          <w:p w14:paraId="218EE30D" w14:textId="77777777" w:rsidR="00E560B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Title</w:t>
            </w:r>
          </w:p>
        </w:tc>
        <w:tc>
          <w:tcPr>
            <w:tcW w:w="2736" w:type="dxa"/>
            <w:shd w:val="clear" w:color="auto" w:fill="0D1B2A"/>
          </w:tcPr>
          <w:p w14:paraId="01A92B4A" w14:textId="77777777" w:rsidR="00E560B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Assigned To</w:t>
            </w:r>
          </w:p>
        </w:tc>
        <w:tc>
          <w:tcPr>
            <w:tcW w:w="2016" w:type="dxa"/>
            <w:shd w:val="clear" w:color="auto" w:fill="0D1B2A"/>
          </w:tcPr>
          <w:p w14:paraId="51EE66E3" w14:textId="77777777" w:rsidR="00E560B0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Est. Pages</w:t>
            </w:r>
          </w:p>
        </w:tc>
      </w:tr>
      <w:tr w:rsidR="00E560B0" w14:paraId="06F8E48A" w14:textId="77777777">
        <w:trPr>
          <w:jc w:val="center"/>
        </w:trPr>
        <w:tc>
          <w:tcPr>
            <w:tcW w:w="864" w:type="dxa"/>
            <w:shd w:val="clear" w:color="auto" w:fill="E8F4FB"/>
          </w:tcPr>
          <w:p w14:paraId="5E5E972E" w14:textId="77777777" w:rsidR="00E560B0" w:rsidRDefault="00000000">
            <w:pPr>
              <w:jc w:val="center"/>
            </w:pPr>
            <w:r>
              <w:rPr>
                <w:color w:val="000000"/>
                <w:sz w:val="20"/>
              </w:rPr>
              <w:t>1</w:t>
            </w:r>
          </w:p>
        </w:tc>
        <w:tc>
          <w:tcPr>
            <w:tcW w:w="4896" w:type="dxa"/>
            <w:shd w:val="clear" w:color="auto" w:fill="E8F4FB"/>
          </w:tcPr>
          <w:p w14:paraId="6DDA9FEB" w14:textId="77777777" w:rsidR="00E560B0" w:rsidRDefault="00000000">
            <w:r>
              <w:rPr>
                <w:color w:val="000000"/>
                <w:sz w:val="20"/>
              </w:rPr>
              <w:t>Introduction</w:t>
            </w:r>
          </w:p>
        </w:tc>
        <w:tc>
          <w:tcPr>
            <w:tcW w:w="2736" w:type="dxa"/>
            <w:shd w:val="clear" w:color="auto" w:fill="E8F4FB"/>
          </w:tcPr>
          <w:p w14:paraId="7735DCE6" w14:textId="77777777" w:rsidR="00E560B0" w:rsidRDefault="00000000">
            <w:r>
              <w:rPr>
                <w:color w:val="1E6B2E"/>
                <w:sz w:val="20"/>
              </w:rPr>
              <w:t>Member 3</w:t>
            </w:r>
          </w:p>
        </w:tc>
        <w:tc>
          <w:tcPr>
            <w:tcW w:w="2016" w:type="dxa"/>
            <w:shd w:val="clear" w:color="auto" w:fill="E8F4FB"/>
          </w:tcPr>
          <w:p w14:paraId="68685E5C" w14:textId="77777777" w:rsidR="00E560B0" w:rsidRDefault="00000000">
            <w:pPr>
              <w:jc w:val="center"/>
            </w:pPr>
            <w:r>
              <w:rPr>
                <w:color w:val="000000"/>
                <w:sz w:val="20"/>
              </w:rPr>
              <w:t>~0.75</w:t>
            </w:r>
          </w:p>
        </w:tc>
      </w:tr>
      <w:tr w:rsidR="00E560B0" w14:paraId="456C9DFA" w14:textId="77777777">
        <w:trPr>
          <w:jc w:val="center"/>
        </w:trPr>
        <w:tc>
          <w:tcPr>
            <w:tcW w:w="864" w:type="dxa"/>
            <w:shd w:val="clear" w:color="auto" w:fill="FDE8F4"/>
          </w:tcPr>
          <w:p w14:paraId="156431F1" w14:textId="77777777" w:rsidR="00E560B0" w:rsidRDefault="00000000">
            <w:pPr>
              <w:jc w:val="center"/>
            </w:pPr>
            <w:r>
              <w:rPr>
                <w:color w:val="000000"/>
                <w:sz w:val="20"/>
              </w:rPr>
              <w:t>2</w:t>
            </w:r>
          </w:p>
        </w:tc>
        <w:tc>
          <w:tcPr>
            <w:tcW w:w="4896" w:type="dxa"/>
            <w:shd w:val="clear" w:color="auto" w:fill="FDE8F4"/>
          </w:tcPr>
          <w:p w14:paraId="3FDC99AE" w14:textId="77777777" w:rsidR="00E560B0" w:rsidRDefault="00000000">
            <w:r>
              <w:rPr>
                <w:color w:val="000000"/>
                <w:sz w:val="20"/>
              </w:rPr>
              <w:t>Problem Definition</w:t>
            </w:r>
          </w:p>
        </w:tc>
        <w:tc>
          <w:tcPr>
            <w:tcW w:w="2736" w:type="dxa"/>
            <w:shd w:val="clear" w:color="auto" w:fill="FDE8F4"/>
          </w:tcPr>
          <w:p w14:paraId="0D008BB8" w14:textId="77777777" w:rsidR="00E560B0" w:rsidRDefault="00000000">
            <w:r>
              <w:rPr>
                <w:color w:val="1E6B2E"/>
                <w:sz w:val="20"/>
              </w:rPr>
              <w:t>Member 3</w:t>
            </w:r>
          </w:p>
        </w:tc>
        <w:tc>
          <w:tcPr>
            <w:tcW w:w="2016" w:type="dxa"/>
            <w:shd w:val="clear" w:color="auto" w:fill="FDE8F4"/>
          </w:tcPr>
          <w:p w14:paraId="68FCCDB6" w14:textId="77777777" w:rsidR="00E560B0" w:rsidRDefault="00000000">
            <w:pPr>
              <w:jc w:val="center"/>
            </w:pPr>
            <w:r>
              <w:rPr>
                <w:color w:val="000000"/>
                <w:sz w:val="20"/>
              </w:rPr>
              <w:t>~0.50</w:t>
            </w:r>
          </w:p>
        </w:tc>
      </w:tr>
      <w:tr w:rsidR="00E560B0" w14:paraId="0182FEB5" w14:textId="77777777">
        <w:trPr>
          <w:jc w:val="center"/>
        </w:trPr>
        <w:tc>
          <w:tcPr>
            <w:tcW w:w="864" w:type="dxa"/>
            <w:shd w:val="clear" w:color="auto" w:fill="E8F6EC"/>
          </w:tcPr>
          <w:p w14:paraId="72F55802" w14:textId="77777777" w:rsidR="00E560B0" w:rsidRDefault="00000000">
            <w:pPr>
              <w:jc w:val="center"/>
            </w:pPr>
            <w:r>
              <w:rPr>
                <w:color w:val="000000"/>
                <w:sz w:val="20"/>
              </w:rPr>
              <w:t>3</w:t>
            </w:r>
          </w:p>
        </w:tc>
        <w:tc>
          <w:tcPr>
            <w:tcW w:w="4896" w:type="dxa"/>
            <w:shd w:val="clear" w:color="auto" w:fill="E8F6EC"/>
          </w:tcPr>
          <w:p w14:paraId="493E3CE9" w14:textId="77777777" w:rsidR="00E560B0" w:rsidRDefault="00000000">
            <w:r>
              <w:rPr>
                <w:color w:val="000000"/>
                <w:sz w:val="20"/>
              </w:rPr>
              <w:t>Analytical Objective (Research Question + Hypothesis)</w:t>
            </w:r>
          </w:p>
        </w:tc>
        <w:tc>
          <w:tcPr>
            <w:tcW w:w="2736" w:type="dxa"/>
            <w:shd w:val="clear" w:color="auto" w:fill="E8F6EC"/>
          </w:tcPr>
          <w:p w14:paraId="73B39DF8" w14:textId="77777777" w:rsidR="00E560B0" w:rsidRDefault="00000000">
            <w:r>
              <w:rPr>
                <w:color w:val="B86000"/>
                <w:sz w:val="20"/>
              </w:rPr>
              <w:t>Member 4</w:t>
            </w:r>
          </w:p>
        </w:tc>
        <w:tc>
          <w:tcPr>
            <w:tcW w:w="2016" w:type="dxa"/>
            <w:shd w:val="clear" w:color="auto" w:fill="E8F6EC"/>
          </w:tcPr>
          <w:p w14:paraId="4CC01F71" w14:textId="77777777" w:rsidR="00E560B0" w:rsidRDefault="00000000">
            <w:pPr>
              <w:jc w:val="center"/>
            </w:pPr>
            <w:r>
              <w:rPr>
                <w:color w:val="000000"/>
                <w:sz w:val="20"/>
              </w:rPr>
              <w:t>~0.50</w:t>
            </w:r>
          </w:p>
        </w:tc>
      </w:tr>
      <w:tr w:rsidR="00E560B0" w14:paraId="524A75FB" w14:textId="77777777">
        <w:trPr>
          <w:jc w:val="center"/>
        </w:trPr>
        <w:tc>
          <w:tcPr>
            <w:tcW w:w="864" w:type="dxa"/>
            <w:shd w:val="clear" w:color="auto" w:fill="FFF3E0"/>
          </w:tcPr>
          <w:p w14:paraId="19721244" w14:textId="77777777" w:rsidR="00E560B0" w:rsidRDefault="00000000">
            <w:pPr>
              <w:jc w:val="center"/>
            </w:pPr>
            <w:r>
              <w:rPr>
                <w:color w:val="000000"/>
                <w:sz w:val="20"/>
              </w:rPr>
              <w:t>4</w:t>
            </w:r>
          </w:p>
        </w:tc>
        <w:tc>
          <w:tcPr>
            <w:tcW w:w="4896" w:type="dxa"/>
            <w:shd w:val="clear" w:color="auto" w:fill="FFF3E0"/>
          </w:tcPr>
          <w:p w14:paraId="48336A22" w14:textId="77777777" w:rsidR="00E560B0" w:rsidRDefault="00000000">
            <w:r>
              <w:rPr>
                <w:color w:val="000000"/>
                <w:sz w:val="20"/>
              </w:rPr>
              <w:t>Proposed Data Sources</w:t>
            </w:r>
          </w:p>
        </w:tc>
        <w:tc>
          <w:tcPr>
            <w:tcW w:w="2736" w:type="dxa"/>
            <w:shd w:val="clear" w:color="auto" w:fill="FFF3E0"/>
          </w:tcPr>
          <w:p w14:paraId="777B7EDD" w14:textId="77777777" w:rsidR="00E560B0" w:rsidRDefault="00000000">
            <w:r>
              <w:rPr>
                <w:color w:val="B86000"/>
                <w:sz w:val="20"/>
              </w:rPr>
              <w:t>Member 4</w:t>
            </w:r>
          </w:p>
        </w:tc>
        <w:tc>
          <w:tcPr>
            <w:tcW w:w="2016" w:type="dxa"/>
            <w:shd w:val="clear" w:color="auto" w:fill="FFF3E0"/>
          </w:tcPr>
          <w:p w14:paraId="57BEEB01" w14:textId="77777777" w:rsidR="00E560B0" w:rsidRDefault="00000000">
            <w:pPr>
              <w:jc w:val="center"/>
            </w:pPr>
            <w:r>
              <w:rPr>
                <w:color w:val="000000"/>
                <w:sz w:val="20"/>
              </w:rPr>
              <w:t>~0.50</w:t>
            </w:r>
          </w:p>
        </w:tc>
      </w:tr>
      <w:tr w:rsidR="00E560B0" w14:paraId="0CE7BBB5" w14:textId="77777777">
        <w:trPr>
          <w:jc w:val="center"/>
        </w:trPr>
        <w:tc>
          <w:tcPr>
            <w:tcW w:w="864" w:type="dxa"/>
            <w:shd w:val="clear" w:color="auto" w:fill="F0E8FF"/>
          </w:tcPr>
          <w:p w14:paraId="0D9CF840" w14:textId="77777777" w:rsidR="00E560B0" w:rsidRDefault="00000000">
            <w:pPr>
              <w:jc w:val="center"/>
            </w:pPr>
            <w:r>
              <w:rPr>
                <w:color w:val="000000"/>
                <w:sz w:val="20"/>
              </w:rPr>
              <w:t>5</w:t>
            </w:r>
          </w:p>
        </w:tc>
        <w:tc>
          <w:tcPr>
            <w:tcW w:w="4896" w:type="dxa"/>
            <w:shd w:val="clear" w:color="auto" w:fill="F0E8FF"/>
          </w:tcPr>
          <w:p w14:paraId="59EC6F76" w14:textId="77777777" w:rsidR="00E560B0" w:rsidRDefault="00000000">
            <w:r>
              <w:rPr>
                <w:color w:val="000000"/>
                <w:sz w:val="20"/>
              </w:rPr>
              <w:t>Proposed Analytical Approach</w:t>
            </w:r>
          </w:p>
        </w:tc>
        <w:tc>
          <w:tcPr>
            <w:tcW w:w="2736" w:type="dxa"/>
            <w:shd w:val="clear" w:color="auto" w:fill="F0E8FF"/>
          </w:tcPr>
          <w:p w14:paraId="5E7CF541" w14:textId="77777777" w:rsidR="00E560B0" w:rsidRDefault="00000000">
            <w:r>
              <w:rPr>
                <w:b/>
                <w:color w:val="005F73"/>
                <w:sz w:val="20"/>
              </w:rPr>
              <w:t>Member 1 (Alrick)</w:t>
            </w:r>
          </w:p>
        </w:tc>
        <w:tc>
          <w:tcPr>
            <w:tcW w:w="2016" w:type="dxa"/>
            <w:shd w:val="clear" w:color="auto" w:fill="F0E8FF"/>
          </w:tcPr>
          <w:p w14:paraId="7AD9B453" w14:textId="77777777" w:rsidR="00E560B0" w:rsidRDefault="00000000">
            <w:pPr>
              <w:jc w:val="center"/>
            </w:pPr>
            <w:r>
              <w:rPr>
                <w:color w:val="000000"/>
                <w:sz w:val="20"/>
              </w:rPr>
              <w:t>~1.50</w:t>
            </w:r>
          </w:p>
        </w:tc>
      </w:tr>
      <w:tr w:rsidR="00E560B0" w14:paraId="029E13C6" w14:textId="77777777">
        <w:trPr>
          <w:jc w:val="center"/>
        </w:trPr>
        <w:tc>
          <w:tcPr>
            <w:tcW w:w="864" w:type="dxa"/>
            <w:shd w:val="clear" w:color="auto" w:fill="E8F4FB"/>
          </w:tcPr>
          <w:p w14:paraId="3118C36E" w14:textId="77777777" w:rsidR="00E560B0" w:rsidRDefault="00000000">
            <w:pPr>
              <w:jc w:val="center"/>
            </w:pPr>
            <w:r>
              <w:rPr>
                <w:color w:val="000000"/>
                <w:sz w:val="20"/>
              </w:rPr>
              <w:t>6</w:t>
            </w:r>
          </w:p>
        </w:tc>
        <w:tc>
          <w:tcPr>
            <w:tcW w:w="4896" w:type="dxa"/>
            <w:shd w:val="clear" w:color="auto" w:fill="E8F4FB"/>
          </w:tcPr>
          <w:p w14:paraId="1E0E210A" w14:textId="77777777" w:rsidR="00E560B0" w:rsidRDefault="00000000">
            <w:r>
              <w:rPr>
                <w:color w:val="000000"/>
                <w:sz w:val="20"/>
              </w:rPr>
              <w:t>Expected Outcomes and Contributions</w:t>
            </w:r>
          </w:p>
        </w:tc>
        <w:tc>
          <w:tcPr>
            <w:tcW w:w="2736" w:type="dxa"/>
            <w:shd w:val="clear" w:color="auto" w:fill="E8F4FB"/>
          </w:tcPr>
          <w:p w14:paraId="1F163A73" w14:textId="77777777" w:rsidR="00E560B0" w:rsidRDefault="00000000">
            <w:r>
              <w:rPr>
                <w:color w:val="940056"/>
                <w:sz w:val="20"/>
              </w:rPr>
              <w:t>Member 2</w:t>
            </w:r>
          </w:p>
        </w:tc>
        <w:tc>
          <w:tcPr>
            <w:tcW w:w="2016" w:type="dxa"/>
            <w:shd w:val="clear" w:color="auto" w:fill="E8F4FB"/>
          </w:tcPr>
          <w:p w14:paraId="32CD21FF" w14:textId="77777777" w:rsidR="00E560B0" w:rsidRDefault="00000000">
            <w:pPr>
              <w:jc w:val="center"/>
            </w:pPr>
            <w:r>
              <w:rPr>
                <w:color w:val="000000"/>
                <w:sz w:val="20"/>
              </w:rPr>
              <w:t>~0.75</w:t>
            </w:r>
          </w:p>
        </w:tc>
      </w:tr>
      <w:tr w:rsidR="00E560B0" w14:paraId="70B6864F" w14:textId="77777777">
        <w:trPr>
          <w:jc w:val="center"/>
        </w:trPr>
        <w:tc>
          <w:tcPr>
            <w:tcW w:w="864" w:type="dxa"/>
            <w:shd w:val="clear" w:color="auto" w:fill="FDE8F4"/>
          </w:tcPr>
          <w:p w14:paraId="05694822" w14:textId="77777777" w:rsidR="00E560B0" w:rsidRDefault="00000000">
            <w:pPr>
              <w:jc w:val="center"/>
            </w:pPr>
            <w:r>
              <w:rPr>
                <w:color w:val="000000"/>
                <w:sz w:val="20"/>
              </w:rPr>
              <w:t>7</w:t>
            </w:r>
          </w:p>
        </w:tc>
        <w:tc>
          <w:tcPr>
            <w:tcW w:w="4896" w:type="dxa"/>
            <w:shd w:val="clear" w:color="auto" w:fill="FDE8F4"/>
          </w:tcPr>
          <w:p w14:paraId="3300F27B" w14:textId="77777777" w:rsidR="00E560B0" w:rsidRDefault="00000000">
            <w:r>
              <w:rPr>
                <w:color w:val="000000"/>
                <w:sz w:val="20"/>
              </w:rPr>
              <w:t>Project Plan and Timeline</w:t>
            </w:r>
          </w:p>
        </w:tc>
        <w:tc>
          <w:tcPr>
            <w:tcW w:w="2736" w:type="dxa"/>
            <w:shd w:val="clear" w:color="auto" w:fill="FDE8F4"/>
          </w:tcPr>
          <w:p w14:paraId="46633702" w14:textId="77777777" w:rsidR="00E560B0" w:rsidRDefault="00000000">
            <w:r>
              <w:rPr>
                <w:color w:val="3D008F"/>
                <w:sz w:val="20"/>
              </w:rPr>
              <w:t>Member 5</w:t>
            </w:r>
          </w:p>
        </w:tc>
        <w:tc>
          <w:tcPr>
            <w:tcW w:w="2016" w:type="dxa"/>
            <w:shd w:val="clear" w:color="auto" w:fill="FDE8F4"/>
          </w:tcPr>
          <w:p w14:paraId="67422C9E" w14:textId="77777777" w:rsidR="00E560B0" w:rsidRDefault="00000000">
            <w:pPr>
              <w:jc w:val="center"/>
            </w:pPr>
            <w:r>
              <w:rPr>
                <w:color w:val="000000"/>
                <w:sz w:val="20"/>
              </w:rPr>
              <w:t>~0.25</w:t>
            </w:r>
          </w:p>
        </w:tc>
      </w:tr>
      <w:tr w:rsidR="00E560B0" w14:paraId="0AD747D9" w14:textId="77777777">
        <w:trPr>
          <w:jc w:val="center"/>
        </w:trPr>
        <w:tc>
          <w:tcPr>
            <w:tcW w:w="864" w:type="dxa"/>
            <w:shd w:val="clear" w:color="auto" w:fill="E8F6EC"/>
          </w:tcPr>
          <w:p w14:paraId="254B6788" w14:textId="77777777" w:rsidR="00E560B0" w:rsidRDefault="00000000">
            <w:pPr>
              <w:jc w:val="center"/>
            </w:pPr>
            <w:r>
              <w:rPr>
                <w:color w:val="000000"/>
                <w:sz w:val="20"/>
              </w:rPr>
              <w:t>8</w:t>
            </w:r>
          </w:p>
        </w:tc>
        <w:tc>
          <w:tcPr>
            <w:tcW w:w="4896" w:type="dxa"/>
            <w:shd w:val="clear" w:color="auto" w:fill="E8F6EC"/>
          </w:tcPr>
          <w:p w14:paraId="58CF965C" w14:textId="77777777" w:rsidR="00E560B0" w:rsidRDefault="00000000">
            <w:r>
              <w:rPr>
                <w:color w:val="000000"/>
                <w:sz w:val="20"/>
              </w:rPr>
              <w:t>Ethical Considerations</w:t>
            </w:r>
          </w:p>
        </w:tc>
        <w:tc>
          <w:tcPr>
            <w:tcW w:w="2736" w:type="dxa"/>
            <w:shd w:val="clear" w:color="auto" w:fill="E8F6EC"/>
          </w:tcPr>
          <w:p w14:paraId="2EC82BFA" w14:textId="77777777" w:rsidR="00E560B0" w:rsidRDefault="00000000">
            <w:r>
              <w:rPr>
                <w:color w:val="3D008F"/>
                <w:sz w:val="20"/>
              </w:rPr>
              <w:t>Member 5</w:t>
            </w:r>
          </w:p>
        </w:tc>
        <w:tc>
          <w:tcPr>
            <w:tcW w:w="2016" w:type="dxa"/>
            <w:shd w:val="clear" w:color="auto" w:fill="E8F6EC"/>
          </w:tcPr>
          <w:p w14:paraId="504BE684" w14:textId="77777777" w:rsidR="00E560B0" w:rsidRDefault="00000000">
            <w:pPr>
              <w:jc w:val="center"/>
            </w:pPr>
            <w:r>
              <w:rPr>
                <w:color w:val="000000"/>
                <w:sz w:val="20"/>
              </w:rPr>
              <w:t>~0.25</w:t>
            </w:r>
          </w:p>
        </w:tc>
      </w:tr>
      <w:tr w:rsidR="00E560B0" w14:paraId="196D00B1" w14:textId="77777777">
        <w:trPr>
          <w:jc w:val="center"/>
        </w:trPr>
        <w:tc>
          <w:tcPr>
            <w:tcW w:w="864" w:type="dxa"/>
            <w:shd w:val="clear" w:color="auto" w:fill="F0F0F0"/>
          </w:tcPr>
          <w:p w14:paraId="7FEC06E7" w14:textId="77777777" w:rsidR="00E560B0" w:rsidRDefault="00000000">
            <w:pPr>
              <w:jc w:val="center"/>
            </w:pPr>
            <w:r>
              <w:rPr>
                <w:color w:val="000000"/>
                <w:sz w:val="20"/>
              </w:rPr>
              <w:t>—</w:t>
            </w:r>
          </w:p>
        </w:tc>
        <w:tc>
          <w:tcPr>
            <w:tcW w:w="4896" w:type="dxa"/>
            <w:shd w:val="clear" w:color="auto" w:fill="F0F0F0"/>
          </w:tcPr>
          <w:p w14:paraId="1CD1B92A" w14:textId="77777777" w:rsidR="00E560B0" w:rsidRDefault="00000000">
            <w:r>
              <w:rPr>
                <w:color w:val="000000"/>
                <w:sz w:val="20"/>
              </w:rPr>
              <w:t>References (APA)</w:t>
            </w:r>
          </w:p>
        </w:tc>
        <w:tc>
          <w:tcPr>
            <w:tcW w:w="2736" w:type="dxa"/>
            <w:shd w:val="clear" w:color="auto" w:fill="F0F0F0"/>
          </w:tcPr>
          <w:p w14:paraId="34B953CE" w14:textId="77777777" w:rsidR="00E560B0" w:rsidRDefault="00000000">
            <w:r>
              <w:rPr>
                <w:color w:val="3D008F"/>
                <w:sz w:val="20"/>
              </w:rPr>
              <w:t>Member 5 assembles</w:t>
            </w:r>
          </w:p>
        </w:tc>
        <w:tc>
          <w:tcPr>
            <w:tcW w:w="2016" w:type="dxa"/>
            <w:shd w:val="clear" w:color="auto" w:fill="F0F0F0"/>
          </w:tcPr>
          <w:p w14:paraId="44D0CD9E" w14:textId="77777777" w:rsidR="00E560B0" w:rsidRDefault="00000000">
            <w:pPr>
              <w:jc w:val="center"/>
            </w:pPr>
            <w:r>
              <w:rPr>
                <w:color w:val="000000"/>
                <w:sz w:val="20"/>
              </w:rPr>
              <w:t>Not counted</w:t>
            </w:r>
          </w:p>
        </w:tc>
      </w:tr>
      <w:tr w:rsidR="00E560B0" w14:paraId="4C4D8AEA" w14:textId="77777777">
        <w:trPr>
          <w:jc w:val="center"/>
        </w:trPr>
        <w:tc>
          <w:tcPr>
            <w:tcW w:w="864" w:type="dxa"/>
            <w:shd w:val="clear" w:color="auto" w:fill="F0F0F0"/>
          </w:tcPr>
          <w:p w14:paraId="05C0350F" w14:textId="77777777" w:rsidR="00E560B0" w:rsidRDefault="00000000">
            <w:pPr>
              <w:jc w:val="center"/>
            </w:pPr>
            <w:r>
              <w:rPr>
                <w:color w:val="000000"/>
                <w:sz w:val="20"/>
              </w:rPr>
              <w:t>—</w:t>
            </w:r>
          </w:p>
        </w:tc>
        <w:tc>
          <w:tcPr>
            <w:tcW w:w="4896" w:type="dxa"/>
            <w:shd w:val="clear" w:color="auto" w:fill="F0F0F0"/>
          </w:tcPr>
          <w:p w14:paraId="39C0411D" w14:textId="77777777" w:rsidR="00E560B0" w:rsidRDefault="00000000">
            <w:r>
              <w:rPr>
                <w:color w:val="000000"/>
                <w:sz w:val="20"/>
              </w:rPr>
              <w:t>Cover Page</w:t>
            </w:r>
          </w:p>
        </w:tc>
        <w:tc>
          <w:tcPr>
            <w:tcW w:w="2736" w:type="dxa"/>
            <w:shd w:val="clear" w:color="auto" w:fill="F0F0F0"/>
          </w:tcPr>
          <w:p w14:paraId="1F8EC603" w14:textId="77777777" w:rsidR="00E560B0" w:rsidRDefault="00000000">
            <w:r>
              <w:rPr>
                <w:color w:val="3D008F"/>
                <w:sz w:val="20"/>
              </w:rPr>
              <w:t>Member 5</w:t>
            </w:r>
          </w:p>
        </w:tc>
        <w:tc>
          <w:tcPr>
            <w:tcW w:w="2016" w:type="dxa"/>
            <w:shd w:val="clear" w:color="auto" w:fill="F0F0F0"/>
          </w:tcPr>
          <w:p w14:paraId="434F17B6" w14:textId="77777777" w:rsidR="00E560B0" w:rsidRDefault="00000000">
            <w:pPr>
              <w:jc w:val="center"/>
            </w:pPr>
            <w:r>
              <w:rPr>
                <w:color w:val="000000"/>
                <w:sz w:val="20"/>
              </w:rPr>
              <w:t>Not counted</w:t>
            </w:r>
          </w:p>
        </w:tc>
      </w:tr>
      <w:tr w:rsidR="00E560B0" w14:paraId="6BFE60E4" w14:textId="77777777">
        <w:trPr>
          <w:jc w:val="center"/>
        </w:trPr>
        <w:tc>
          <w:tcPr>
            <w:tcW w:w="864" w:type="dxa"/>
            <w:shd w:val="clear" w:color="auto" w:fill="E0E0E0"/>
          </w:tcPr>
          <w:p w14:paraId="55D71F21" w14:textId="77777777" w:rsidR="00E560B0" w:rsidRDefault="00E560B0">
            <w:pPr>
              <w:jc w:val="center"/>
            </w:pPr>
          </w:p>
        </w:tc>
        <w:tc>
          <w:tcPr>
            <w:tcW w:w="4896" w:type="dxa"/>
            <w:shd w:val="clear" w:color="auto" w:fill="E0E0E0"/>
          </w:tcPr>
          <w:p w14:paraId="38D212F3" w14:textId="77777777" w:rsidR="00E560B0" w:rsidRDefault="00000000">
            <w:r>
              <w:rPr>
                <w:b/>
                <w:color w:val="0D1B2A"/>
                <w:sz w:val="20"/>
              </w:rPr>
              <w:t>TOTAL</w:t>
            </w:r>
          </w:p>
        </w:tc>
        <w:tc>
          <w:tcPr>
            <w:tcW w:w="2736" w:type="dxa"/>
            <w:shd w:val="clear" w:color="auto" w:fill="E0E0E0"/>
          </w:tcPr>
          <w:p w14:paraId="6E2DC592" w14:textId="77777777" w:rsidR="00E560B0" w:rsidRDefault="00E560B0"/>
        </w:tc>
        <w:tc>
          <w:tcPr>
            <w:tcW w:w="2016" w:type="dxa"/>
            <w:shd w:val="clear" w:color="auto" w:fill="E0E0E0"/>
          </w:tcPr>
          <w:p w14:paraId="6D017550" w14:textId="77777777" w:rsidR="00E560B0" w:rsidRDefault="00000000">
            <w:pPr>
              <w:jc w:val="center"/>
            </w:pPr>
            <w:r>
              <w:rPr>
                <w:b/>
                <w:color w:val="0D1B2A"/>
                <w:sz w:val="20"/>
              </w:rPr>
              <w:t>~4.50–5.00</w:t>
            </w:r>
          </w:p>
        </w:tc>
      </w:tr>
    </w:tbl>
    <w:p w14:paraId="18D7FB26" w14:textId="77777777" w:rsidR="00E560B0" w:rsidRDefault="00E560B0"/>
    <w:p w14:paraId="30CA9F12" w14:textId="77777777" w:rsidR="00E560B0" w:rsidRDefault="00E560B0">
      <w:pPr>
        <w:pBdr>
          <w:bottom w:val="single" w:sz="4" w:space="0" w:color="CCCCCC"/>
        </w:pBdr>
        <w:spacing w:before="80" w:after="80"/>
      </w:pPr>
    </w:p>
    <w:p w14:paraId="68454D34" w14:textId="77777777" w:rsidR="00E560B0" w:rsidRDefault="00000000">
      <w:pPr>
        <w:pBdr>
          <w:bottom w:val="single" w:sz="6" w:space="0" w:color="0084AA"/>
        </w:pBdr>
        <w:spacing w:before="280" w:after="80"/>
      </w:pPr>
      <w:r>
        <w:rPr>
          <w:b/>
          <w:color w:val="005F73"/>
          <w:sz w:val="30"/>
        </w:rPr>
        <w:t>Member 1 — Alrick</w:t>
      </w:r>
    </w:p>
    <w:p w14:paraId="45AFB1A9" w14:textId="77777777" w:rsidR="00E560B0" w:rsidRDefault="00000000">
      <w:pPr>
        <w:spacing w:before="200" w:after="80"/>
      </w:pPr>
      <w:r>
        <w:rPr>
          <w:b/>
          <w:color w:val="007A8A"/>
          <w:sz w:val="25"/>
        </w:rPr>
        <w:lastRenderedPageBreak/>
        <w:t>Section 5: Proposed Analytical Approach  (~1.5 pages)</w:t>
      </w:r>
    </w:p>
    <w:p w14:paraId="003F7E35" w14:textId="77777777" w:rsidR="00E560B0" w:rsidRDefault="00000000">
      <w:pPr>
        <w:spacing w:after="120"/>
      </w:pPr>
      <w:r>
        <w:rPr>
          <w:color w:val="000000"/>
        </w:rPr>
        <w:t>This is the technical core of the proposal — the two-component analytical pipeline. Explain how the Predictive Model and the Optimization Model work together, justify the method choices, and describe how they would be implemented at capstone scope.</w:t>
      </w:r>
    </w:p>
    <w:p w14:paraId="1ED97A9E" w14:textId="77777777" w:rsidR="00E560B0" w:rsidRDefault="00000000">
      <w:pPr>
        <w:spacing w:after="40"/>
      </w:pPr>
      <w:r>
        <w:rPr>
          <w:b/>
          <w:color w:val="000000"/>
        </w:rPr>
        <w:t>Required subsections (suggested):</w:t>
      </w:r>
    </w:p>
    <w:p w14:paraId="1841BE31" w14:textId="77777777" w:rsidR="00E560B0" w:rsidRDefault="00000000">
      <w:pPr>
        <w:pStyle w:val="ListBullet"/>
        <w:spacing w:before="20" w:after="60"/>
        <w:ind w:left="432"/>
      </w:pPr>
      <w:r>
        <w:rPr>
          <w:color w:val="000000"/>
        </w:rPr>
        <w:t>Overview: the two-component pipeline (Predictive Model → feeds into → Optimization Model)</w:t>
      </w:r>
    </w:p>
    <w:p w14:paraId="2D2A27E8" w14:textId="77777777" w:rsidR="00E560B0" w:rsidRDefault="00000000">
      <w:pPr>
        <w:pStyle w:val="ListBullet"/>
        <w:spacing w:before="20" w:after="60"/>
        <w:ind w:left="432"/>
      </w:pPr>
      <w:r>
        <w:rPr>
          <w:color w:val="000000"/>
        </w:rPr>
        <w:t>Predictive Model: Random Forest, what it predicts (P95 peak, duration), features used, why RF over LSTM</w:t>
      </w:r>
    </w:p>
    <w:p w14:paraId="4549BB69" w14:textId="77777777" w:rsidR="00E560B0" w:rsidRDefault="00000000">
      <w:pPr>
        <w:pStyle w:val="ListBullet"/>
        <w:spacing w:before="20" w:after="60"/>
        <w:ind w:left="432"/>
      </w:pPr>
      <w:r>
        <w:rPr>
          <w:color w:val="000000"/>
        </w:rPr>
        <w:t>Optimization Model (Prescriptive): objective function, decision variables, constraints (memory, fairness, SLA deadline)</w:t>
      </w:r>
    </w:p>
    <w:p w14:paraId="38A7739A" w14:textId="77777777" w:rsidR="00E560B0" w:rsidRDefault="00000000">
      <w:pPr>
        <w:pStyle w:val="ListBullet"/>
        <w:spacing w:before="20" w:after="60"/>
        <w:ind w:left="432"/>
      </w:pPr>
      <w:r>
        <w:rPr>
          <w:color w:val="000000"/>
        </w:rPr>
        <w:t>Why this combination is appropriate: prediction enables safe overcommitment; optimization ensures no constraint is violated</w:t>
      </w:r>
    </w:p>
    <w:p w14:paraId="0B0AA73A" w14:textId="77777777" w:rsidR="00E560B0" w:rsidRDefault="00000000">
      <w:pPr>
        <w:pStyle w:val="ListBullet"/>
        <w:spacing w:before="20" w:after="60"/>
        <w:ind w:left="432"/>
      </w:pPr>
      <w:r>
        <w:rPr>
          <w:color w:val="000000"/>
        </w:rPr>
        <w:t>How it maps to Kubernetes: admission webhook, score phase, runtime controller</w:t>
      </w:r>
    </w:p>
    <w:p w14:paraId="32BE0C1A" w14:textId="77777777" w:rsidR="00E560B0" w:rsidRDefault="00000000">
      <w:pPr>
        <w:spacing w:before="160" w:after="80"/>
      </w:pPr>
      <w:r>
        <w:rPr>
          <w:b/>
          <w:color w:val="000000"/>
        </w:rPr>
        <w:t>Key papers to cite: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5"/>
        <w:gridCol w:w="6569"/>
      </w:tblGrid>
      <w:tr w:rsidR="00E560B0" w14:paraId="18B68003" w14:textId="77777777">
        <w:tc>
          <w:tcPr>
            <w:tcW w:w="2880" w:type="dxa"/>
            <w:shd w:val="clear" w:color="auto" w:fill="1A2E44"/>
          </w:tcPr>
          <w:p w14:paraId="3FE3057B" w14:textId="77777777" w:rsidR="00E560B0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Paper</w:t>
            </w:r>
          </w:p>
        </w:tc>
        <w:tc>
          <w:tcPr>
            <w:tcW w:w="7632" w:type="dxa"/>
            <w:shd w:val="clear" w:color="auto" w:fill="1A2E44"/>
          </w:tcPr>
          <w:p w14:paraId="035616D4" w14:textId="77777777" w:rsidR="00E560B0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What to cite from it</w:t>
            </w:r>
          </w:p>
        </w:tc>
      </w:tr>
      <w:tr w:rsidR="00E560B0" w14:paraId="1305C5D1" w14:textId="77777777">
        <w:tc>
          <w:tcPr>
            <w:tcW w:w="2880" w:type="dxa"/>
            <w:shd w:val="clear" w:color="auto" w:fill="F4F6F8"/>
          </w:tcPr>
          <w:p w14:paraId="2C59A106" w14:textId="77777777" w:rsidR="00E560B0" w:rsidRDefault="00000000">
            <w:r>
              <w:rPr>
                <w:b/>
                <w:color w:val="007A8A"/>
                <w:sz w:val="19"/>
              </w:rPr>
              <w:t>Kovalenko &amp; Zhdanova (2024)</w:t>
            </w:r>
          </w:p>
        </w:tc>
        <w:tc>
          <w:tcPr>
            <w:tcW w:w="7632" w:type="dxa"/>
            <w:shd w:val="clear" w:color="auto" w:fill="F4F6F8"/>
          </w:tcPr>
          <w:p w14:paraId="058323EC" w14:textId="77777777" w:rsidR="00E560B0" w:rsidRDefault="00000000">
            <w:r>
              <w:rPr>
                <w:color w:val="000000"/>
                <w:sz w:val="19"/>
              </w:rPr>
              <w:t>Mathematical model structure — binary assignment variables, capacity constraints, multi-objective form; the skeleton your model extends</w:t>
            </w:r>
          </w:p>
        </w:tc>
      </w:tr>
      <w:tr w:rsidR="00E560B0" w14:paraId="5CAC4E2A" w14:textId="77777777">
        <w:tc>
          <w:tcPr>
            <w:tcW w:w="2880" w:type="dxa"/>
            <w:shd w:val="clear" w:color="auto" w:fill="FFFFFF"/>
          </w:tcPr>
          <w:p w14:paraId="5F82956D" w14:textId="77777777" w:rsidR="00E560B0" w:rsidRDefault="00000000">
            <w:r>
              <w:rPr>
                <w:b/>
                <w:color w:val="007A8A"/>
                <w:sz w:val="19"/>
              </w:rPr>
              <w:t>Resource Central — Cortez (2017)</w:t>
            </w:r>
          </w:p>
        </w:tc>
        <w:tc>
          <w:tcPr>
            <w:tcW w:w="7632" w:type="dxa"/>
            <w:shd w:val="clear" w:color="auto" w:fill="FFFFFF"/>
          </w:tcPr>
          <w:p w14:paraId="2FAB60C6" w14:textId="77777777" w:rsidR="00E560B0" w:rsidRDefault="00000000">
            <w:r>
              <w:rPr>
                <w:color w:val="000000"/>
                <w:sz w:val="19"/>
              </w:rPr>
              <w:t>RF prediction architecture; tenant history as dominant feature; safe oversubscription result</w:t>
            </w:r>
          </w:p>
        </w:tc>
      </w:tr>
      <w:tr w:rsidR="00E560B0" w14:paraId="63857093" w14:textId="77777777">
        <w:tc>
          <w:tcPr>
            <w:tcW w:w="2880" w:type="dxa"/>
            <w:shd w:val="clear" w:color="auto" w:fill="F4F6F8"/>
          </w:tcPr>
          <w:p w14:paraId="593F90FA" w14:textId="77777777" w:rsidR="00E560B0" w:rsidRDefault="00000000">
            <w:r>
              <w:rPr>
                <w:b/>
                <w:color w:val="007A8A"/>
                <w:sz w:val="19"/>
              </w:rPr>
              <w:t>Doukha (2025)</w:t>
            </w:r>
          </w:p>
        </w:tc>
        <w:tc>
          <w:tcPr>
            <w:tcW w:w="7632" w:type="dxa"/>
            <w:shd w:val="clear" w:color="auto" w:fill="F4F6F8"/>
          </w:tcPr>
          <w:p w14:paraId="76A999FD" w14:textId="77777777" w:rsidR="00E560B0" w:rsidRDefault="00000000">
            <w:r>
              <w:rPr>
                <w:color w:val="000000"/>
                <w:sz w:val="19"/>
              </w:rPr>
              <w:t>RF vs LSTM comparison (MAPE 2.65% vs 17.43%) — the head-to-head evidence justifying RF</w:t>
            </w:r>
          </w:p>
        </w:tc>
      </w:tr>
      <w:tr w:rsidR="00E560B0" w14:paraId="227001B9" w14:textId="77777777">
        <w:tc>
          <w:tcPr>
            <w:tcW w:w="2880" w:type="dxa"/>
            <w:shd w:val="clear" w:color="auto" w:fill="FFFFFF"/>
          </w:tcPr>
          <w:p w14:paraId="113CA660" w14:textId="77777777" w:rsidR="00E560B0" w:rsidRDefault="00000000">
            <w:r>
              <w:rPr>
                <w:b/>
                <w:color w:val="007A8A"/>
                <w:sz w:val="19"/>
              </w:rPr>
              <w:t>DRF — Ghodsi (2011)</w:t>
            </w:r>
          </w:p>
        </w:tc>
        <w:tc>
          <w:tcPr>
            <w:tcW w:w="7632" w:type="dxa"/>
            <w:shd w:val="clear" w:color="auto" w:fill="FFFFFF"/>
          </w:tcPr>
          <w:p w14:paraId="5EC764B9" w14:textId="77777777" w:rsidR="00E560B0" w:rsidRDefault="00000000">
            <w:r>
              <w:rPr>
                <w:color w:val="000000"/>
                <w:sz w:val="19"/>
              </w:rPr>
              <w:t>Fairness constraint formalization — dominant share definition and proven properties</w:t>
            </w:r>
          </w:p>
        </w:tc>
      </w:tr>
      <w:tr w:rsidR="00E560B0" w14:paraId="03E1A706" w14:textId="77777777">
        <w:tc>
          <w:tcPr>
            <w:tcW w:w="2880" w:type="dxa"/>
            <w:shd w:val="clear" w:color="auto" w:fill="F4F6F8"/>
          </w:tcPr>
          <w:p w14:paraId="3DFEDAFE" w14:textId="77777777" w:rsidR="00E560B0" w:rsidRDefault="00000000">
            <w:r>
              <w:rPr>
                <w:b/>
                <w:color w:val="007A8A"/>
                <w:sz w:val="19"/>
              </w:rPr>
              <w:t>Coach — Reidys (2025)</w:t>
            </w:r>
          </w:p>
        </w:tc>
        <w:tc>
          <w:tcPr>
            <w:tcW w:w="7632" w:type="dxa"/>
            <w:shd w:val="clear" w:color="auto" w:fill="F4F6F8"/>
          </w:tcPr>
          <w:p w14:paraId="7524125E" w14:textId="77777777" w:rsidR="00E560B0" w:rsidRDefault="00000000">
            <w:r>
              <w:rPr>
                <w:color w:val="000000"/>
                <w:sz w:val="19"/>
              </w:rPr>
              <w:t>Temporal co-location strategy — additive pulse model, non-overlapping peaks</w:t>
            </w:r>
          </w:p>
        </w:tc>
      </w:tr>
      <w:tr w:rsidR="00E560B0" w14:paraId="36918F68" w14:textId="77777777">
        <w:tc>
          <w:tcPr>
            <w:tcW w:w="2880" w:type="dxa"/>
            <w:shd w:val="clear" w:color="auto" w:fill="FFFFFF"/>
          </w:tcPr>
          <w:p w14:paraId="02D142DC" w14:textId="77777777" w:rsidR="00E560B0" w:rsidRDefault="00000000">
            <w:r>
              <w:rPr>
                <w:b/>
                <w:color w:val="007A8A"/>
                <w:sz w:val="19"/>
              </w:rPr>
              <w:t>Kofi (2025)</w:t>
            </w:r>
          </w:p>
        </w:tc>
        <w:tc>
          <w:tcPr>
            <w:tcW w:w="7632" w:type="dxa"/>
            <w:shd w:val="clear" w:color="auto" w:fill="FFFFFF"/>
          </w:tcPr>
          <w:p w14:paraId="30FEB5CF" w14:textId="77777777" w:rsidR="00E560B0" w:rsidRDefault="00000000">
            <w:r>
              <w:rPr>
                <w:color w:val="000000"/>
                <w:sz w:val="19"/>
              </w:rPr>
              <w:t>Preprocessing pipeline (Savitzky-Golay + min-max); Google Cluster Trace v3 validation</w:t>
            </w:r>
          </w:p>
        </w:tc>
      </w:tr>
      <w:tr w:rsidR="00E560B0" w14:paraId="6E8E9B36" w14:textId="77777777">
        <w:tc>
          <w:tcPr>
            <w:tcW w:w="2880" w:type="dxa"/>
            <w:shd w:val="clear" w:color="auto" w:fill="F4F6F8"/>
          </w:tcPr>
          <w:p w14:paraId="09376506" w14:textId="77777777" w:rsidR="00E560B0" w:rsidRDefault="00000000">
            <w:r>
              <w:rPr>
                <w:b/>
                <w:color w:val="007A8A"/>
                <w:sz w:val="19"/>
              </w:rPr>
              <w:t>Priya (2025)</w:t>
            </w:r>
          </w:p>
        </w:tc>
        <w:tc>
          <w:tcPr>
            <w:tcW w:w="7632" w:type="dxa"/>
            <w:shd w:val="clear" w:color="auto" w:fill="F4F6F8"/>
          </w:tcPr>
          <w:p w14:paraId="2D2B3B4C" w14:textId="77777777" w:rsidR="00E560B0" w:rsidRDefault="00000000">
            <w:r>
              <w:rPr>
                <w:color w:val="000000"/>
                <w:sz w:val="19"/>
              </w:rPr>
              <w:t>Kubernetes scheduler plugin architecture — admission webhook + score + runtime controller</w:t>
            </w:r>
          </w:p>
        </w:tc>
      </w:tr>
    </w:tbl>
    <w:p w14:paraId="6FE56731" w14:textId="77777777" w:rsidR="00E560B0" w:rsidRDefault="00E560B0"/>
    <w:p w14:paraId="4EB4B750" w14:textId="77777777" w:rsidR="00E560B0" w:rsidRDefault="00000000">
      <w:pPr>
        <w:spacing w:after="80"/>
      </w:pPr>
      <w:r>
        <w:rPr>
          <w:i/>
          <w:color w:val="505050"/>
          <w:sz w:val="20"/>
        </w:rPr>
        <w:t>Writing guidance: The template says 'final model selection is not required — show analytical direction.' Present the approach as a justified plan. Use the objective function, feature set, and constraint list from Proposal Draft.md as the technical backbone. Write in third person: 'The proposed system trains a Random Forest model...'’</w:t>
      </w:r>
    </w:p>
    <w:p w14:paraId="05E9634A" w14:textId="77777777" w:rsidR="00E560B0" w:rsidRDefault="00E560B0">
      <w:pPr>
        <w:pBdr>
          <w:bottom w:val="single" w:sz="4" w:space="0" w:color="CCCCCC"/>
        </w:pBdr>
        <w:spacing w:before="80" w:after="80"/>
      </w:pPr>
    </w:p>
    <w:p w14:paraId="6592BE96" w14:textId="77777777" w:rsidR="00E560B0" w:rsidRDefault="00000000">
      <w:pPr>
        <w:pBdr>
          <w:bottom w:val="single" w:sz="6" w:space="0" w:color="0084AA"/>
        </w:pBdr>
        <w:spacing w:before="280" w:after="80"/>
      </w:pPr>
      <w:r>
        <w:rPr>
          <w:b/>
          <w:color w:val="940056"/>
          <w:sz w:val="30"/>
        </w:rPr>
        <w:t>Member 2</w:t>
      </w:r>
    </w:p>
    <w:p w14:paraId="49A65CE1" w14:textId="77777777" w:rsidR="00E560B0" w:rsidRDefault="00000000">
      <w:pPr>
        <w:spacing w:before="200" w:after="80"/>
      </w:pPr>
      <w:r>
        <w:rPr>
          <w:b/>
          <w:color w:val="007A8A"/>
          <w:sz w:val="25"/>
        </w:rPr>
        <w:t>Section 6: Expected Outcomes and Contributions  (~0.75 page)</w:t>
      </w:r>
    </w:p>
    <w:p w14:paraId="0E45FC28" w14:textId="77777777" w:rsidR="00E560B0" w:rsidRDefault="00000000">
      <w:pPr>
        <w:spacing w:after="120"/>
      </w:pPr>
      <w:r>
        <w:rPr>
          <w:color w:val="000000"/>
        </w:rPr>
        <w:t xml:space="preserve">Describe what the project will produce, what improvements are expected, and what contribution this makes to the field. This section works from the outputs of Section 5 — you don’t need to understand the model internals, just know: the system produces (a) a trained RF </w:t>
      </w:r>
      <w:r>
        <w:rPr>
          <w:color w:val="000000"/>
        </w:rPr>
        <w:lastRenderedPageBreak/>
        <w:t>model, (b) a scheduling algorithm / simulation, and (c) results comparing against the default K8s scheduler.</w:t>
      </w:r>
    </w:p>
    <w:p w14:paraId="2DE74AE5" w14:textId="77777777" w:rsidR="00E560B0" w:rsidRDefault="00000000">
      <w:pPr>
        <w:spacing w:after="40"/>
      </w:pPr>
      <w:r>
        <w:rPr>
          <w:b/>
          <w:color w:val="000000"/>
        </w:rPr>
        <w:t>Required subsections (suggested):</w:t>
      </w:r>
    </w:p>
    <w:p w14:paraId="1D310E28" w14:textId="77777777" w:rsidR="00E560B0" w:rsidRDefault="00000000">
      <w:pPr>
        <w:pStyle w:val="ListBullet"/>
        <w:spacing w:before="20" w:after="60"/>
        <w:ind w:left="432"/>
      </w:pPr>
      <w:r>
        <w:rPr>
          <w:color w:val="000000"/>
        </w:rPr>
        <w:t>Expected quantitative outcomes with specific numbers (utilization %, SLA %, Gini, MAPE)</w:t>
      </w:r>
    </w:p>
    <w:p w14:paraId="7DF8DBA2" w14:textId="77777777" w:rsidR="00E560B0" w:rsidRDefault="00000000">
      <w:pPr>
        <w:pStyle w:val="ListBullet"/>
        <w:spacing w:before="20" w:after="60"/>
        <w:ind w:left="432"/>
      </w:pPr>
      <w:r>
        <w:rPr>
          <w:color w:val="000000"/>
        </w:rPr>
        <w:t>What the system contributes that does not currently exist in the literature (the novelty claim)</w:t>
      </w:r>
    </w:p>
    <w:p w14:paraId="4F0EE484" w14:textId="77777777" w:rsidR="00E560B0" w:rsidRDefault="00000000">
      <w:pPr>
        <w:pStyle w:val="ListBullet"/>
        <w:spacing w:before="20" w:after="60"/>
        <w:ind w:left="432"/>
      </w:pPr>
      <w:r>
        <w:rPr>
          <w:color w:val="000000"/>
        </w:rPr>
        <w:t>How practitioners benefit: cloud operators, tenants, organizations running shared clusters</w:t>
      </w:r>
    </w:p>
    <w:p w14:paraId="09616FCD" w14:textId="77777777" w:rsidR="00E560B0" w:rsidRDefault="00000000">
      <w:pPr>
        <w:pStyle w:val="ListBullet"/>
        <w:spacing w:before="20" w:after="60"/>
        <w:ind w:left="432"/>
      </w:pPr>
      <w:r>
        <w:rPr>
          <w:color w:val="000000"/>
        </w:rPr>
        <w:t>Limitations and scope: simulation only, single cluster, no live deployment</w:t>
      </w:r>
    </w:p>
    <w:p w14:paraId="7A0AC8C3" w14:textId="77777777" w:rsidR="00E560B0" w:rsidRDefault="00000000">
      <w:pPr>
        <w:spacing w:before="160" w:after="40"/>
      </w:pPr>
      <w:r>
        <w:rPr>
          <w:b/>
          <w:color w:val="000000"/>
        </w:rPr>
        <w:t>Specific target numbers to include in the section:</w:t>
      </w:r>
    </w:p>
    <w:p w14:paraId="0AC4D103" w14:textId="77777777" w:rsidR="00E560B0" w:rsidRDefault="00000000">
      <w:pPr>
        <w:pStyle w:val="ListBullet"/>
        <w:spacing w:before="20" w:after="60"/>
        <w:ind w:left="432"/>
      </w:pPr>
      <w:r>
        <w:rPr>
          <w:b/>
          <w:color w:val="007A8A"/>
        </w:rPr>
        <w:t xml:space="preserve">→ Target  </w:t>
      </w:r>
      <w:r>
        <w:rPr>
          <w:color w:val="000000"/>
        </w:rPr>
        <w:t>Memory utilization: ~45–60% (default K8s) → ≥ 85% (target)</w:t>
      </w:r>
    </w:p>
    <w:p w14:paraId="3B93106B" w14:textId="77777777" w:rsidR="00E560B0" w:rsidRDefault="00000000">
      <w:pPr>
        <w:pStyle w:val="ListBullet"/>
        <w:spacing w:before="20" w:after="60"/>
        <w:ind w:left="432"/>
      </w:pPr>
      <w:r>
        <w:rPr>
          <w:b/>
          <w:color w:val="007A8A"/>
        </w:rPr>
        <w:t xml:space="preserve">→ Target  </w:t>
      </w:r>
      <w:r>
        <w:rPr>
          <w:color w:val="000000"/>
        </w:rPr>
        <w:t>SLA violation rate: &lt; 5%</w:t>
      </w:r>
    </w:p>
    <w:p w14:paraId="13E9B8C8" w14:textId="77777777" w:rsidR="00E560B0" w:rsidRDefault="00000000">
      <w:pPr>
        <w:pStyle w:val="ListBullet"/>
        <w:spacing w:before="20" w:after="60"/>
        <w:ind w:left="432"/>
      </w:pPr>
      <w:r>
        <w:rPr>
          <w:b/>
          <w:color w:val="007A8A"/>
        </w:rPr>
        <w:t xml:space="preserve">→ Target  </w:t>
      </w:r>
      <w:r>
        <w:rPr>
          <w:color w:val="000000"/>
        </w:rPr>
        <w:t>Gini coefficient: ~0.25 → ~0.10</w:t>
      </w:r>
    </w:p>
    <w:p w14:paraId="08629751" w14:textId="77777777" w:rsidR="00E560B0" w:rsidRDefault="00000000">
      <w:pPr>
        <w:pStyle w:val="ListBullet"/>
        <w:spacing w:before="20" w:after="60"/>
        <w:ind w:left="432"/>
      </w:pPr>
      <w:r>
        <w:rPr>
          <w:b/>
          <w:color w:val="007A8A"/>
        </w:rPr>
        <w:t xml:space="preserve">→ Target  </w:t>
      </w:r>
      <w:r>
        <w:rPr>
          <w:color w:val="000000"/>
        </w:rPr>
        <w:t>Prediction MAPE: &lt; 5%</w:t>
      </w:r>
    </w:p>
    <w:p w14:paraId="4953BCEA" w14:textId="77777777" w:rsidR="00E560B0" w:rsidRDefault="00000000">
      <w:pPr>
        <w:spacing w:before="160" w:after="80"/>
      </w:pPr>
      <w:r>
        <w:rPr>
          <w:b/>
          <w:color w:val="000000"/>
        </w:rPr>
        <w:t>Key papers to cite: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83"/>
        <w:gridCol w:w="6561"/>
      </w:tblGrid>
      <w:tr w:rsidR="00E560B0" w14:paraId="02033AEC" w14:textId="77777777">
        <w:tc>
          <w:tcPr>
            <w:tcW w:w="2880" w:type="dxa"/>
            <w:shd w:val="clear" w:color="auto" w:fill="1A2E44"/>
          </w:tcPr>
          <w:p w14:paraId="2C834995" w14:textId="77777777" w:rsidR="00E560B0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Paper</w:t>
            </w:r>
          </w:p>
        </w:tc>
        <w:tc>
          <w:tcPr>
            <w:tcW w:w="7632" w:type="dxa"/>
            <w:shd w:val="clear" w:color="auto" w:fill="1A2E44"/>
          </w:tcPr>
          <w:p w14:paraId="43AA942C" w14:textId="77777777" w:rsidR="00E560B0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What to cite from it</w:t>
            </w:r>
          </w:p>
        </w:tc>
      </w:tr>
      <w:tr w:rsidR="00E560B0" w14:paraId="03788584" w14:textId="77777777">
        <w:tc>
          <w:tcPr>
            <w:tcW w:w="2880" w:type="dxa"/>
            <w:shd w:val="clear" w:color="auto" w:fill="F4F6F8"/>
          </w:tcPr>
          <w:p w14:paraId="50F82888" w14:textId="77777777" w:rsidR="00E560B0" w:rsidRDefault="00000000">
            <w:r>
              <w:rPr>
                <w:b/>
                <w:color w:val="007A8A"/>
                <w:sz w:val="19"/>
              </w:rPr>
              <w:t>Priya (2025)</w:t>
            </w:r>
          </w:p>
        </w:tc>
        <w:tc>
          <w:tcPr>
            <w:tcW w:w="7632" w:type="dxa"/>
            <w:shd w:val="clear" w:color="auto" w:fill="F4F6F8"/>
          </w:tcPr>
          <w:p w14:paraId="5B37B71C" w14:textId="77777777" w:rsidR="00E560B0" w:rsidRDefault="00000000">
            <w:r>
              <w:rPr>
                <w:color w:val="000000"/>
                <w:sz w:val="19"/>
              </w:rPr>
              <w:t>Benchmark: &lt;5% SLA violation rate — use as the bar to match or exceed</w:t>
            </w:r>
          </w:p>
        </w:tc>
      </w:tr>
      <w:tr w:rsidR="00E560B0" w14:paraId="3A84F29B" w14:textId="77777777">
        <w:tc>
          <w:tcPr>
            <w:tcW w:w="2880" w:type="dxa"/>
            <w:shd w:val="clear" w:color="auto" w:fill="FFFFFF"/>
          </w:tcPr>
          <w:p w14:paraId="41A6D259" w14:textId="77777777" w:rsidR="00E560B0" w:rsidRDefault="00000000">
            <w:r>
              <w:rPr>
                <w:b/>
                <w:color w:val="007A8A"/>
                <w:sz w:val="19"/>
              </w:rPr>
              <w:t>Alatawi (2025)</w:t>
            </w:r>
          </w:p>
        </w:tc>
        <w:tc>
          <w:tcPr>
            <w:tcW w:w="7632" w:type="dxa"/>
            <w:shd w:val="clear" w:color="auto" w:fill="FFFFFF"/>
          </w:tcPr>
          <w:p w14:paraId="37E07F6B" w14:textId="77777777" w:rsidR="00E560B0" w:rsidRDefault="00000000">
            <w:r>
              <w:rPr>
                <w:color w:val="000000"/>
                <w:sz w:val="19"/>
              </w:rPr>
              <w:t>Gini coefficient improvement (0.25 → 0.10) — your fairness target range</w:t>
            </w:r>
          </w:p>
        </w:tc>
      </w:tr>
      <w:tr w:rsidR="00E560B0" w14:paraId="5B3AA473" w14:textId="77777777">
        <w:tc>
          <w:tcPr>
            <w:tcW w:w="2880" w:type="dxa"/>
            <w:shd w:val="clear" w:color="auto" w:fill="F4F6F8"/>
          </w:tcPr>
          <w:p w14:paraId="195BE9C5" w14:textId="77777777" w:rsidR="00E560B0" w:rsidRDefault="00000000">
            <w:r>
              <w:rPr>
                <w:b/>
                <w:color w:val="007A8A"/>
                <w:sz w:val="19"/>
              </w:rPr>
              <w:t>Wang &amp; Yang (2025)</w:t>
            </w:r>
          </w:p>
        </w:tc>
        <w:tc>
          <w:tcPr>
            <w:tcW w:w="7632" w:type="dxa"/>
            <w:shd w:val="clear" w:color="auto" w:fill="F4F6F8"/>
          </w:tcPr>
          <w:p w14:paraId="7623ECA6" w14:textId="77777777" w:rsidR="00E560B0" w:rsidRDefault="00000000">
            <w:r>
              <w:rPr>
                <w:color w:val="000000"/>
                <w:sz w:val="19"/>
              </w:rPr>
              <w:t>32.5% utilization improvement + 43.3% latency reduction — comparable result</w:t>
            </w:r>
          </w:p>
        </w:tc>
      </w:tr>
      <w:tr w:rsidR="00E560B0" w14:paraId="4B9D7986" w14:textId="77777777">
        <w:tc>
          <w:tcPr>
            <w:tcW w:w="2880" w:type="dxa"/>
            <w:shd w:val="clear" w:color="auto" w:fill="FFFFFF"/>
          </w:tcPr>
          <w:p w14:paraId="73C3AB43" w14:textId="77777777" w:rsidR="00E560B0" w:rsidRDefault="00000000">
            <w:r>
              <w:rPr>
                <w:b/>
                <w:color w:val="007A8A"/>
                <w:sz w:val="19"/>
              </w:rPr>
              <w:t>Heracles — Lo (2015)</w:t>
            </w:r>
          </w:p>
        </w:tc>
        <w:tc>
          <w:tcPr>
            <w:tcW w:w="7632" w:type="dxa"/>
            <w:shd w:val="clear" w:color="auto" w:fill="FFFFFF"/>
          </w:tcPr>
          <w:p w14:paraId="348E213A" w14:textId="77777777" w:rsidR="00E560B0" w:rsidRDefault="00000000">
            <w:r>
              <w:rPr>
                <w:color w:val="000000"/>
                <w:sz w:val="19"/>
              </w:rPr>
              <w:t>~90% utilization + &lt;5% SLA is achievable — prior evidence targets are realistic</w:t>
            </w:r>
          </w:p>
        </w:tc>
      </w:tr>
      <w:tr w:rsidR="00E560B0" w14:paraId="5A3DC44B" w14:textId="77777777">
        <w:tc>
          <w:tcPr>
            <w:tcW w:w="2880" w:type="dxa"/>
            <w:shd w:val="clear" w:color="auto" w:fill="F4F6F8"/>
          </w:tcPr>
          <w:p w14:paraId="734BE025" w14:textId="77777777" w:rsidR="00E560B0" w:rsidRDefault="00000000">
            <w:r>
              <w:rPr>
                <w:b/>
                <w:color w:val="007A8A"/>
                <w:sz w:val="19"/>
              </w:rPr>
              <w:t>Chaudhari (2025)</w:t>
            </w:r>
          </w:p>
        </w:tc>
        <w:tc>
          <w:tcPr>
            <w:tcW w:w="7632" w:type="dxa"/>
            <w:shd w:val="clear" w:color="auto" w:fill="F4F6F8"/>
          </w:tcPr>
          <w:p w14:paraId="40E2DCCF" w14:textId="77777777" w:rsidR="00E560B0" w:rsidRDefault="00000000">
            <w:r>
              <w:rPr>
                <w:color w:val="000000"/>
                <w:sz w:val="19"/>
              </w:rPr>
              <w:t>The unbuilt framework — name your contribution explicitly as building what Chaudhari proposed</w:t>
            </w:r>
          </w:p>
        </w:tc>
      </w:tr>
      <w:tr w:rsidR="00E560B0" w14:paraId="086BD08D" w14:textId="77777777">
        <w:tc>
          <w:tcPr>
            <w:tcW w:w="2880" w:type="dxa"/>
            <w:shd w:val="clear" w:color="auto" w:fill="FFFFFF"/>
          </w:tcPr>
          <w:p w14:paraId="0EA05BF3" w14:textId="77777777" w:rsidR="00E560B0" w:rsidRDefault="00000000">
            <w:r>
              <w:rPr>
                <w:b/>
                <w:color w:val="007A8A"/>
                <w:sz w:val="19"/>
              </w:rPr>
              <w:t>Jiang Zhi (2025)</w:t>
            </w:r>
          </w:p>
        </w:tc>
        <w:tc>
          <w:tcPr>
            <w:tcW w:w="7632" w:type="dxa"/>
            <w:shd w:val="clear" w:color="auto" w:fill="FFFFFF"/>
          </w:tcPr>
          <w:p w14:paraId="38F41F91" w14:textId="77777777" w:rsidR="00E560B0" w:rsidRDefault="00000000">
            <w:r>
              <w:rPr>
                <w:color w:val="000000"/>
                <w:sz w:val="19"/>
              </w:rPr>
              <w:t>Simulation on real traces is valid evaluation methodology — justify this approach</w:t>
            </w:r>
          </w:p>
        </w:tc>
      </w:tr>
      <w:tr w:rsidR="00E560B0" w14:paraId="5FBA6E52" w14:textId="77777777">
        <w:tc>
          <w:tcPr>
            <w:tcW w:w="2880" w:type="dxa"/>
            <w:shd w:val="clear" w:color="auto" w:fill="F4F6F8"/>
          </w:tcPr>
          <w:p w14:paraId="2B2C60A7" w14:textId="77777777" w:rsidR="00E560B0" w:rsidRDefault="00000000">
            <w:r>
              <w:rPr>
                <w:b/>
                <w:color w:val="007A8A"/>
                <w:sz w:val="19"/>
              </w:rPr>
              <w:t>Zhao et al. (2021)</w:t>
            </w:r>
          </w:p>
        </w:tc>
        <w:tc>
          <w:tcPr>
            <w:tcW w:w="7632" w:type="dxa"/>
            <w:shd w:val="clear" w:color="auto" w:fill="F4F6F8"/>
          </w:tcPr>
          <w:p w14:paraId="6084BFAE" w14:textId="77777777" w:rsidR="00E560B0" w:rsidRDefault="00000000">
            <w:r>
              <w:rPr>
                <w:color w:val="000000"/>
                <w:sz w:val="19"/>
              </w:rPr>
              <w:t>Profit = utilization framing — use for cloud provider stakeholder argument</w:t>
            </w:r>
          </w:p>
        </w:tc>
      </w:tr>
    </w:tbl>
    <w:p w14:paraId="0E272026" w14:textId="77777777" w:rsidR="00E560B0" w:rsidRDefault="00E560B0"/>
    <w:p w14:paraId="0E091BEA" w14:textId="77777777" w:rsidR="00E560B0" w:rsidRDefault="00E560B0">
      <w:pPr>
        <w:pBdr>
          <w:bottom w:val="single" w:sz="4" w:space="0" w:color="CCCCCC"/>
        </w:pBdr>
        <w:spacing w:before="80" w:after="80"/>
      </w:pPr>
    </w:p>
    <w:p w14:paraId="0E8085C6" w14:textId="77777777" w:rsidR="00E560B0" w:rsidRDefault="00000000">
      <w:pPr>
        <w:pBdr>
          <w:bottom w:val="single" w:sz="6" w:space="0" w:color="0084AA"/>
        </w:pBdr>
        <w:spacing w:before="280" w:after="80"/>
      </w:pPr>
      <w:r>
        <w:rPr>
          <w:b/>
          <w:color w:val="1E6B2E"/>
          <w:sz w:val="30"/>
        </w:rPr>
        <w:t>Member 3</w:t>
      </w:r>
    </w:p>
    <w:p w14:paraId="7398C562" w14:textId="77777777" w:rsidR="00E560B0" w:rsidRDefault="00000000">
      <w:pPr>
        <w:spacing w:before="200" w:after="80"/>
      </w:pPr>
      <w:r>
        <w:rPr>
          <w:b/>
          <w:color w:val="007A8A"/>
          <w:sz w:val="25"/>
        </w:rPr>
        <w:t>Sections 1 + 2: Introduction + Problem Definition  (~1.25 pages total)</w:t>
      </w:r>
    </w:p>
    <w:p w14:paraId="46D9333E" w14:textId="77777777" w:rsidR="00E560B0" w:rsidRDefault="00000000">
      <w:pPr>
        <w:spacing w:after="120"/>
      </w:pPr>
      <w:r>
        <w:rPr>
          <w:color w:val="000000"/>
        </w:rPr>
        <w:t>These two sections open the proposal. They must hook the reader and justify why the project matters. They flow together naturally — Introduction sets the industry context and stakes; Problem Definition precisely describes the analytical challenge.</w:t>
      </w:r>
    </w:p>
    <w:p w14:paraId="158FA812" w14:textId="77777777" w:rsidR="00E560B0" w:rsidRDefault="00000000">
      <w:pPr>
        <w:spacing w:after="40"/>
      </w:pPr>
      <w:r>
        <w:rPr>
          <w:b/>
          <w:color w:val="000000"/>
        </w:rPr>
        <w:t>Section 1 — Introduction (~0.75 page):</w:t>
      </w:r>
    </w:p>
    <w:p w14:paraId="432F6626" w14:textId="77777777" w:rsidR="00E560B0" w:rsidRDefault="00000000">
      <w:pPr>
        <w:pStyle w:val="ListBullet"/>
        <w:spacing w:before="20" w:after="60"/>
        <w:ind w:left="432"/>
      </w:pPr>
      <w:r>
        <w:rPr>
          <w:color w:val="000000"/>
        </w:rPr>
        <w:t>Context: multi-tenant cloud clusters, DRAM pricing pressure, AI workload growth</w:t>
      </w:r>
    </w:p>
    <w:p w14:paraId="0C6E8EB5" w14:textId="77777777" w:rsidR="00E560B0" w:rsidRDefault="00000000">
      <w:pPr>
        <w:pStyle w:val="ListBullet"/>
        <w:spacing w:before="20" w:after="60"/>
        <w:ind w:left="432"/>
      </w:pPr>
      <w:r>
        <w:rPr>
          <w:color w:val="000000"/>
        </w:rPr>
        <w:t>Who the stakeholders are: cloud operators, tenants, organizations with shared clusters</w:t>
      </w:r>
    </w:p>
    <w:p w14:paraId="08657380" w14:textId="77777777" w:rsidR="00E560B0" w:rsidRDefault="00000000">
      <w:pPr>
        <w:pStyle w:val="ListBullet"/>
        <w:spacing w:before="20" w:after="60"/>
        <w:ind w:left="432"/>
      </w:pPr>
      <w:r>
        <w:rPr>
          <w:color w:val="000000"/>
        </w:rPr>
        <w:t>Why now: overcommitment is the right strategy; the scheduler is the bottleneck</w:t>
      </w:r>
    </w:p>
    <w:p w14:paraId="370C9C63" w14:textId="77777777" w:rsidR="00E560B0" w:rsidRDefault="00000000">
      <w:pPr>
        <w:spacing w:before="120" w:after="40"/>
      </w:pPr>
      <w:r>
        <w:rPr>
          <w:b/>
          <w:color w:val="000000"/>
        </w:rPr>
        <w:t>Section 2 — Problem Definition (~0.5 page):</w:t>
      </w:r>
    </w:p>
    <w:p w14:paraId="79D86637" w14:textId="77777777" w:rsidR="00E560B0" w:rsidRDefault="00000000">
      <w:pPr>
        <w:pStyle w:val="ListBullet"/>
        <w:spacing w:before="20" w:after="60"/>
        <w:ind w:left="432"/>
      </w:pPr>
      <w:r>
        <w:rPr>
          <w:color w:val="000000"/>
        </w:rPr>
        <w:t>The declared-vs-actual usage gap: tenants over-declare, creating wasted headroom</w:t>
      </w:r>
    </w:p>
    <w:p w14:paraId="7DD64D87" w14:textId="77777777" w:rsidR="00E560B0" w:rsidRDefault="00000000">
      <w:pPr>
        <w:pStyle w:val="ListBullet"/>
        <w:spacing w:before="20" w:after="60"/>
        <w:ind w:left="432"/>
      </w:pPr>
      <w:r>
        <w:rPr>
          <w:color w:val="000000"/>
        </w:rPr>
        <w:lastRenderedPageBreak/>
        <w:t>Memory contention from simultaneous peaks: when multiple jobs peak at the same time, OOM kills happen</w:t>
      </w:r>
    </w:p>
    <w:p w14:paraId="2169367F" w14:textId="77777777" w:rsidR="00E560B0" w:rsidRDefault="00000000">
      <w:pPr>
        <w:pStyle w:val="ListBullet"/>
        <w:spacing w:before="20" w:after="60"/>
        <w:ind w:left="432"/>
      </w:pPr>
      <w:r>
        <w:rPr>
          <w:color w:val="000000"/>
        </w:rPr>
        <w:t>Lack of native fairness: Kubernetes is first-come-first-served, no multi-tenant fairness</w:t>
      </w:r>
    </w:p>
    <w:p w14:paraId="5C5C62C1" w14:textId="77777777" w:rsidR="00E560B0" w:rsidRDefault="00000000">
      <w:pPr>
        <w:pStyle w:val="ListBullet"/>
        <w:spacing w:before="20" w:after="60"/>
        <w:ind w:left="432"/>
      </w:pPr>
      <w:r>
        <w:rPr>
          <w:color w:val="000000"/>
        </w:rPr>
        <w:t>How data analytics (prediction + optimization) is the right tool — not just engineering heuristics</w:t>
      </w:r>
    </w:p>
    <w:p w14:paraId="5F455DED" w14:textId="77777777" w:rsidR="00E560B0" w:rsidRDefault="00000000">
      <w:pPr>
        <w:spacing w:before="160" w:after="80"/>
      </w:pPr>
      <w:r>
        <w:rPr>
          <w:b/>
          <w:color w:val="000000"/>
        </w:rPr>
        <w:t>Key papers to cite: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8"/>
        <w:gridCol w:w="6526"/>
      </w:tblGrid>
      <w:tr w:rsidR="00E560B0" w14:paraId="128E45E6" w14:textId="77777777">
        <w:tc>
          <w:tcPr>
            <w:tcW w:w="2880" w:type="dxa"/>
            <w:shd w:val="clear" w:color="auto" w:fill="1A2E44"/>
          </w:tcPr>
          <w:p w14:paraId="033148CF" w14:textId="77777777" w:rsidR="00E560B0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Paper</w:t>
            </w:r>
          </w:p>
        </w:tc>
        <w:tc>
          <w:tcPr>
            <w:tcW w:w="7632" w:type="dxa"/>
            <w:shd w:val="clear" w:color="auto" w:fill="1A2E44"/>
          </w:tcPr>
          <w:p w14:paraId="14C2DC68" w14:textId="77777777" w:rsidR="00E560B0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What to cite from it</w:t>
            </w:r>
          </w:p>
        </w:tc>
      </w:tr>
      <w:tr w:rsidR="00E560B0" w14:paraId="64945F7C" w14:textId="77777777">
        <w:tc>
          <w:tcPr>
            <w:tcW w:w="2880" w:type="dxa"/>
            <w:shd w:val="clear" w:color="auto" w:fill="F4F6F8"/>
          </w:tcPr>
          <w:p w14:paraId="771C30F0" w14:textId="77777777" w:rsidR="00E560B0" w:rsidRDefault="00000000">
            <w:r>
              <w:rPr>
                <w:b/>
                <w:color w:val="007A8A"/>
                <w:sz w:val="19"/>
              </w:rPr>
              <w:t>Chaudhari (2025)</w:t>
            </w:r>
          </w:p>
        </w:tc>
        <w:tc>
          <w:tcPr>
            <w:tcW w:w="7632" w:type="dxa"/>
            <w:shd w:val="clear" w:color="auto" w:fill="F4F6F8"/>
          </w:tcPr>
          <w:p w14:paraId="0F8E63B9" w14:textId="77777777" w:rsidR="00E560B0" w:rsidRDefault="00000000">
            <w:r>
              <w:rPr>
                <w:color w:val="000000"/>
                <w:sz w:val="19"/>
              </w:rPr>
              <w:t>40–60% utilization waste in production; K8s fails for multi-tenant workloads — the gap anchor paper</w:t>
            </w:r>
          </w:p>
        </w:tc>
      </w:tr>
      <w:tr w:rsidR="00E560B0" w14:paraId="5F7F5AA9" w14:textId="77777777">
        <w:tc>
          <w:tcPr>
            <w:tcW w:w="2880" w:type="dxa"/>
            <w:shd w:val="clear" w:color="auto" w:fill="FFFFFF"/>
          </w:tcPr>
          <w:p w14:paraId="2B20097D" w14:textId="77777777" w:rsidR="00E560B0" w:rsidRDefault="00000000">
            <w:r>
              <w:rPr>
                <w:b/>
                <w:color w:val="007A8A"/>
                <w:sz w:val="19"/>
              </w:rPr>
              <w:t>Borg — Verma (2015)</w:t>
            </w:r>
          </w:p>
        </w:tc>
        <w:tc>
          <w:tcPr>
            <w:tcW w:w="7632" w:type="dxa"/>
            <w:shd w:val="clear" w:color="auto" w:fill="FFFFFF"/>
          </w:tcPr>
          <w:p w14:paraId="0718DA67" w14:textId="77777777" w:rsidR="00E560B0" w:rsidRDefault="00000000">
            <w:r>
              <w:rPr>
                <w:color w:val="000000"/>
                <w:sz w:val="19"/>
              </w:rPr>
              <w:t>Shared clusters save 20–30% infrastructure at scale; overcommitment is proven strategy</w:t>
            </w:r>
          </w:p>
        </w:tc>
      </w:tr>
      <w:tr w:rsidR="00E560B0" w14:paraId="60AFEBAF" w14:textId="77777777">
        <w:tc>
          <w:tcPr>
            <w:tcW w:w="2880" w:type="dxa"/>
            <w:shd w:val="clear" w:color="auto" w:fill="F4F6F8"/>
          </w:tcPr>
          <w:p w14:paraId="33C5FCE8" w14:textId="77777777" w:rsidR="00E560B0" w:rsidRDefault="00000000">
            <w:r>
              <w:rPr>
                <w:b/>
                <w:color w:val="007A8A"/>
                <w:sz w:val="19"/>
              </w:rPr>
              <w:t>Heracles — Lo (2015)</w:t>
            </w:r>
          </w:p>
        </w:tc>
        <w:tc>
          <w:tcPr>
            <w:tcW w:w="7632" w:type="dxa"/>
            <w:shd w:val="clear" w:color="auto" w:fill="F4F6F8"/>
          </w:tcPr>
          <w:p w14:paraId="4D841F41" w14:textId="77777777" w:rsidR="00E560B0" w:rsidRDefault="00000000">
            <w:r>
              <w:rPr>
                <w:color w:val="000000"/>
                <w:sz w:val="19"/>
              </w:rPr>
              <w:t>Memory contention is the primary co-location interference; memory matters more than CPU</w:t>
            </w:r>
          </w:p>
        </w:tc>
      </w:tr>
      <w:tr w:rsidR="00E560B0" w14:paraId="10732E81" w14:textId="77777777">
        <w:tc>
          <w:tcPr>
            <w:tcW w:w="2880" w:type="dxa"/>
            <w:shd w:val="clear" w:color="auto" w:fill="FFFFFF"/>
          </w:tcPr>
          <w:p w14:paraId="57F18811" w14:textId="77777777" w:rsidR="00E560B0" w:rsidRDefault="00000000">
            <w:r>
              <w:rPr>
                <w:b/>
                <w:color w:val="007A8A"/>
                <w:sz w:val="19"/>
              </w:rPr>
              <w:t>Quasar — Delimitrou (2014)</w:t>
            </w:r>
          </w:p>
        </w:tc>
        <w:tc>
          <w:tcPr>
            <w:tcW w:w="7632" w:type="dxa"/>
            <w:shd w:val="clear" w:color="auto" w:fill="FFFFFF"/>
          </w:tcPr>
          <w:p w14:paraId="67FDD8CD" w14:textId="77777777" w:rsidR="00E560B0" w:rsidRDefault="00000000">
            <w:r>
              <w:rPr>
                <w:color w:val="000000"/>
                <w:sz w:val="19"/>
              </w:rPr>
              <w:t>&lt;20% CPU utilization, ~40% memory with static reservations — validates the problem</w:t>
            </w:r>
          </w:p>
        </w:tc>
      </w:tr>
      <w:tr w:rsidR="00E560B0" w14:paraId="0166411A" w14:textId="77777777">
        <w:tc>
          <w:tcPr>
            <w:tcW w:w="2880" w:type="dxa"/>
            <w:shd w:val="clear" w:color="auto" w:fill="F4F6F8"/>
          </w:tcPr>
          <w:p w14:paraId="2DCBD245" w14:textId="77777777" w:rsidR="00E560B0" w:rsidRDefault="00000000">
            <w:r>
              <w:rPr>
                <w:b/>
                <w:color w:val="007A8A"/>
                <w:sz w:val="19"/>
              </w:rPr>
              <w:t>DRF — Ghodsi (2011)</w:t>
            </w:r>
          </w:p>
        </w:tc>
        <w:tc>
          <w:tcPr>
            <w:tcW w:w="7632" w:type="dxa"/>
            <w:shd w:val="clear" w:color="auto" w:fill="F4F6F8"/>
          </w:tcPr>
          <w:p w14:paraId="7F4E7EE0" w14:textId="77777777" w:rsidR="00E560B0" w:rsidRDefault="00000000">
            <w:r>
              <w:rPr>
                <w:color w:val="000000"/>
                <w:sz w:val="19"/>
              </w:rPr>
              <w:t>Lack of multi-resource fairness as a structural gap in shared schedulers</w:t>
            </w:r>
          </w:p>
        </w:tc>
      </w:tr>
      <w:tr w:rsidR="00E560B0" w14:paraId="016D0A05" w14:textId="77777777">
        <w:tc>
          <w:tcPr>
            <w:tcW w:w="2880" w:type="dxa"/>
            <w:shd w:val="clear" w:color="auto" w:fill="FFFFFF"/>
          </w:tcPr>
          <w:p w14:paraId="4ADC414F" w14:textId="77777777" w:rsidR="00E560B0" w:rsidRDefault="00000000">
            <w:r>
              <w:rPr>
                <w:b/>
                <w:color w:val="007A8A"/>
                <w:sz w:val="19"/>
              </w:rPr>
              <w:t>Pinnapareddy (2025)</w:t>
            </w:r>
          </w:p>
        </w:tc>
        <w:tc>
          <w:tcPr>
            <w:tcW w:w="7632" w:type="dxa"/>
            <w:shd w:val="clear" w:color="auto" w:fill="FFFFFF"/>
          </w:tcPr>
          <w:p w14:paraId="7EC25CBF" w14:textId="77777777" w:rsidR="00E560B0" w:rsidRDefault="00000000">
            <w:r>
              <w:rPr>
                <w:color w:val="000000"/>
                <w:sz w:val="19"/>
              </w:rPr>
              <w:t>Kubernetes right-sizing gap; sustainability and cost motivation</w:t>
            </w:r>
          </w:p>
        </w:tc>
      </w:tr>
    </w:tbl>
    <w:p w14:paraId="4F261464" w14:textId="77777777" w:rsidR="00E560B0" w:rsidRDefault="00E560B0"/>
    <w:p w14:paraId="02E9317A" w14:textId="77777777" w:rsidR="00E560B0" w:rsidRDefault="00000000">
      <w:pPr>
        <w:spacing w:after="80"/>
      </w:pPr>
      <w:r>
        <w:rPr>
          <w:i/>
          <w:color w:val="505050"/>
          <w:sz w:val="20"/>
        </w:rPr>
        <w:t>Writing guidance: Use the Suggested Introduction paragraphs in Proposal Draft.md as your starting draft. Tighten and add APA citations. Every statistic ('%', target numbers) needs a citation.</w:t>
      </w:r>
    </w:p>
    <w:p w14:paraId="471BB889" w14:textId="77777777" w:rsidR="00E560B0" w:rsidRDefault="00E560B0">
      <w:pPr>
        <w:pBdr>
          <w:bottom w:val="single" w:sz="4" w:space="0" w:color="CCCCCC"/>
        </w:pBdr>
        <w:spacing w:before="80" w:after="80"/>
      </w:pPr>
    </w:p>
    <w:p w14:paraId="0D8347DA" w14:textId="77777777" w:rsidR="00E560B0" w:rsidRDefault="00000000">
      <w:pPr>
        <w:pBdr>
          <w:bottom w:val="single" w:sz="6" w:space="0" w:color="0084AA"/>
        </w:pBdr>
        <w:spacing w:before="280" w:after="80"/>
      </w:pPr>
      <w:r>
        <w:rPr>
          <w:b/>
          <w:color w:val="B86000"/>
          <w:sz w:val="30"/>
        </w:rPr>
        <w:t>Member 4</w:t>
      </w:r>
    </w:p>
    <w:p w14:paraId="006825C7" w14:textId="77777777" w:rsidR="00E560B0" w:rsidRDefault="00000000">
      <w:pPr>
        <w:spacing w:before="200" w:after="80"/>
      </w:pPr>
      <w:r>
        <w:rPr>
          <w:b/>
          <w:color w:val="007A8A"/>
          <w:sz w:val="25"/>
        </w:rPr>
        <w:t>Sections 3 + 4: Analytical Objective + Proposed Data Sources  (~1.0 page total)</w:t>
      </w:r>
    </w:p>
    <w:p w14:paraId="367E03E2" w14:textId="77777777" w:rsidR="00E560B0" w:rsidRDefault="00000000">
      <w:pPr>
        <w:spacing w:after="120"/>
      </w:pPr>
      <w:r>
        <w:rPr>
          <w:color w:val="000000"/>
        </w:rPr>
        <w:t>Section 3 states the research question and hypothesis. Section 4 describes the dataset. Together they answer: 'What are we trying to find out?' and 'What data will we use to find it?'</w:t>
      </w:r>
    </w:p>
    <w:p w14:paraId="1B67BE9C" w14:textId="77777777" w:rsidR="00E560B0" w:rsidRDefault="00000000">
      <w:pPr>
        <w:spacing w:after="40"/>
      </w:pPr>
      <w:r>
        <w:rPr>
          <w:b/>
          <w:color w:val="000000"/>
        </w:rPr>
        <w:t>Section 3 — Analytical Objective (~0.5 page):</w:t>
      </w:r>
    </w:p>
    <w:p w14:paraId="76082FCD" w14:textId="77777777" w:rsidR="00E560B0" w:rsidRDefault="00000000">
      <w:pPr>
        <w:pStyle w:val="ListBullet"/>
        <w:spacing w:before="20" w:after="60"/>
        <w:ind w:left="432"/>
      </w:pPr>
      <w:r>
        <w:rPr>
          <w:color w:val="000000"/>
        </w:rPr>
        <w:t>State the research question (see Option 1 in Proposal Draft.md — that is the working version)</w:t>
      </w:r>
    </w:p>
    <w:p w14:paraId="331EB01A" w14:textId="77777777" w:rsidR="00E560B0" w:rsidRDefault="00000000">
      <w:pPr>
        <w:pStyle w:val="ListBullet"/>
        <w:spacing w:before="20" w:after="60"/>
        <w:ind w:left="432"/>
      </w:pPr>
      <w:r>
        <w:rPr>
          <w:color w:val="000000"/>
        </w:rPr>
        <w:t>State the hypothesis with the four specific numeric targets</w:t>
      </w:r>
    </w:p>
    <w:p w14:paraId="3B56AD30" w14:textId="77777777" w:rsidR="00E560B0" w:rsidRDefault="00000000">
      <w:pPr>
        <w:pStyle w:val="ListBullet"/>
        <w:spacing w:before="20" w:after="60"/>
        <w:ind w:left="432"/>
      </w:pPr>
      <w:r>
        <w:rPr>
          <w:color w:val="000000"/>
        </w:rPr>
        <w:t>Describe the type of project: predictive + prescriptive analytics combined</w:t>
      </w:r>
    </w:p>
    <w:p w14:paraId="073ED8D1" w14:textId="77777777" w:rsidR="00E560B0" w:rsidRDefault="00000000">
      <w:pPr>
        <w:spacing w:before="120" w:after="40"/>
      </w:pPr>
      <w:r>
        <w:rPr>
          <w:b/>
          <w:color w:val="000000"/>
        </w:rPr>
        <w:t>Working research question to use:</w:t>
      </w:r>
    </w:p>
    <w:p w14:paraId="11107D41" w14:textId="77777777" w:rsidR="00E560B0" w:rsidRDefault="00000000">
      <w:pPr>
        <w:spacing w:after="120"/>
        <w:ind w:left="504"/>
      </w:pPr>
      <w:r>
        <w:rPr>
          <w:i/>
          <w:color w:val="1A2E44"/>
        </w:rPr>
        <w:t>"By using the output of a predictive model as the input of an optimization model that is constrained by available resources and SLA requirements, we can optimally schedule workloads on a cluster such that resource idleness is kept minimal and fairness to tenants is high."</w:t>
      </w:r>
    </w:p>
    <w:p w14:paraId="40A1EA59" w14:textId="77777777" w:rsidR="00E560B0" w:rsidRDefault="00000000">
      <w:pPr>
        <w:spacing w:before="120" w:after="40"/>
      </w:pPr>
      <w:r>
        <w:rPr>
          <w:b/>
          <w:color w:val="000000"/>
        </w:rPr>
        <w:t>Section 4 — Proposed Data Sources (~0.5 page):</w:t>
      </w:r>
    </w:p>
    <w:p w14:paraId="1EA839F7" w14:textId="77777777" w:rsidR="00E560B0" w:rsidRDefault="00000000">
      <w:pPr>
        <w:pStyle w:val="ListBullet"/>
        <w:spacing w:before="20" w:after="60"/>
        <w:ind w:left="432"/>
      </w:pPr>
      <w:r>
        <w:rPr>
          <w:color w:val="000000"/>
        </w:rPr>
        <w:t>Primary: Google Cluster Trace v3 — describe size, contents, public availability, why appropriate</w:t>
      </w:r>
    </w:p>
    <w:p w14:paraId="36C48635" w14:textId="77777777" w:rsidR="00E560B0" w:rsidRDefault="00000000">
      <w:pPr>
        <w:pStyle w:val="ListBullet"/>
        <w:spacing w:before="20" w:after="60"/>
        <w:ind w:left="432"/>
      </w:pPr>
      <w:r>
        <w:rPr>
          <w:color w:val="000000"/>
        </w:rPr>
        <w:t>Optional secondary: Azure VM trace (Resource Central) — model generalization validation</w:t>
      </w:r>
    </w:p>
    <w:p w14:paraId="2C5D720D" w14:textId="77777777" w:rsidR="00E560B0" w:rsidRDefault="00000000">
      <w:pPr>
        <w:pStyle w:val="ListBullet"/>
        <w:spacing w:before="20" w:after="60"/>
        <w:ind w:left="432"/>
      </w:pPr>
      <w:r>
        <w:rPr>
          <w:color w:val="000000"/>
        </w:rPr>
        <w:t>Justify why these sources match the analytical objective</w:t>
      </w:r>
    </w:p>
    <w:p w14:paraId="17ED2B8D" w14:textId="77777777" w:rsidR="00E560B0" w:rsidRDefault="00000000">
      <w:pPr>
        <w:spacing w:before="160" w:after="80"/>
      </w:pPr>
      <w:r>
        <w:rPr>
          <w:b/>
          <w:color w:val="000000"/>
        </w:rPr>
        <w:lastRenderedPageBreak/>
        <w:t>Key papers to cite: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68"/>
        <w:gridCol w:w="6576"/>
      </w:tblGrid>
      <w:tr w:rsidR="00E560B0" w14:paraId="744DBE9B" w14:textId="77777777">
        <w:tc>
          <w:tcPr>
            <w:tcW w:w="2880" w:type="dxa"/>
            <w:shd w:val="clear" w:color="auto" w:fill="1A2E44"/>
          </w:tcPr>
          <w:p w14:paraId="00AC7700" w14:textId="77777777" w:rsidR="00E560B0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Paper</w:t>
            </w:r>
          </w:p>
        </w:tc>
        <w:tc>
          <w:tcPr>
            <w:tcW w:w="7632" w:type="dxa"/>
            <w:shd w:val="clear" w:color="auto" w:fill="1A2E44"/>
          </w:tcPr>
          <w:p w14:paraId="735DE602" w14:textId="77777777" w:rsidR="00E560B0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What to cite from it</w:t>
            </w:r>
          </w:p>
        </w:tc>
      </w:tr>
      <w:tr w:rsidR="00E560B0" w14:paraId="6EDD0286" w14:textId="77777777">
        <w:tc>
          <w:tcPr>
            <w:tcW w:w="2880" w:type="dxa"/>
            <w:shd w:val="clear" w:color="auto" w:fill="F4F6F8"/>
          </w:tcPr>
          <w:p w14:paraId="65962AA1" w14:textId="77777777" w:rsidR="00E560B0" w:rsidRDefault="00000000">
            <w:r>
              <w:rPr>
                <w:b/>
                <w:color w:val="007A8A"/>
                <w:sz w:val="19"/>
              </w:rPr>
              <w:t>Kofi (2025)</w:t>
            </w:r>
          </w:p>
        </w:tc>
        <w:tc>
          <w:tcPr>
            <w:tcW w:w="7632" w:type="dxa"/>
            <w:shd w:val="clear" w:color="auto" w:fill="F4F6F8"/>
          </w:tcPr>
          <w:p w14:paraId="4CEE5919" w14:textId="77777777" w:rsidR="00E560B0" w:rsidRDefault="00000000">
            <w:r>
              <w:rPr>
                <w:color w:val="000000"/>
                <w:sz w:val="19"/>
              </w:rPr>
              <w:t>Google Cluster Trace v3 validated for this exact research type; preprocessing pipeline described</w:t>
            </w:r>
          </w:p>
        </w:tc>
      </w:tr>
      <w:tr w:rsidR="00E560B0" w14:paraId="4EDF48D7" w14:textId="77777777">
        <w:tc>
          <w:tcPr>
            <w:tcW w:w="2880" w:type="dxa"/>
            <w:shd w:val="clear" w:color="auto" w:fill="FFFFFF"/>
          </w:tcPr>
          <w:p w14:paraId="2FB6C4D8" w14:textId="77777777" w:rsidR="00E560B0" w:rsidRDefault="00000000">
            <w:r>
              <w:rPr>
                <w:b/>
                <w:color w:val="007A8A"/>
                <w:sz w:val="19"/>
              </w:rPr>
              <w:t>Jiang Zhi (2025)</w:t>
            </w:r>
          </w:p>
        </w:tc>
        <w:tc>
          <w:tcPr>
            <w:tcW w:w="7632" w:type="dxa"/>
            <w:shd w:val="clear" w:color="auto" w:fill="FFFFFF"/>
          </w:tcPr>
          <w:p w14:paraId="11AA572E" w14:textId="77777777" w:rsidR="00E560B0" w:rsidRDefault="00000000">
            <w:r>
              <w:rPr>
                <w:color w:val="000000"/>
                <w:sz w:val="19"/>
              </w:rPr>
              <w:t>Google Borg + Azure + Alibaba trace composition and size; multi-source trace comparison</w:t>
            </w:r>
          </w:p>
        </w:tc>
      </w:tr>
      <w:tr w:rsidR="00E560B0" w14:paraId="6A3D4623" w14:textId="77777777">
        <w:tc>
          <w:tcPr>
            <w:tcW w:w="2880" w:type="dxa"/>
            <w:shd w:val="clear" w:color="auto" w:fill="F4F6F8"/>
          </w:tcPr>
          <w:p w14:paraId="66FA44BB" w14:textId="77777777" w:rsidR="00E560B0" w:rsidRDefault="00000000">
            <w:r>
              <w:rPr>
                <w:b/>
                <w:color w:val="007A8A"/>
                <w:sz w:val="19"/>
              </w:rPr>
              <w:t>Resource Central — Cortez (2017)</w:t>
            </w:r>
          </w:p>
        </w:tc>
        <w:tc>
          <w:tcPr>
            <w:tcW w:w="7632" w:type="dxa"/>
            <w:shd w:val="clear" w:color="auto" w:fill="F4F6F8"/>
          </w:tcPr>
          <w:p w14:paraId="2A2BB7F7" w14:textId="77777777" w:rsidR="00E560B0" w:rsidRDefault="00000000">
            <w:r>
              <w:rPr>
                <w:color w:val="000000"/>
                <w:sz w:val="19"/>
              </w:rPr>
              <w:t>Azure VM trace; tenant history features available; similar RF training setup</w:t>
            </w:r>
          </w:p>
        </w:tc>
      </w:tr>
      <w:tr w:rsidR="00E560B0" w14:paraId="0392F493" w14:textId="77777777">
        <w:tc>
          <w:tcPr>
            <w:tcW w:w="2880" w:type="dxa"/>
            <w:shd w:val="clear" w:color="auto" w:fill="FFFFFF"/>
          </w:tcPr>
          <w:p w14:paraId="4BB88A86" w14:textId="77777777" w:rsidR="00E560B0" w:rsidRDefault="00000000">
            <w:r>
              <w:rPr>
                <w:b/>
                <w:color w:val="007A8A"/>
                <w:sz w:val="19"/>
              </w:rPr>
              <w:t>Wang &amp; Yang (2025)</w:t>
            </w:r>
          </w:p>
        </w:tc>
        <w:tc>
          <w:tcPr>
            <w:tcW w:w="7632" w:type="dxa"/>
            <w:shd w:val="clear" w:color="auto" w:fill="FFFFFF"/>
          </w:tcPr>
          <w:p w14:paraId="01A72068" w14:textId="77777777" w:rsidR="00E560B0" w:rsidRDefault="00000000">
            <w:r>
              <w:rPr>
                <w:color w:val="000000"/>
                <w:sz w:val="19"/>
              </w:rPr>
              <w:t>Kubernetes multi-tenant scheduling as the deployment context for the dataset</w:t>
            </w:r>
          </w:p>
        </w:tc>
      </w:tr>
      <w:tr w:rsidR="00E560B0" w14:paraId="7B69B6AF" w14:textId="77777777">
        <w:tc>
          <w:tcPr>
            <w:tcW w:w="2880" w:type="dxa"/>
            <w:shd w:val="clear" w:color="auto" w:fill="F4F6F8"/>
          </w:tcPr>
          <w:p w14:paraId="37BD671F" w14:textId="77777777" w:rsidR="00E560B0" w:rsidRDefault="00000000">
            <w:r>
              <w:rPr>
                <w:b/>
                <w:color w:val="007A8A"/>
                <w:sz w:val="19"/>
              </w:rPr>
              <w:t>Doukha (2025)</w:t>
            </w:r>
          </w:p>
        </w:tc>
        <w:tc>
          <w:tcPr>
            <w:tcW w:w="7632" w:type="dxa"/>
            <w:shd w:val="clear" w:color="auto" w:fill="F4F6F8"/>
          </w:tcPr>
          <w:p w14:paraId="7829ECAE" w14:textId="77777777" w:rsidR="00E560B0" w:rsidRDefault="00000000">
            <w:r>
              <w:rPr>
                <w:color w:val="000000"/>
                <w:sz w:val="19"/>
              </w:rPr>
              <w:t>MAPE and MSE as the primary evaluation metrics for the prediction model</w:t>
            </w:r>
          </w:p>
        </w:tc>
      </w:tr>
    </w:tbl>
    <w:p w14:paraId="219251EF" w14:textId="77777777" w:rsidR="00E560B0" w:rsidRDefault="00E560B0"/>
    <w:p w14:paraId="055E0922" w14:textId="77777777" w:rsidR="00E560B0" w:rsidRDefault="00E560B0">
      <w:pPr>
        <w:pBdr>
          <w:bottom w:val="single" w:sz="4" w:space="0" w:color="CCCCCC"/>
        </w:pBdr>
        <w:spacing w:before="80" w:after="80"/>
      </w:pPr>
    </w:p>
    <w:p w14:paraId="0390FF86" w14:textId="77777777" w:rsidR="00E560B0" w:rsidRDefault="00000000">
      <w:pPr>
        <w:pBdr>
          <w:bottom w:val="single" w:sz="6" w:space="0" w:color="0084AA"/>
        </w:pBdr>
        <w:spacing w:before="280" w:after="80"/>
      </w:pPr>
      <w:r>
        <w:rPr>
          <w:b/>
          <w:color w:val="3D008F"/>
          <w:sz w:val="30"/>
        </w:rPr>
        <w:t>Member 5</w:t>
      </w:r>
    </w:p>
    <w:p w14:paraId="6CA7648F" w14:textId="77777777" w:rsidR="00E560B0" w:rsidRDefault="00000000">
      <w:pPr>
        <w:spacing w:before="200" w:after="80"/>
      </w:pPr>
      <w:r>
        <w:rPr>
          <w:b/>
          <w:color w:val="007A8A"/>
          <w:sz w:val="25"/>
        </w:rPr>
        <w:t>Sections 7 + 8: Timeline + Ethics + Final Integration</w:t>
      </w:r>
    </w:p>
    <w:p w14:paraId="6CC9BA95" w14:textId="77777777" w:rsidR="00E560B0" w:rsidRDefault="00000000">
      <w:pPr>
        <w:spacing w:after="40"/>
      </w:pPr>
      <w:r>
        <w:rPr>
          <w:b/>
          <w:color w:val="000000"/>
        </w:rPr>
        <w:t>Section 7 — Project Plan and Timeline (~0.25 page):</w:t>
      </w:r>
    </w:p>
    <w:p w14:paraId="1207D10E" w14:textId="77777777" w:rsidR="00E560B0" w:rsidRDefault="00000000">
      <w:pPr>
        <w:spacing w:after="40"/>
      </w:pPr>
      <w:r>
        <w:rPr>
          <w:color w:val="000000"/>
        </w:rPr>
        <w:t>Describe the project phases using the 5-phase structure from the DAMO 699 template:</w:t>
      </w:r>
    </w:p>
    <w:p w14:paraId="50EBC15A" w14:textId="77777777" w:rsidR="00E560B0" w:rsidRDefault="00000000">
      <w:pPr>
        <w:pStyle w:val="ListBullet"/>
        <w:spacing w:before="20" w:after="60"/>
        <w:ind w:left="432"/>
      </w:pPr>
      <w:r>
        <w:rPr>
          <w:color w:val="000000"/>
        </w:rPr>
        <w:t>Phase 1: Problem definition and proposal approval</w:t>
      </w:r>
    </w:p>
    <w:p w14:paraId="7F658D88" w14:textId="77777777" w:rsidR="00E560B0" w:rsidRDefault="00000000">
      <w:pPr>
        <w:pStyle w:val="ListBullet"/>
        <w:spacing w:before="20" w:after="60"/>
        <w:ind w:left="432"/>
      </w:pPr>
      <w:r>
        <w:rPr>
          <w:color w:val="000000"/>
        </w:rPr>
        <w:t>Phase 2: Data collection and preprocessing (Google Cluster Trace v3)</w:t>
      </w:r>
    </w:p>
    <w:p w14:paraId="75F39390" w14:textId="77777777" w:rsidR="00E560B0" w:rsidRDefault="00000000">
      <w:pPr>
        <w:pStyle w:val="ListBullet"/>
        <w:spacing w:before="20" w:after="60"/>
        <w:ind w:left="432"/>
      </w:pPr>
      <w:r>
        <w:rPr>
          <w:color w:val="000000"/>
        </w:rPr>
        <w:t>Phase 3: Predictive model development (RF training + validation)</w:t>
      </w:r>
    </w:p>
    <w:p w14:paraId="1C70F094" w14:textId="77777777" w:rsidR="00E560B0" w:rsidRDefault="00000000">
      <w:pPr>
        <w:pStyle w:val="ListBullet"/>
        <w:spacing w:before="20" w:after="60"/>
        <w:ind w:left="432"/>
      </w:pPr>
      <w:r>
        <w:rPr>
          <w:color w:val="000000"/>
        </w:rPr>
        <w:t>Phase 4: Optimization model development (scheduling simulation + experiments)</w:t>
      </w:r>
    </w:p>
    <w:p w14:paraId="33CA1B95" w14:textId="77777777" w:rsidR="00E560B0" w:rsidRDefault="00000000">
      <w:pPr>
        <w:pStyle w:val="ListBullet"/>
        <w:spacing w:before="20" w:after="60"/>
        <w:ind w:left="432"/>
      </w:pPr>
      <w:r>
        <w:rPr>
          <w:color w:val="000000"/>
        </w:rPr>
        <w:t>Phase 5: Results analysis, visualization, final report and presentation</w:t>
      </w:r>
    </w:p>
    <w:p w14:paraId="6B90F759" w14:textId="77777777" w:rsidR="00E560B0" w:rsidRDefault="00000000">
      <w:pPr>
        <w:spacing w:after="120"/>
      </w:pPr>
      <w:r>
        <w:rPr>
          <w:i/>
          <w:color w:val="505050"/>
          <w:sz w:val="21"/>
        </w:rPr>
        <w:t>Include a rough timeline (weeks or months for each phase).</w:t>
      </w:r>
    </w:p>
    <w:p w14:paraId="336DF177" w14:textId="77777777" w:rsidR="00E560B0" w:rsidRDefault="00000000">
      <w:pPr>
        <w:spacing w:before="120" w:after="40"/>
      </w:pPr>
      <w:r>
        <w:rPr>
          <w:b/>
          <w:color w:val="000000"/>
        </w:rPr>
        <w:t>Section 8 — Ethical Considerations (~0.25 page):</w:t>
      </w:r>
    </w:p>
    <w:p w14:paraId="1BD53DDF" w14:textId="77777777" w:rsidR="00E560B0" w:rsidRDefault="00000000">
      <w:pPr>
        <w:pStyle w:val="ListBullet"/>
        <w:spacing w:before="20" w:after="60"/>
        <w:ind w:left="432"/>
      </w:pPr>
      <w:r>
        <w:rPr>
          <w:color w:val="000000"/>
        </w:rPr>
        <w:t>Confirm TCPS certification status for all group members</w:t>
      </w:r>
    </w:p>
    <w:p w14:paraId="5EB34D1B" w14:textId="77777777" w:rsidR="00E560B0" w:rsidRDefault="00000000">
      <w:pPr>
        <w:pStyle w:val="ListBullet"/>
        <w:spacing w:before="20" w:after="60"/>
        <w:ind w:left="432"/>
      </w:pPr>
      <w:r>
        <w:rPr>
          <w:color w:val="000000"/>
        </w:rPr>
        <w:t>Google Cluster Trace v3 is publicly available — no privacy concerns, no human subjects</w:t>
      </w:r>
    </w:p>
    <w:p w14:paraId="1FA1EE63" w14:textId="77777777" w:rsidR="00E560B0" w:rsidRDefault="00000000">
      <w:pPr>
        <w:pStyle w:val="ListBullet"/>
        <w:spacing w:before="20" w:after="60"/>
        <w:ind w:left="432"/>
      </w:pPr>
      <w:r>
        <w:rPr>
          <w:color w:val="000000"/>
        </w:rPr>
        <w:t>No proprietary data is used</w:t>
      </w:r>
    </w:p>
    <w:p w14:paraId="2242FCD2" w14:textId="77777777" w:rsidR="00E560B0" w:rsidRDefault="00000000">
      <w:pPr>
        <w:pStyle w:val="ListBullet"/>
        <w:spacing w:before="20" w:after="60"/>
        <w:ind w:left="432"/>
      </w:pPr>
      <w:r>
        <w:rPr>
          <w:color w:val="000000"/>
        </w:rPr>
        <w:t>Results are for academic research only — not for production deployment without further validation</w:t>
      </w:r>
    </w:p>
    <w:p w14:paraId="7EE9C83F" w14:textId="77777777" w:rsidR="00E560B0" w:rsidRDefault="00000000">
      <w:pPr>
        <w:spacing w:before="200" w:after="40"/>
      </w:pPr>
      <w:r>
        <w:rPr>
          <w:b/>
          <w:color w:val="000000"/>
        </w:rPr>
        <w:t>Final Integration Responsibilities (not a section — coordination role):</w:t>
      </w:r>
    </w:p>
    <w:p w14:paraId="69B40F6C" w14:textId="77777777" w:rsidR="00E560B0" w:rsidRDefault="00000000">
      <w:pPr>
        <w:pStyle w:val="ListBullet"/>
        <w:spacing w:before="20" w:after="60"/>
        <w:ind w:left="432"/>
      </w:pPr>
      <w:r>
        <w:rPr>
          <w:color w:val="000000"/>
        </w:rPr>
        <w:t>Assemble all 5 members’ sections into a single cohesive Word document</w:t>
      </w:r>
    </w:p>
    <w:p w14:paraId="3BC089DC" w14:textId="77777777" w:rsidR="00E560B0" w:rsidRDefault="00000000">
      <w:pPr>
        <w:pStyle w:val="ListBullet"/>
        <w:spacing w:before="20" w:after="60"/>
        <w:ind w:left="432"/>
      </w:pPr>
      <w:r>
        <w:rPr>
          <w:color w:val="000000"/>
        </w:rPr>
        <w:t>Check for consistent terminology throughout: use 'Predictive Model' and 'Optimization Model' — avoid 'admission control' in the main narrative (it is a technical term; define it once if needed)</w:t>
      </w:r>
    </w:p>
    <w:p w14:paraId="64759EC7" w14:textId="77777777" w:rsidR="00E560B0" w:rsidRDefault="00000000">
      <w:pPr>
        <w:pStyle w:val="ListBullet"/>
        <w:spacing w:before="20" w:after="60"/>
        <w:ind w:left="432"/>
      </w:pPr>
      <w:r>
        <w:rPr>
          <w:color w:val="000000"/>
        </w:rPr>
        <w:t>Ensure section transitions flow and the document reads as one unified piece</w:t>
      </w:r>
    </w:p>
    <w:p w14:paraId="0F591AAD" w14:textId="77777777" w:rsidR="00E560B0" w:rsidRDefault="00000000">
      <w:pPr>
        <w:pStyle w:val="ListBullet"/>
        <w:spacing w:before="20" w:after="60"/>
        <w:ind w:left="432"/>
      </w:pPr>
      <w:r>
        <w:rPr>
          <w:color w:val="000000"/>
        </w:rPr>
        <w:t>Build the References section in APA format by collecting all citations from all sections</w:t>
      </w:r>
    </w:p>
    <w:p w14:paraId="68612547" w14:textId="77777777" w:rsidR="00E560B0" w:rsidRDefault="00000000">
      <w:pPr>
        <w:pStyle w:val="ListBullet"/>
        <w:spacing w:before="20" w:after="60"/>
        <w:ind w:left="432"/>
      </w:pPr>
      <w:r>
        <w:rPr>
          <w:color w:val="000000"/>
        </w:rPr>
        <w:t>Check the cover page includes: title, course, program, names, group number, supervisor, institution, date</w:t>
      </w:r>
    </w:p>
    <w:p w14:paraId="71E00B1A" w14:textId="77777777" w:rsidR="00E560B0" w:rsidRDefault="00000000">
      <w:pPr>
        <w:pStyle w:val="ListBullet"/>
        <w:spacing w:before="20" w:after="60"/>
        <w:ind w:left="432"/>
      </w:pPr>
      <w:r>
        <w:rPr>
          <w:color w:val="000000"/>
        </w:rPr>
        <w:t>Verify total page count ≤ 5 pages (content only, not cover or references)</w:t>
      </w:r>
    </w:p>
    <w:p w14:paraId="3B16DD61" w14:textId="77777777" w:rsidR="00E560B0" w:rsidRDefault="00000000">
      <w:pPr>
        <w:spacing w:before="160" w:after="80"/>
      </w:pPr>
      <w:r>
        <w:rPr>
          <w:b/>
          <w:color w:val="000000"/>
        </w:rPr>
        <w:t>Papers likely cited across all sections (to include in References):</w:t>
      </w:r>
    </w:p>
    <w:p w14:paraId="7737B2AB" w14:textId="77777777" w:rsidR="00E560B0" w:rsidRDefault="00000000">
      <w:pPr>
        <w:pStyle w:val="ListBullet"/>
        <w:spacing w:before="20" w:after="60"/>
        <w:ind w:left="432"/>
      </w:pPr>
      <w:r>
        <w:rPr>
          <w:color w:val="000000"/>
          <w:sz w:val="20"/>
        </w:rPr>
        <w:lastRenderedPageBreak/>
        <w:t>Alatawi (2025) — serverless RL; Gini fairness metric</w:t>
      </w:r>
    </w:p>
    <w:p w14:paraId="2ECE418F" w14:textId="77777777" w:rsidR="00E560B0" w:rsidRDefault="00000000">
      <w:pPr>
        <w:pStyle w:val="ListBullet"/>
        <w:spacing w:before="20" w:after="60"/>
        <w:ind w:left="432"/>
      </w:pPr>
      <w:r>
        <w:rPr>
          <w:color w:val="000000"/>
          <w:sz w:val="20"/>
        </w:rPr>
        <w:t>Chaudhari (2025) — gap anchor paper; K8s fails for AI/ML</w:t>
      </w:r>
    </w:p>
    <w:p w14:paraId="39B5D31B" w14:textId="77777777" w:rsidR="00E560B0" w:rsidRDefault="00000000">
      <w:pPr>
        <w:pStyle w:val="ListBullet"/>
        <w:spacing w:before="20" w:after="60"/>
        <w:ind w:left="432"/>
      </w:pPr>
      <w:r>
        <w:rPr>
          <w:color w:val="000000"/>
          <w:sz w:val="20"/>
        </w:rPr>
        <w:t>Coach / Reidys (2025) — temporal co-location</w:t>
      </w:r>
    </w:p>
    <w:p w14:paraId="0F708994" w14:textId="77777777" w:rsidR="00E560B0" w:rsidRDefault="00000000">
      <w:pPr>
        <w:pStyle w:val="ListBullet"/>
        <w:spacing w:before="20" w:after="60"/>
        <w:ind w:left="432"/>
      </w:pPr>
      <w:r>
        <w:rPr>
          <w:color w:val="000000"/>
          <w:sz w:val="20"/>
        </w:rPr>
        <w:t>Delimitrou &amp; Kozyrakis (2014) — Quasar; underutilization validation</w:t>
      </w:r>
    </w:p>
    <w:p w14:paraId="6B5AB347" w14:textId="77777777" w:rsidR="00E560B0" w:rsidRDefault="00000000">
      <w:pPr>
        <w:pStyle w:val="ListBullet"/>
        <w:spacing w:before="20" w:after="60"/>
        <w:ind w:left="432"/>
      </w:pPr>
      <w:r>
        <w:rPr>
          <w:color w:val="000000"/>
          <w:sz w:val="20"/>
        </w:rPr>
        <w:t>DRF / Ghodsi et al. (2011) — fairness algorithm</w:t>
      </w:r>
    </w:p>
    <w:p w14:paraId="119C93B2" w14:textId="77777777" w:rsidR="00E560B0" w:rsidRDefault="00000000">
      <w:pPr>
        <w:pStyle w:val="ListBullet"/>
        <w:spacing w:before="20" w:after="60"/>
        <w:ind w:left="432"/>
      </w:pPr>
      <w:r>
        <w:rPr>
          <w:color w:val="000000"/>
          <w:sz w:val="20"/>
        </w:rPr>
        <w:t>Doukha (2025) — RF vs LSTM comparison</w:t>
      </w:r>
    </w:p>
    <w:p w14:paraId="3EDAD288" w14:textId="77777777" w:rsidR="00E560B0" w:rsidRDefault="00000000">
      <w:pPr>
        <w:pStyle w:val="ListBullet"/>
        <w:spacing w:before="20" w:after="60"/>
        <w:ind w:left="432"/>
      </w:pPr>
      <w:r>
        <w:rPr>
          <w:color w:val="000000"/>
          <w:sz w:val="20"/>
        </w:rPr>
        <w:t>Jiang Zhi (2025) — Clovers simulator; trace datasets</w:t>
      </w:r>
    </w:p>
    <w:p w14:paraId="6BCB6E17" w14:textId="77777777" w:rsidR="00E560B0" w:rsidRDefault="00000000">
      <w:pPr>
        <w:pStyle w:val="ListBullet"/>
        <w:spacing w:before="20" w:after="60"/>
        <w:ind w:left="432"/>
      </w:pPr>
      <w:r>
        <w:rPr>
          <w:color w:val="000000"/>
          <w:sz w:val="20"/>
        </w:rPr>
        <w:t>Kovalenko &amp; Zhdanova (2024) — math optimization model</w:t>
      </w:r>
    </w:p>
    <w:p w14:paraId="764B5B84" w14:textId="77777777" w:rsidR="00E560B0" w:rsidRDefault="00000000">
      <w:pPr>
        <w:pStyle w:val="ListBullet"/>
        <w:spacing w:before="20" w:after="60"/>
        <w:ind w:left="432"/>
      </w:pPr>
      <w:r>
        <w:rPr>
          <w:color w:val="000000"/>
          <w:sz w:val="20"/>
        </w:rPr>
        <w:t>Kofi (2025) — Google Cluster Trace; preprocessing</w:t>
      </w:r>
    </w:p>
    <w:p w14:paraId="4402DE33" w14:textId="77777777" w:rsidR="00E560B0" w:rsidRDefault="00000000">
      <w:pPr>
        <w:pStyle w:val="ListBullet"/>
        <w:spacing w:before="20" w:after="60"/>
        <w:ind w:left="432"/>
      </w:pPr>
      <w:r>
        <w:rPr>
          <w:color w:val="000000"/>
          <w:sz w:val="20"/>
        </w:rPr>
        <w:t>Liu &amp; Guitart (2025) — in-node DRC enforcement</w:t>
      </w:r>
    </w:p>
    <w:p w14:paraId="3D131F1F" w14:textId="77777777" w:rsidR="00E560B0" w:rsidRDefault="00000000">
      <w:pPr>
        <w:pStyle w:val="ListBullet"/>
        <w:spacing w:before="20" w:after="60"/>
        <w:ind w:left="432"/>
      </w:pPr>
      <w:r>
        <w:rPr>
          <w:color w:val="000000"/>
          <w:sz w:val="20"/>
        </w:rPr>
        <w:t>Lo et al. (2015) — Heracles; memory contention evidence</w:t>
      </w:r>
    </w:p>
    <w:p w14:paraId="219DC4E0" w14:textId="77777777" w:rsidR="00E560B0" w:rsidRDefault="00000000">
      <w:pPr>
        <w:pStyle w:val="ListBullet"/>
        <w:spacing w:before="20" w:after="60"/>
        <w:ind w:left="432"/>
      </w:pPr>
      <w:r>
        <w:rPr>
          <w:color w:val="000000"/>
          <w:sz w:val="20"/>
        </w:rPr>
        <w:t>Perera (2025/2026) — RL model drift; landscape review</w:t>
      </w:r>
    </w:p>
    <w:p w14:paraId="3C968C55" w14:textId="77777777" w:rsidR="00E560B0" w:rsidRDefault="00000000">
      <w:pPr>
        <w:pStyle w:val="ListBullet"/>
        <w:spacing w:before="20" w:after="60"/>
        <w:ind w:left="432"/>
      </w:pPr>
      <w:r>
        <w:rPr>
          <w:color w:val="000000"/>
          <w:sz w:val="20"/>
        </w:rPr>
        <w:t>Pinnapareddy (2025) — bin packing; Kubecost</w:t>
      </w:r>
    </w:p>
    <w:p w14:paraId="7692733D" w14:textId="77777777" w:rsidR="00E560B0" w:rsidRDefault="00000000">
      <w:pPr>
        <w:pStyle w:val="ListBullet"/>
        <w:spacing w:before="20" w:after="60"/>
        <w:ind w:left="432"/>
      </w:pPr>
      <w:r>
        <w:rPr>
          <w:color w:val="000000"/>
          <w:sz w:val="20"/>
        </w:rPr>
        <w:t>Priya (2025) — SloPolicy CRD; K8s scheduler plugin</w:t>
      </w:r>
    </w:p>
    <w:p w14:paraId="6B5BED9C" w14:textId="77777777" w:rsidR="00E560B0" w:rsidRDefault="00000000">
      <w:pPr>
        <w:pStyle w:val="ListBullet"/>
        <w:spacing w:before="20" w:after="60"/>
        <w:ind w:left="432"/>
      </w:pPr>
      <w:r>
        <w:rPr>
          <w:color w:val="000000"/>
          <w:sz w:val="20"/>
        </w:rPr>
        <w:t>Resource Central / Cortez (2017) — RF prediction architecture</w:t>
      </w:r>
    </w:p>
    <w:p w14:paraId="40B75CA7" w14:textId="77777777" w:rsidR="00E560B0" w:rsidRDefault="00000000">
      <w:pPr>
        <w:pStyle w:val="ListBullet"/>
        <w:spacing w:before="20" w:after="60"/>
        <w:ind w:left="432"/>
      </w:pPr>
      <w:r>
        <w:rPr>
          <w:color w:val="000000"/>
          <w:sz w:val="20"/>
        </w:rPr>
        <w:t>Verma et al. (2015) — Borg; overcommitment at scale</w:t>
      </w:r>
    </w:p>
    <w:p w14:paraId="556A4A8F" w14:textId="77777777" w:rsidR="00E560B0" w:rsidRDefault="00000000">
      <w:pPr>
        <w:pStyle w:val="ListBullet"/>
        <w:spacing w:before="20" w:after="60"/>
        <w:ind w:left="432"/>
      </w:pPr>
      <w:r>
        <w:rPr>
          <w:color w:val="000000"/>
          <w:sz w:val="20"/>
        </w:rPr>
        <w:t>Wang &amp; Yang (2025) — LSTM+DQN on Kubernetes</w:t>
      </w:r>
    </w:p>
    <w:p w14:paraId="69BB2C42" w14:textId="77777777" w:rsidR="00E560B0" w:rsidRDefault="00000000">
      <w:pPr>
        <w:pStyle w:val="ListBullet"/>
        <w:spacing w:before="20" w:after="60"/>
        <w:ind w:left="432"/>
      </w:pPr>
      <w:r>
        <w:rPr>
          <w:color w:val="000000"/>
          <w:sz w:val="20"/>
        </w:rPr>
        <w:t>Zhao et al. (2021) — admission control formalization</w:t>
      </w:r>
    </w:p>
    <w:sectPr w:rsidR="00E560B0" w:rsidSect="00034616">
      <w:pgSz w:w="12240" w:h="15840"/>
      <w:pgMar w:top="1440" w:right="1656" w:bottom="1440" w:left="165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3769401">
    <w:abstractNumId w:val="8"/>
  </w:num>
  <w:num w:numId="2" w16cid:durableId="2135976877">
    <w:abstractNumId w:val="6"/>
  </w:num>
  <w:num w:numId="3" w16cid:durableId="1830827205">
    <w:abstractNumId w:val="5"/>
  </w:num>
  <w:num w:numId="4" w16cid:durableId="356199462">
    <w:abstractNumId w:val="4"/>
  </w:num>
  <w:num w:numId="5" w16cid:durableId="797143524">
    <w:abstractNumId w:val="7"/>
  </w:num>
  <w:num w:numId="6" w16cid:durableId="822814050">
    <w:abstractNumId w:val="3"/>
  </w:num>
  <w:num w:numId="7" w16cid:durableId="513493336">
    <w:abstractNumId w:val="2"/>
  </w:num>
  <w:num w:numId="8" w16cid:durableId="1872036575">
    <w:abstractNumId w:val="1"/>
  </w:num>
  <w:num w:numId="9" w16cid:durableId="1752922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234C7"/>
    <w:rsid w:val="00755F8C"/>
    <w:rsid w:val="00AA1D8D"/>
    <w:rsid w:val="00B47730"/>
    <w:rsid w:val="00CB0664"/>
    <w:rsid w:val="00E560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ED75CA"/>
  <w14:defaultImageDpi w14:val="300"/>
  <w15:docId w15:val="{0B24C729-35C3-438A-BAB2-6573C7286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1755</Words>
  <Characters>10008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Alrick Grandison</cp:lastModifiedBy>
  <cp:revision>2</cp:revision>
  <dcterms:created xsi:type="dcterms:W3CDTF">2013-12-23T23:15:00Z</dcterms:created>
  <dcterms:modified xsi:type="dcterms:W3CDTF">2026-04-17T21:58:00Z</dcterms:modified>
  <cp:category/>
</cp:coreProperties>
</file>