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ptimization-model-formulas"/>
    <w:p>
      <w:pPr>
        <w:pStyle w:val="Heading1"/>
      </w:pPr>
      <w:r>
        <w:t xml:space="preserve">Optimization Model Formulas</w:t>
      </w:r>
    </w:p>
    <w:p>
      <w:pPr>
        <w:pStyle w:val="FirstParagraph"/>
      </w:pPr>
      <w:r>
        <w:t xml:space="preserve">Mathematical formulations of the two optimization models in the cluster optimization layer. All equations are rendered as native Word equations (editable in the Equation Editor).</w:t>
      </w:r>
    </w:p>
    <w:p>
      <w:r>
        <w:pict>
          <v:rect style="width:0;height:1.5pt" o:hralign="center" o:hrstd="t" o:hr="t"/>
        </w:pict>
      </w:r>
    </w:p>
    <w:bookmarkEnd w:id="9"/>
    <w:bookmarkStart w:id="15" w:name="real-time-optimization-model-milp"/>
    <w:p>
      <w:pPr>
        <w:pStyle w:val="Heading1"/>
      </w:pPr>
      <w:r>
        <w:t xml:space="preserve">1. Real-Time Optimization Model (MILP)</w:t>
      </w:r>
    </w:p>
    <w:bookmarkStart w:id="10" w:name="decision-variable"/>
    <w:p>
      <w:pPr>
        <w:pStyle w:val="Heading2"/>
      </w:pPr>
      <w:r>
        <w:t xml:space="preserve">Decision Variable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j</m:t>
              </m:r>
              <m:r>
                <m:t>n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j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job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assigned to node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10"/>
    <w:bookmarkStart w:id="11" w:name="objective-maximize-placement-score-z"/>
    <w:p>
      <w:pPr>
        <w:pStyle w:val="Heading2"/>
      </w:pPr>
      <w:r>
        <w:t xml:space="preserve">Objective — maximize Placement Score</w:t>
      </w:r>
      <w:r>
        <w:t xml:space="preserve"> </w:t>
      </w:r>
      <m:oMath>
        <m:r>
          <m:t>Z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t> </m:t>
          </m:r>
          <m:r>
            <m:t> </m:t>
          </m:r>
          <m:r>
            <m:t>Z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t> </m:t>
              </m:r>
            </m:e>
          </m:nary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sSubSup>
                <m:e>
                  <m:r>
                    <m:t>ω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nor/>
                      <m:sty m:val="p"/>
                    </m:rPr>
                    <m:t>delay</m:t>
                  </m:r>
                </m:sup>
              </m:sSubSup>
            </m:e>
          </m:nary>
          <m:r>
            <m:rPr>
              <m:sty m:val="p"/>
            </m:rPr>
            <m:t>⋅</m:t>
          </m:r>
          <m:sSubSup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mem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ω</m:t>
              </m:r>
            </m:e>
            <m:sub>
              <m:r>
                <m:t>n</m:t>
              </m:r>
            </m:sub>
            <m:sup>
              <m:r>
                <m:rPr>
                  <m:nor/>
                  <m:sty m:val="p"/>
                </m:rPr>
                <m:t>utilize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σ</m:t>
              </m:r>
            </m:e>
            <m:sub>
              <m:r>
                <m:t>n</m:t>
              </m:r>
            </m:sub>
            <m:sup>
              <m:r>
                <m:rPr>
                  <m:nor/>
                  <m:sty m:val="p"/>
                </m:rPr>
                <m:t>consolid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j</m:t>
              </m:r>
              <m:r>
                <m:t>n</m:t>
              </m:r>
            </m:sub>
          </m:sSub>
        </m:oMath>
      </m:oMathPara>
    </w:p>
    <w:bookmarkEnd w:id="11"/>
    <w:bookmarkStart w:id="12" w:name="constraints"/>
    <w:p>
      <w:pPr>
        <w:pStyle w:val="Heading2"/>
      </w:pPr>
      <w:r>
        <w:t xml:space="preserve">Constraints</w:t>
      </w:r>
    </w:p>
    <w:p>
      <w:pPr>
        <w:pStyle w:val="FirstParagraph"/>
      </w:pPr>
      <w:r>
        <w:rPr>
          <w:b/>
          <w:bCs/>
        </w:rPr>
        <w:t xml:space="preserve">C1 — One node per job.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n</m:t>
                  </m:r>
                </m:sub>
              </m:sSub>
            </m:e>
          </m:nary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1</m:t>
          </m:r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j</m:t>
          </m:r>
          <m:r>
            <m:rPr>
              <m:sty m:val="p"/>
            </m:rPr>
            <m:t>∈</m:t>
          </m:r>
          <m:r>
            <m:t>J</m:t>
          </m:r>
        </m:oMath>
      </m:oMathPara>
    </w:p>
    <w:p>
      <w:pPr>
        <w:pStyle w:val="FirstParagraph"/>
      </w:pPr>
      <w:r>
        <w:rPr>
          <w:b/>
          <w:bCs/>
        </w:rPr>
        <w:t xml:space="preserve">C2 — Memory capacity per node.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j</m:t>
                  </m:r>
                </m:sub>
                <m:sup>
                  <m:r>
                    <m:rPr>
                      <m:nor/>
                      <m:sty m:val="p"/>
                    </m:rPr>
                    <m:t>mem</m:t>
                  </m:r>
                </m:sup>
              </m:sSubSup>
            </m:e>
          </m:nary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j</m:t>
              </m:r>
              <m:r>
                <m:t>n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sSubSup>
            <m:e>
              <m:r>
                <m:t>M</m:t>
              </m:r>
            </m:e>
            <m:sub>
              <m:r>
                <m:t>n</m:t>
              </m:r>
            </m:sub>
            <m:sup>
              <m:r>
                <m:rPr>
                  <m:nor/>
                  <m:sty m:val="p"/>
                </m:rPr>
                <m:t>eff</m:t>
              </m:r>
            </m:sup>
          </m:sSubSup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n</m:t>
          </m:r>
          <m:r>
            <m:rPr>
              <m:sty m:val="p"/>
            </m:rPr>
            <m:t>∈</m:t>
          </m:r>
          <m:r>
            <m:t>N</m:t>
          </m:r>
        </m:oMath>
      </m:oMathPara>
    </w:p>
    <w:p>
      <w:pPr>
        <w:pStyle w:val="FirstParagraph"/>
      </w:pPr>
      <w:r>
        <w:rPr>
          <w:b/>
          <w:bCs/>
        </w:rPr>
        <w:t xml:space="preserve">C3 — Binary domain.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j</m:t>
              </m:r>
              <m:r>
                <m:t>n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j</m:t>
          </m:r>
          <m:r>
            <m:rPr>
              <m:sty m:val="p"/>
            </m:rPr>
            <m:t>∈</m:t>
          </m:r>
          <m:r>
            <m:t>J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N</m:t>
          </m:r>
        </m:oMath>
      </m:oMathPara>
    </w:p>
    <w:p>
      <w:pPr>
        <w:pStyle w:val="FirstParagraph"/>
      </w:pPr>
      <w:r>
        <w:rPr>
          <w:b/>
          <w:bCs/>
        </w:rPr>
        <w:t xml:space="preserve">C4 — Per-pair CPU fitment.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j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t> </m:t>
          </m:r>
          <m:r>
            <m:rPr>
              <m:nor/>
              <m:sty m:val="p"/>
            </m:rPr>
            <m:t>if</m:t>
          </m:r>
          <m:r>
            <m:t> </m:t>
          </m:r>
          <m:r>
            <m:t> </m:t>
          </m:r>
          <m:sSubSup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CPU</m:t>
              </m:r>
            </m:sup>
          </m:sSubSup>
          <m:r>
            <m:rPr>
              <m:sty m:val="p"/>
            </m:rPr>
            <m:t>&gt;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j</m:t>
          </m:r>
          <m:r>
            <m:rPr>
              <m:sty m:val="p"/>
            </m:rPr>
            <m:t>∈</m:t>
          </m:r>
          <m:r>
            <m:t>J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N</m:t>
          </m:r>
        </m:oMath>
      </m:oMathPara>
    </w:p>
    <w:bookmarkEnd w:id="12"/>
    <w:bookmarkStart w:id="13" w:name="derived-quantities"/>
    <w:p>
      <w:pPr>
        <w:pStyle w:val="Heading2"/>
      </w:pPr>
      <w:r>
        <w:t xml:space="preserve">Derived Quantities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M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cap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M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tax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M</m:t>
                  </m:r>
                </m:e>
                <m:sub>
                  <m:r>
                    <m:t>n</m:t>
                  </m:r>
                </m:sub>
                <m:sup>
                  <m:r>
                    <m:t>θ</m:t>
                  </m:r>
                </m:sup>
              </m:sSubSup>
            </m:e>
            <m:e>
              <m:sSubSup>
                <m:e>
                  <m:r>
                    <m:t>M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avail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M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cap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mem</m:t>
                  </m:r>
                </m:sup>
              </m:sSubSup>
            </m:e>
            <m:e>
              <m:sSubSup>
                <m:e>
                  <m:r>
                    <m:t>M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eff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sSubSup>
                    <m:e>
                      <m:r>
                        <m:t>M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avail</m:t>
                      </m:r>
                    </m:sup>
                  </m:sSub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SLA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sSubSup>
                <m:e>
                  <m:r>
                    <m:t>σ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consolid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bookmarkEnd w:id="13"/>
    <w:bookmarkStart w:id="14" w:name="feedback-weights"/>
    <w:p>
      <w:pPr>
        <w:pStyle w:val="Heading2"/>
      </w:pPr>
      <w:r>
        <w:t xml:space="preserve">Feedback Weights</w:t>
      </w:r>
    </w:p>
    <w:p>
      <w:pPr>
        <w:pStyle w:val="FirstParagraph"/>
      </w:pPr>
      <w:r>
        <w:rPr>
          <w:b/>
          <w:bCs/>
        </w:rPr>
        <w:t xml:space="preserve">Rolling SLA violation rate.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e>
            <m:sub>
              <m:r>
                <m:t>n</m:t>
              </m:r>
            </m:sub>
            <m:sup>
              <m:r>
                <m:rPr>
                  <m:nor/>
                  <m:sty m:val="p"/>
                </m:rPr>
                <m:t>SLA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mem</m:t>
                  </m:r>
                </m:sup>
              </m:sSubSup>
              <m:r>
                <m:rPr>
                  <m:sty m:val="p"/>
                </m:rPr>
                <m:t>&gt;</m:t>
              </m:r>
              <m:sSubSup>
                <m:e>
                  <m:r>
                    <m:t>M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cap</m:t>
                  </m:r>
                </m:sup>
              </m:sSubSup>
              <m:r>
                <m:t> </m:t>
              </m:r>
              <m:r>
                <m:rPr>
                  <m:nor/>
                  <m:sty m:val="p"/>
                </m:rPr>
                <m:t>at round 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 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Memory utilization weight.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ω</m:t>
              </m:r>
            </m:e>
            <m:sub>
              <m:r>
                <m:t>n</m:t>
              </m:r>
            </m:sub>
            <m:sup>
              <m:r>
                <m:rPr>
                  <m:nor/>
                  <m:sty m:val="p"/>
                </m:rPr>
                <m:t>utilize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m:t>mem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max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m:t>cap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Scheduling delay weight.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ω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delay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W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acc>
                    <m:accPr>
                      <m:chr m:val="‾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ω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delay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ω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delay</m:t>
              </m:r>
            </m:sup>
          </m:sSubSup>
          <m:sSub>
            <m:e>
              <m:r>
                <m:rPr>
                  <m:sty m:val="p"/>
                </m:rPr>
                <m:t>|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,</m:t>
          </m:r>
          <m:r>
            <m:t>  </m:t>
          </m:r>
          <m:acc>
            <m:accPr>
              <m:chr m:val="‾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‾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nary>
        </m:oMath>
      </m:oMathPara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Xe78b38bdcc449a67a0e2f6031456179ce8c4ef3"/>
    <w:p>
      <w:pPr>
        <w:pStyle w:val="Heading1"/>
      </w:pPr>
      <w:r>
        <w:t xml:space="preserve">2. Plan-Ahead Resource Allocation Model (MISOCP)</w:t>
      </w:r>
    </w:p>
    <w:bookmarkStart w:id="16" w:name="objective"/>
    <w:p>
      <w:pPr>
        <w:pStyle w:val="Heading2"/>
      </w:pPr>
      <w:r>
        <w:t xml:space="preserve">Objective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 </m:t>
          </m:r>
          <m:r>
            <m:t> 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b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bSup>
            <m:e>
              <m:r>
                <m:t>z</m:t>
              </m:r>
            </m:e>
            <m:sub>
              <m:r>
                <m:t>n</m:t>
              </m:r>
            </m:sub>
            <m:sup>
              <m:r>
                <m:rPr>
                  <m:nor/>
                  <m:sty m:val="p"/>
                </m:rPr>
                <m:t>on</m:t>
              </m:r>
            </m:sup>
          </m:sSubSup>
          <m:r>
            <m:t> </m:t>
          </m:r>
          <m:r>
            <m:rPr>
              <m:sty m:val="p"/>
            </m:rPr>
            <m:t>−</m:t>
          </m:r>
          <m:r>
            <m:t> 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t> </m:t>
          </m:r>
          <m:r>
            <m:t>σ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mix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Terms: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M</m:t>
                </m:r>
              </m:e>
              <m:sub>
                <m:r>
                  <m:t>b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π</m:t>
                </m:r>
              </m:e>
              <m:sub>
                <m:r>
                  <m:t>n</m:t>
                </m:r>
              </m:sub>
            </m:sSub>
          </m:e>
        </m:nary>
        <m:sSubSup>
          <m:e>
            <m:r>
              <m:t>z</m:t>
            </m:r>
          </m:e>
          <m:sub>
            <m:r>
              <m:t>n</m:t>
            </m:r>
          </m:sub>
          <m:sup>
            <m:r>
              <m:rPr>
                <m:nor/>
                <m:sty m:val="p"/>
              </m:rPr>
              <m:t>on</m:t>
            </m:r>
          </m:sup>
        </m:sSubSup>
      </m:oMath>
      <w:r>
        <w:t xml:space="preserve"> </w:t>
      </w:r>
      <w:r>
        <w:t xml:space="preserve">= InfraCost (minimize);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= fairness (maximize);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rPr>
                <m:nor/>
                <m:sty m:val="p"/>
              </m:rPr>
              <m:t>mix</m:t>
            </m:r>
          </m:e>
          <m:sub>
            <m:r>
              <m:t>n</m:t>
            </m:r>
            <m:r>
              <m:t>h</m:t>
            </m:r>
          </m:sub>
        </m:sSub>
      </m:oMath>
      <w:r>
        <w:t xml:space="preserve"> </w:t>
      </w:r>
      <w:r>
        <w:t xml:space="preserve">= MixTotal (maximize).</w:t>
      </w:r>
    </w:p>
    <w:bookmarkEnd w:id="16"/>
    <w:bookmarkStart w:id="17" w:name="machine-activation-constraints"/>
    <w:p>
      <w:pPr>
        <w:pStyle w:val="Heading2"/>
      </w:pPr>
      <w:r>
        <w:t xml:space="preserve">Machine-Activation Constraints</w:t>
      </w:r>
    </w:p>
    <w:p>
      <w:pPr>
        <w:pStyle w:val="FirstParagraph"/>
      </w:pPr>
      <w:r>
        <w:rPr>
          <w:b/>
          <w:bCs/>
        </w:rPr>
        <w:t xml:space="preserve">C(aa) — Always available.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n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n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</m:oMath>
      </m:oMathPara>
    </w:p>
    <w:p>
      <w:pPr>
        <w:pStyle w:val="FirstParagraph"/>
      </w:pPr>
      <w:r>
        <w:rPr>
          <w:b/>
          <w:bCs/>
        </w:rPr>
        <w:t xml:space="preserve">C(act) — Additional machine activation.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n</m:t>
              </m:r>
              <m:r>
                <m:t>h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z</m:t>
              </m:r>
            </m:e>
            <m:sub>
              <m:r>
                <m:t>n</m:t>
              </m:r>
            </m:sub>
            <m:sup>
              <m:r>
                <m:rPr>
                  <m:nor/>
                  <m:sty m:val="p"/>
                </m:rPr>
                <m:t>on</m:t>
              </m:r>
            </m:sup>
          </m:sSubSup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n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</m:oMath>
      </m:oMathPara>
    </w:p>
    <w:p>
      <w:pPr>
        <w:pStyle w:val="FirstParagraph"/>
      </w:pPr>
      <w:r>
        <w:rPr>
          <w:b/>
          <w:bCs/>
        </w:rPr>
        <w:t xml:space="preserve">C(zact) — Machine active if assigned.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n</m:t>
              </m:r>
              <m:r>
                <m:t>h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n</m:t>
              </m:r>
              <m:r>
                <m:t>h</m:t>
              </m:r>
            </m:sub>
          </m:sSub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M</m:t>
          </m:r>
          <m:r>
            <m:rPr>
              <m:sty m:val="p"/>
            </m:rPr>
            <m:t>,</m:t>
          </m:r>
          <m:r>
            <m:t> 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</m:oMath>
      </m:oMathPara>
    </w:p>
    <w:bookmarkEnd w:id="17"/>
    <w:bookmarkStart w:id="18" w:name="exclusive-tenant-constraints"/>
    <w:p>
      <w:pPr>
        <w:pStyle w:val="Heading2"/>
      </w:pPr>
      <w:r>
        <w:t xml:space="preserve">Exclusive-Tenant Constraints</w:t>
      </w:r>
    </w:p>
    <w:p>
      <w:pPr>
        <w:pStyle w:val="FirstParagraph"/>
      </w:pPr>
      <w:r>
        <w:rPr>
          <w:b/>
          <w:bCs/>
        </w:rPr>
        <w:t xml:space="preserve">C(excl1) — At most one exclusive per machine.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e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1</m:t>
          </m:r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M</m:t>
          </m:r>
        </m:oMath>
      </m:oMathPara>
    </w:p>
    <w:p>
      <w:pPr>
        <w:pStyle w:val="FirstParagraph"/>
      </w:pPr>
      <w:r>
        <w:rPr>
          <w:b/>
          <w:bCs/>
        </w:rPr>
        <w:t xml:space="preserve">C(excl2) — Each exclusive must be assigned.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e>
          </m:nary>
          <m:r>
            <m:rPr>
              <m:sty m:val="p"/>
            </m:rPr>
            <m:t>≥</m:t>
          </m:r>
          <m:r>
            <m:t>1</m:t>
          </m:r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e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C(excl_cap) — Exclusive capacity coverage.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≥</m:t>
          </m:r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e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C(sep) — Exclusive–shared separation.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e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j</m:t>
              </m:r>
              <m:r>
                <m:t>n</m:t>
              </m:r>
              <m:r>
                <m:t>h</m:t>
              </m:r>
            </m:sub>
          </m:sSub>
          <m:r>
            <m:rPr>
              <m:sty m:val="p"/>
            </m:rPr>
            <m:t>≤</m:t>
          </m:r>
          <m:r>
            <m:t>1</m:t>
          </m:r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j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M</m:t>
          </m:r>
          <m:r>
            <m:rPr>
              <m:sty m:val="p"/>
            </m:rPr>
            <m:t>,</m:t>
          </m:r>
          <m:r>
            <m:t> 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</m:oMath>
      </m:oMathPara>
    </w:p>
    <w:bookmarkEnd w:id="18"/>
    <w:bookmarkStart w:id="19" w:name="shared-tenant-constraints"/>
    <w:p>
      <w:pPr>
        <w:pStyle w:val="Heading2"/>
      </w:pPr>
      <w:r>
        <w:t xml:space="preserve">Shared-Tenant Constraints</w:t>
      </w:r>
    </w:p>
    <w:p>
      <w:pPr>
        <w:pStyle w:val="FirstParagraph"/>
      </w:pPr>
      <w:r>
        <w:rPr>
          <w:b/>
          <w:bCs/>
        </w:rPr>
        <w:t xml:space="preserve">C(share) — Minimum machines per shared tenant per period.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e>
          </m:nary>
          <m:r>
            <m:rPr>
              <m:sty m:val="p"/>
            </m:rPr>
            <m:t>≥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</m:oMath>
      </m:oMathPara>
    </w:p>
    <w:p>
      <w:pPr>
        <w:pStyle w:val="FirstParagraph"/>
      </w:pPr>
      <w:r>
        <w:rPr>
          <w:b/>
          <w:bCs/>
        </w:rPr>
        <w:t xml:space="preserve">C(1a) — Capacity with Cantelli safety buffer.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s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e>
          </m:nary>
          <m:r>
            <m:rPr>
              <m:sty m:val="p"/>
            </m:rPr>
            <m:t>+</m:t>
          </m:r>
          <m:r>
            <m:t>κ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n</m:t>
              </m:r>
              <m:r>
                <m:t>h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sSubSup>
            <m:e>
              <m:r>
                <m:t>C</m:t>
              </m:r>
            </m:e>
            <m:sub>
              <m:r>
                <m:t>n</m:t>
              </m:r>
            </m:sub>
            <m:sup>
              <m:r>
                <m:rPr>
                  <m:nor/>
                  <m:sty m:val="p"/>
                </m:rPr>
                <m:t>eff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z</m:t>
              </m:r>
            </m:e>
            <m:sub>
              <m:r>
                <m:t>n</m:t>
              </m:r>
              <m:r>
                <m:t>h</m:t>
              </m:r>
            </m:sub>
          </m:sSub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M</m:t>
          </m:r>
          <m:r>
            <m:rPr>
              <m:sty m:val="p"/>
            </m:rPr>
            <m:t>,</m:t>
          </m:r>
          <m:r>
            <m:t> 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</m:oMath>
      </m:oMathPara>
    </w:p>
    <w:p>
      <w:pPr>
        <w:pStyle w:val="FirstParagraph"/>
      </w:pPr>
      <w:r>
        <w:rPr>
          <w:b/>
          <w:bCs/>
        </w:rPr>
        <w:t xml:space="preserve">C(1b) — Cantelli cone (MISOCP only).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s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r>
                    <m:t>σ</m:t>
                  </m:r>
                </m:e>
                <m:sub>
                  <m:r>
                    <m:t>i</m:t>
                  </m:r>
                  <m:r>
                    <m:t>h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⋅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n</m:t>
              </m:r>
              <m:r>
                <m:t>h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sSubSup>
            <m:e>
              <m:r>
                <m:t>t</m:t>
              </m:r>
            </m:e>
            <m:sub>
              <m:r>
                <m:t>n</m:t>
              </m:r>
              <m:r>
                <m:t>h</m:t>
              </m:r>
            </m:sub>
            <m:sup>
              <m:r>
                <m:t>2</m:t>
              </m:r>
            </m:sup>
          </m:sSubSup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M</m:t>
          </m:r>
          <m:r>
            <m:rPr>
              <m:sty m:val="p"/>
            </m:rPr>
            <m:t>,</m:t>
          </m:r>
          <m:r>
            <m:t> 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</m:oMath>
      </m:oMathPara>
    </w:p>
    <w:p>
      <w:pPr>
        <w:pStyle w:val="FirstParagraph"/>
      </w:pPr>
      <w:r>
        <w:rPr>
          <w:b/>
          <w:bCs/>
        </w:rPr>
        <w:t xml:space="preserve">C(2) — Priority link.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  <m:r>
                <m:t>n</m:t>
              </m:r>
              <m:r>
                <m:t>h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n</m:t>
              </m:r>
              <m:r>
                <m:t>h</m:t>
              </m:r>
            </m:sub>
          </m:sSub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M</m:t>
          </m:r>
          <m:r>
            <m:rPr>
              <m:sty m:val="p"/>
            </m:rPr>
            <m:t>,</m:t>
          </m:r>
          <m:r>
            <m:t> 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</m:oMath>
      </m:oMathPara>
    </w:p>
    <w:p>
      <w:pPr>
        <w:pStyle w:val="FirstParagraph"/>
      </w:pPr>
      <w:r>
        <w:rPr>
          <w:b/>
          <w:bCs/>
        </w:rPr>
        <w:t xml:space="preserve">C(3) — Demand satisfaction.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e>
          </m:nary>
          <m:r>
            <m:rPr>
              <m:sty m:val="p"/>
            </m:rPr>
            <m:t>≥</m:t>
          </m:r>
          <m:sSubSup>
            <m:e>
              <m:r>
                <m:t>u</m:t>
              </m:r>
            </m:e>
            <m:sub>
              <m:r>
                <m:t>i</m:t>
              </m:r>
              <m:r>
                <m:t>h</m:t>
              </m:r>
            </m:sub>
            <m:sup>
              <m:r>
                <m:rPr>
                  <m:nor/>
                  <m:sty m:val="p"/>
                </m:rPr>
                <m:t>fb</m:t>
              </m:r>
            </m:sup>
          </m:sSubSup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</m:oMath>
      </m:oMathPara>
    </w:p>
    <w:p>
      <w:pPr>
        <w:pStyle w:val="FirstParagraph"/>
      </w:pPr>
      <w:r>
        <w:rPr>
          <w:b/>
          <w:bCs/>
        </w:rPr>
        <w:t xml:space="preserve">C(4) — Fairness.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 </m:t>
          </m:r>
          <m:r>
            <m:rPr>
              <m:sty m:val="p"/>
            </m:rPr>
            <m:t>≤</m:t>
          </m:r>
          <m:r>
            <m:t> 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H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h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h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H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h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fb</m:t>
                      </m:r>
                    </m:sup>
                  </m:sSubSup>
                </m:e>
              </m:nary>
            </m:den>
          </m:f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s</m:t>
              </m:r>
            </m:sub>
          </m:sSub>
        </m:oMath>
      </m:oMathPara>
    </w:p>
    <w:bookmarkEnd w:id="19"/>
    <w:bookmarkStart w:id="20" w:name="X26b5b16a1fc162c6eea972fa357209257ebf9c8"/>
    <w:p>
      <w:pPr>
        <w:pStyle w:val="Heading2"/>
      </w:pPr>
      <w:r>
        <w:t xml:space="preserve">Mix-Bonus Constraints (linearized AND gate)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hH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∈</m:t>
              </m:r>
              <m:sSubSup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nor/>
                      <m:sty m:val="p"/>
                    </m:rPr>
                    <m:t>h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h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</m:e>
            <m:e>
              <m:sSub>
                <m:e>
                  <m:r>
                    <m:rPr>
                      <m:nor/>
                      <m:sty m:val="p"/>
                    </m:rPr>
                    <m:t>hL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t>n</m:t>
                  </m:r>
                  <m:r>
                    <m:t>h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 </m:t>
              </m:r>
              <m:r>
                <m:t>j</m:t>
              </m:r>
              <m:r>
                <m:rPr>
                  <m:sty m:val="p"/>
                </m:rPr>
                <m:t>∈</m:t>
              </m:r>
              <m:sSubSup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nor/>
                      <m:sty m:val="p"/>
                    </m:rPr>
                    <m:t>l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h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</m:e>
            <m:e>
              <m:sSub>
                <m:e>
                  <m:r>
                    <m:rPr>
                      <m:nor/>
                      <m:sty m:val="p"/>
                    </m:rPr>
                    <m:t>mix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rPr>
                      <m:nor/>
                      <m:sty m:val="p"/>
                    </m:rPr>
                    <m:t>hH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h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</m:e>
            <m:e>
              <m:sSub>
                <m:e>
                  <m:r>
                    <m:rPr>
                      <m:nor/>
                      <m:sty m:val="p"/>
                    </m:rPr>
                    <m:t>mix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rPr>
                      <m:nor/>
                      <m:sty m:val="p"/>
                    </m:rPr>
                    <m:t>hL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h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</m:e>
            <m:e>
              <m:sSub>
                <m:e>
                  <m:r>
                    <m:rPr>
                      <m:nor/>
                      <m:sty m:val="p"/>
                    </m:rPr>
                    <m:t>mix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rPr>
                      <m:nor/>
                      <m:sty m:val="p"/>
                    </m:rPr>
                    <m:t>hH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hL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h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</m:e>
          </m:eqArr>
        </m:oMath>
      </m:oMathPara>
    </w:p>
    <w:bookmarkEnd w:id="20"/>
    <w:bookmarkStart w:id="21" w:name="parameter-definitions"/>
    <w:p>
      <w:pPr>
        <w:pStyle w:val="Heading2"/>
      </w:pPr>
      <w:r>
        <w:t xml:space="preserve">Parameter Definitions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eff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t> 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sSubSup>
                <m:e>
                  <m:r>
                    <m:t>u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H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h</m:t>
                  </m:r>
                </m:sub>
              </m:sSub>
            </m:e>
            <m:e>
              <m:sSubSup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h</m:t>
                  </m:r>
                </m:sub>
                <m:sup>
                  <m:r>
                    <m:rPr>
                      <m:nor/>
                      <m:sty m:val="p"/>
                    </m:rPr>
                    <m:t>fb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h</m:t>
                  </m:r>
                </m:sub>
              </m:sSub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t> 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</m:e>
              </m:d>
            </m:e>
            <m:e>
              <m:sSubSup>
                <m:e>
                  <m:r>
                    <m:t>σ</m:t>
                  </m:r>
                </m:e>
                <m:sub>
                  <m:r>
                    <m:t>i</m:t>
                  </m:r>
                  <m:r>
                    <m:t>h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frac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h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ε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ε</m:t>
                  </m:r>
                </m:e>
              </m:rad>
              <m:r>
                <m:t> 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=</m:t>
                  </m:r>
                  <m:r>
                    <m:t>0.10</m:t>
                  </m:r>
                  <m:r>
                    <m:rPr>
                      <m:sty m:val="p"/>
                    </m:rPr>
                    <m:t>⇒</m:t>
                  </m:r>
                  <m:r>
                    <m:t>κ</m:t>
                  </m:r>
                  <m:r>
                    <m:rPr>
                      <m:sty m:val="p"/>
                    </m:rPr>
                    <m:t>=</m:t>
                  </m:r>
                  <m:r>
                    <m:t>3.0</m:t>
                  </m:r>
                </m:e>
              </m:d>
            </m:e>
          </m:eqArr>
        </m:oMath>
      </m:oMathPara>
    </w:p>
    <w:bookmarkEnd w:id="21"/>
    <w:bookmarkStart w:id="22" w:name="cantelli-probabilistic-guarantee"/>
    <w:p>
      <w:pPr>
        <w:pStyle w:val="Heading2"/>
      </w:pPr>
      <w:r>
        <w:t xml:space="preserve">Cantelli Probabilistic Guarantee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μ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r>
                <m:t>κ</m:t>
              </m:r>
              <m:r>
                <m:t> </m:t>
              </m:r>
              <m:sSubSup>
                <m:e>
                  <m:r>
                    <m:t>σ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  <m:sup>
                  <m:r>
                    <m:rPr>
                      <m:nor/>
                      <m:sty m:val="p"/>
                    </m:rPr>
                    <m:t>tot</m:t>
                  </m:r>
                </m:sup>
              </m:sSubSup>
              <m:r>
                <m:t> </m:t>
              </m:r>
            </m:e>
          </m:d>
          <m:r>
            <m:t> </m:t>
          </m:r>
          <m:r>
            <m:rPr>
              <m:sty m:val="p"/>
            </m:rPr>
            <m:t>≤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ε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n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n</m:t>
              </m:r>
              <m:r>
                <m:t>h</m:t>
              </m:r>
            </m:sub>
            <m:sup>
              <m:r>
                <m:rPr>
                  <m:nor/>
                  <m:sty m:val="p"/>
                </m:rPr>
                <m:t>tot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σ</m:t>
                  </m:r>
                </m:e>
                <m:sub>
                  <m:r>
                    <m:t>i</m:t>
                  </m:r>
                  <m:r>
                    <m:t>h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n</m:t>
              </m:r>
              <m:r>
                <m:t>h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≤</m:t>
              </m:r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eff</m:t>
                  </m:r>
                </m:sup>
              </m:sSubSup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  <m:r>
                <m:t> </m:t>
              </m:r>
            </m:e>
          </m:d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r>
            <m:t>ε</m:t>
          </m:r>
        </m:oMath>
      </m:oMathPara>
    </w:p>
    <w:bookmarkEnd w:id="22"/>
    <w:bookmarkStart w:id="23" w:name="feedback-integration"/>
    <w:p>
      <w:pPr>
        <w:pStyle w:val="Heading2"/>
      </w:pPr>
      <w:r>
        <w:t xml:space="preserve">Feedback Integration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eff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t> 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sSubSup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h</m:t>
                  </m:r>
                </m:sub>
                <m:sup>
                  <m:r>
                    <m:rPr>
                      <m:nor/>
                      <m:sty m:val="p"/>
                    </m:rPr>
                    <m:t>fb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t> </m:t>
                  </m:r>
                  <m:r>
                    <m:rPr>
                      <m:sty m:val="p"/>
                    </m:rPr>
                    <m:t>min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W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W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ref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eqArr>
        </m:oMath>
      </m:oMathPara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2026-06-08T21:14:00Z</dcterms:created>
  <dcterms:modified xsi:type="dcterms:W3CDTF">2026-06-08T21:14:00Z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