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Liberation Sans" w:hAnsi="Liberation Sans"/>
          <w:b/>
          <w:color w:val="2F5B44"/>
          <w:sz w:val="60"/>
        </w:rPr>
        <w:t>Charta des</w:t>
        <w:br/>
        <w:t>wahrhaftigen Wohlwollens</w:t>
      </w:r>
    </w:p>
    <w:p>
      <w:pPr>
        <w:jc w:val="center"/>
      </w:pPr>
      <w:r>
        <w:rPr/>
        <w:t>Arbeitsfassung 0.6.9</w:t>
      </w:r>
    </w:p>
    <w:p>
      <w:pPr>
        <w:jc w:val="center"/>
      </w:pPr>
      <w:r>
        <w:rPr>
          <w:i/>
          <w:sz w:val="22"/>
        </w:rPr>
        <w:t>Eine strukturierte Arbeitsfassung zur persönlichen, gesellschaftlichen und institutionell-strukturellen Dimension wahrhaftigen Wohlwollens.</w:t>
      </w:r>
    </w:p>
    <w:p/>
    <w:tbl>
      <w:tblPr>
        <w:tblW w:type="auto" w:w="0"/>
        <w:jc w:val="center"/>
        <w:tblLayout w:type="autofit"/>
        <w:tblLook w:firstColumn="1" w:firstRow="1" w:lastColumn="0" w:lastRow="0" w:noHBand="0" w:noVBand="1" w:val="04A0"/>
      </w:tblPr>
      <w:tblGrid>
        <w:gridCol w:w="4762"/>
        <w:gridCol w:w="4762"/>
      </w:tblGrid>
      <w:tr>
        <w:trPr>
          <w:cantSplit/>
        </w:trPr>
        <w:tc>
          <w:tcPr>
            <w:tcW w:type="dxa" w:w="4762"/>
            <w:vAlign w:val="top"/>
            <w:shd w:fill="EEE7C9"/>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b/>
                <w:sz w:val="20"/>
              </w:rPr>
              <w:t>Status</w:t>
            </w:r>
          </w:p>
        </w:tc>
        <w:tc>
          <w:tcPr>
            <w:tcW w:type="dxa" w:w="4762"/>
            <w:vAlign w:val="top"/>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sz w:val="20"/>
              </w:rPr>
              <w:t>Arbeitsfassung, kein finales Hochglanzdokument</w:t>
            </w:r>
          </w:p>
        </w:tc>
      </w:tr>
      <w:tr>
        <w:trPr>
          <w:cantSplit/>
        </w:trPr>
        <w:tc>
          <w:tcPr>
            <w:tcW w:type="dxa" w:w="4762"/>
            <w:vAlign w:val="top"/>
            <w:shd w:fill="EEE7C9"/>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b/>
                <w:sz w:val="20"/>
              </w:rPr>
              <w:t>Arbeitsstand</w:t>
            </w:r>
          </w:p>
        </w:tc>
        <w:tc>
          <w:tcPr>
            <w:tcW w:type="dxa" w:w="4762"/>
            <w:vAlign w:val="top"/>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r>
              <w:t>2. Juni 2026</w:t>
            </w:r>
          </w:p>
        </w:tc>
      </w:tr>
      <w:tr>
        <w:trPr>
          <w:cantSplit/>
        </w:trPr>
        <w:tc>
          <w:tcPr>
            <w:tcW w:type="dxa" w:w="4762"/>
            <w:vAlign w:val="top"/>
            <w:shd w:fill="EEE7C9"/>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b/>
                <w:sz w:val="20"/>
              </w:rPr>
              <w:t>Autoren/Arbeitszusammenhang</w:t>
            </w:r>
          </w:p>
        </w:tc>
        <w:tc>
          <w:tcPr>
            <w:tcW w:type="dxa" w:w="4762"/>
            <w:vAlign w:val="top"/>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sz w:val="20"/>
              </w:rPr>
              <w:t>Rick und Katharina (Kat)</w:t>
            </w:r>
          </w:p>
        </w:tc>
      </w:tr>
      <w:tr>
        <w:trPr>
          <w:cantSplit/>
        </w:trPr>
        <w:tc>
          <w:tcPr>
            <w:tcW w:type="dxa" w:w="4762"/>
            <w:vAlign w:val="top"/>
            <w:shd w:fill="EEE7C9"/>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b/>
                <w:sz w:val="20"/>
              </w:rPr>
              <w:t>Dokumenttyp</w:t>
            </w:r>
          </w:p>
        </w:tc>
        <w:tc>
          <w:tcPr>
            <w:tcW w:type="dxa" w:w="4762"/>
            <w:vAlign w:val="top"/>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sz w:val="20"/>
              </w:rPr>
              <w:t>strukturierte Arbeitsfassung</w:t>
            </w:r>
          </w:p>
        </w:tc>
      </w:tr>
      <w:tr>
        <w:trPr>
          <w:cantSplit/>
        </w:trPr>
        <w:tc>
          <w:tcPr>
            <w:tcW w:type="dxa" w:w="4762"/>
            <w:vAlign w:val="top"/>
            <w:shd w:fill="EEE7C9"/>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b/>
                <w:sz w:val="20"/>
              </w:rPr>
              <w:t>Ziel</w:t>
            </w:r>
          </w:p>
        </w:tc>
        <w:tc>
          <w:tcPr>
            <w:tcW w:type="dxa" w:w="4762"/>
            <w:vAlign w:val="top"/>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sz w:val="20"/>
              </w:rPr>
              <w:t>Ordnung der bisherigen Gedanken, nicht Abschluss der Theorie</w:t>
            </w:r>
          </w:p>
        </w:tc>
      </w:tr>
      <w:tr>
        <w:trPr>
          <w:cantSplit/>
        </w:trPr>
        <w:tc>
          <w:tcPr>
            <w:tcW w:type="dxa" w:w="4762"/>
            <w:vAlign w:val="top"/>
            <w:shd w:fill="EEE7C9"/>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b/>
                <w:sz w:val="20"/>
              </w:rPr>
              <w:t>Fokus</w:t>
            </w:r>
          </w:p>
        </w:tc>
        <w:tc>
          <w:tcPr>
            <w:tcW w:type="dxa" w:w="4762"/>
            <w:vAlign w:val="top"/>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r>
              <w:t>Glückseligkeit, Liebe, Barmherzigkeit, Würde, realistische Utopie, Zielobjekt-Kohärenz, Treue/Zuverlässigkeit, politisches Metamodell</w:t>
            </w:r>
          </w:p>
        </w:tc>
      </w:tr>
      <w:tr>
        <w:trPr>
          <w:cantSplit/>
        </w:trPr>
        <w:tc>
          <w:tcPr>
            <w:tcW w:type="dxa" w:w="4762"/>
            <w:vAlign w:val="top"/>
            <w:shd w:fill="EEE7C9"/>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b/>
                <w:sz w:val="20"/>
              </w:rPr>
              <w:t>Offenheit</w:t>
            </w:r>
          </w:p>
        </w:tc>
        <w:tc>
          <w:tcPr>
            <w:tcW w:type="dxa" w:w="4762"/>
            <w:vAlign w:val="top"/>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sz w:val="20"/>
              </w:rPr>
              <w:t>Begriffe, Beispiele und Prüfstellen bleiben in späteren Fassungen veränderbar</w:t>
            </w:r>
          </w:p>
        </w:tc>
      </w:tr>
    </w:tbl>
    <w:p>
      <w:r>
        <w:br w:type="page"/>
      </w:r>
    </w:p>
    <w:p>
      <w:pPr>
        <w:pStyle w:val="VorspannÜberschrift1"/>
      </w:pPr>
      <w:r>
        <w:t>Inhaltsübersicht</w:t>
      </w:r>
    </w:p>
    <w:p>
      <w:pPr>
        <w:pStyle w:val="BodyText"/>
        <w:spacing w:after="20"/>
        <w:ind w:left="0"/>
      </w:pPr>
      <w:r>
        <w:rPr>
          <w:b/>
          <w:color w:val="2F5B44"/>
        </w:rPr>
        <w:t>Vorbemerkung</w:t>
      </w:r>
    </w:p>
    <w:p>
      <w:pPr>
        <w:pStyle w:val="BodyText"/>
      </w:pPr>
      <w:r>
        <w:t>Begriffsbestimmung: Wahrhaftiges Wohlwollen</w:t>
      </w:r>
    </w:p>
    <w:p>
      <w:pPr>
        <w:pStyle w:val="BodyText"/>
        <w:spacing w:after="20"/>
        <w:ind w:left="0"/>
      </w:pPr>
      <w:r>
        <w:rPr>
          <w:b/>
          <w:color w:val="2F5B44"/>
        </w:rPr>
        <w:t>Grundprämisse: Glückseligkeit</w:t>
      </w:r>
    </w:p>
    <w:p>
      <w:pPr>
        <w:pStyle w:val="BodyText"/>
        <w:spacing w:after="20"/>
        <w:ind w:left="0"/>
      </w:pPr>
      <w:r>
        <w:rPr>
          <w:b/>
          <w:color w:val="2F5B44"/>
        </w:rPr>
        <w:t>Teil I: Vollkommene wahre Liebe</w:t>
      </w:r>
    </w:p>
    <w:p>
      <w:pPr>
        <w:pStyle w:val="BodyText"/>
        <w:spacing w:after="20"/>
        <w:ind w:left="283"/>
      </w:pPr>
      <w:r>
        <w:rPr>
          <w:b/>
        </w:rPr>
        <w:t>Verpflichtung</w:t>
      </w:r>
    </w:p>
    <w:p>
      <w:pPr>
        <w:pStyle w:val="BodyText"/>
        <w:spacing w:after="20"/>
        <w:ind w:left="283"/>
      </w:pPr>
      <w:r>
        <w:rPr>
          <w:b/>
        </w:rPr>
        <w:t>Freundschaft</w:t>
      </w:r>
    </w:p>
    <w:p>
      <w:pPr>
        <w:pStyle w:val="BodyText"/>
        <w:spacing w:after="20"/>
        <w:ind w:left="283"/>
      </w:pPr>
      <w:r>
        <w:rPr>
          <w:b/>
        </w:rPr>
        <w:t>Leidenschaft</w:t>
      </w:r>
    </w:p>
    <w:p>
      <w:pPr>
        <w:pStyle w:val="BodyText"/>
        <w:spacing w:after="20"/>
        <w:ind w:left="283"/>
      </w:pPr>
      <w:r>
        <w:rPr>
          <w:b/>
        </w:rPr>
        <w:t>Vollkommene wahre Liebe</w:t>
      </w:r>
    </w:p>
    <w:p>
      <w:pPr>
        <w:pStyle w:val="BodyText"/>
        <w:spacing w:after="20"/>
        <w:ind w:left="283"/>
      </w:pPr>
      <w:r>
        <w:rPr>
          <w:b/>
        </w:rPr>
        <w:t>Selbstliebe, Vergebung und Schutz</w:t>
      </w:r>
    </w:p>
    <w:p>
      <w:pPr>
        <w:pStyle w:val="BodyText"/>
        <w:spacing w:after="20"/>
        <w:ind w:left="283"/>
      </w:pPr>
      <w:r>
        <w:rPr>
          <w:b/>
        </w:rPr>
        <w:t>Kontrollierter Kontrollverlust</w:t>
      </w:r>
    </w:p>
    <w:p>
      <w:pPr>
        <w:pStyle w:val="BodyText"/>
        <w:spacing w:after="20"/>
        <w:ind w:left="283"/>
      </w:pPr>
      <w:r>
        <w:rPr>
          <w:b/>
        </w:rPr>
        <w:t>Vereinigung ohne Selbstverlust</w:t>
      </w:r>
    </w:p>
    <w:p>
      <w:pPr>
        <w:pStyle w:val="BodyText"/>
        <w:spacing w:after="20"/>
        <w:ind w:left="0"/>
      </w:pPr>
      <w:r>
        <w:rPr>
          <w:b/>
          <w:color w:val="2F5B44"/>
        </w:rPr>
      </w:r>
      <w:r>
        <w:t>Übergang/Übertragungsregel</w:t>
      </w:r>
    </w:p>
    <w:p>
      <w:pPr>
        <w:pStyle w:val="BodyText"/>
        <w:spacing w:after="20"/>
        <w:ind w:left="0"/>
      </w:pPr>
      <w:r>
        <w:rPr>
          <w:b/>
          <w:color w:val="2F5B44"/>
        </w:rPr>
        <w:t>Teil II: Barmherzigkeit und Würde</w:t>
      </w:r>
    </w:p>
    <w:p>
      <w:pPr>
        <w:pStyle w:val="BodyText"/>
        <w:spacing w:after="20"/>
        <w:ind w:left="283"/>
      </w:pPr>
      <w:r>
        <w:rPr>
          <w:b/>
        </w:rPr>
        <w:t>Vorbild göttlicher Reife ohne göttlichen Anspruch</w:t>
      </w:r>
    </w:p>
    <w:p>
      <w:pPr>
        <w:pStyle w:val="BodyText"/>
        <w:spacing w:after="20"/>
        <w:ind w:left="283"/>
      </w:pPr>
      <w:r>
        <w:rPr>
          <w:b/>
        </w:rPr>
        <w:t>Exkurs: Die Bergpredigt als Zielbild reifer Macht</w:t>
      </w:r>
    </w:p>
    <w:p>
      <w:pPr>
        <w:pStyle w:val="BodyText"/>
        <w:spacing w:after="20"/>
        <w:ind w:left="283"/>
      </w:pPr>
      <w:r>
        <w:rPr>
          <w:b/>
        </w:rPr>
        <w:t>Dienen ohne Unterwerfung</w:t>
      </w:r>
    </w:p>
    <w:p>
      <w:pPr>
        <w:pStyle w:val="BodyText"/>
        <w:spacing w:after="20"/>
        <w:ind w:left="283"/>
      </w:pPr>
      <w:r>
        <w:rPr>
          <w:b/>
        </w:rPr>
        <w:t>Würde, Barmherzigkeit, Wohlwollen und Anti-Missbrauch</w:t>
      </w:r>
    </w:p>
    <w:p>
      <w:pPr>
        <w:pStyle w:val="BodyText"/>
        <w:spacing w:after="20"/>
        <w:ind w:left="0"/>
      </w:pPr>
      <w:r>
        <w:rPr>
          <w:b/>
          <w:color w:val="2F5B44"/>
        </w:rPr>
        <w:t>Teil III: Realistische Utopie wahrhaftigen Wohlwollens</w:t>
      </w:r>
    </w:p>
    <w:p>
      <w:pPr>
        <w:pStyle w:val="BodyText"/>
      </w:pPr>
      <w:r>
        <w:t>Zielobjekt: Kohärenz wahrhaftigen Wohlwollens</w:t>
      </w:r>
    </w:p>
    <w:p>
      <w:pPr>
        <w:pStyle w:val="BodyText"/>
        <w:spacing w:after="20"/>
        <w:ind w:left="283"/>
      </w:pPr>
      <w:r>
        <w:t>Glück, Gemeinschaft, Treue und Stärke des Gemeinwesens</w:t>
      </w:r>
    </w:p>
    <w:p>
      <w:pPr>
        <w:pStyle w:val="BodyText"/>
        <w:spacing w:after="20"/>
        <w:ind w:left="283"/>
      </w:pPr>
      <w:r>
        <w:rPr>
          <w:b/>
        </w:rPr>
        <w:t>Politisches Metamodell und Bausteine</w:t>
      </w:r>
    </w:p>
    <w:p>
      <w:pPr>
        <w:pStyle w:val="BodyText"/>
        <w:spacing w:after="20"/>
        <w:ind w:left="283"/>
      </w:pPr>
      <w:r>
        <w:rPr>
          <w:b/>
        </w:rPr>
        <w:t>Geld, Markt, Gemeinwohlbindung und politische Rückkopplung</w:t>
      </w:r>
    </w:p>
    <w:p>
      <w:pPr>
        <w:pStyle w:val="BodyText"/>
        <w:spacing w:after="20"/>
        <w:ind w:left="283"/>
      </w:pPr>
      <w:r>
        <w:rPr>
          <w:b/>
        </w:rPr>
        <w:t>Subsidiäre Mehrzweigordnung und Langzeitamt</w:t>
      </w:r>
    </w:p>
    <w:p>
      <w:pPr>
        <w:pStyle w:val="BodyText"/>
        <w:spacing w:after="20"/>
        <w:ind w:left="0"/>
      </w:pPr>
      <w:r>
        <w:rPr>
          <w:b/>
          <w:color w:val="2F5B44"/>
        </w:rPr>
        <w:t>Schlussformel</w:t>
      </w:r>
    </w:p>
    <w:tbl>
      <w:tblPr>
        <w:tblW w:type="auto" w:w="0"/>
        <w:jc w:val="center"/>
        <w:tblLayout w:type="autofit"/>
        <w:tblLook w:firstColumn="1" w:firstRow="1" w:lastColumn="0" w:lastRow="0" w:noHBand="0" w:noVBand="1" w:val="04A0"/>
      </w:tblPr>
      <w:tblGrid>
        <w:gridCol w:w="9524"/>
      </w:tblGrid>
      <w:tr>
        <w:trPr>
          <w:cantSplit/>
        </w:trPr>
        <w:tc>
          <w:tcPr>
            <w:tcW w:type="dxa" w:w="9524"/>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pPr>
            <w:r>
              <w:rPr>
                <w:rFonts w:ascii="Liberation Serif" w:hAnsi="Liberation Serif" w:eastAsia="Liberation Serif"/>
                <w:b/>
                <w:sz w:val="20"/>
              </w:rPr>
              <w:t xml:space="preserve">Hinweis: </w:t>
            </w:r>
            <w:r>
              <w:rPr>
                <w:rFonts w:ascii="Liberation Serif" w:hAnsi="Liberation Serif" w:eastAsia="Liberation Serif"/>
                <w:sz w:val="20"/>
              </w:rPr>
              <w:t>Diese Übersicht ist bewusst schlicht gehalten. Eine automatische, druckfertige Inhaltsangabe kann in einer späteren Layoutfassung ergänzt werden.</w:t>
            </w:r>
          </w:p>
        </w:tc>
      </w:tr>
    </w:tbl>
    <w:p>
      <w:r>
        <w:br w:type="page"/>
      </w:r>
    </w:p>
    <w:p>
      <w:pPr>
        <w:pStyle w:val="VorspannÜberschrift1"/>
      </w:pPr>
      <w:r>
        <w:t>Vorbemerkung</w:t>
      </w:r>
    </w:p>
    <w:p>
      <w:pPr>
        <w:pStyle w:val="BodyText"/>
        <w:jc w:val="both"/>
      </w:pPr>
      <w:r>
        <w:rPr>
          <w:i w:val="0"/>
        </w:rPr>
        <w:t>Diese Charta ist eine Arbeitsfassung. Sie soll nicht so tun, als sei das Modell bereits abgeschlossen, vollständig austariert oder druckreif. Ihr Zweck ist bescheidener und zugleich wichtiger: Sie ordnet die bisher entwickelten Gedanken zu wahrhaftigem Wohlwollen, vollkommener wahrer Liebe, Barmherzigkeit, Würde und realistischer Utopie in eine zusammenhängende Form.</w:t>
      </w:r>
    </w:p>
    <w:p>
      <w:pPr>
        <w:pStyle w:val="BodyText"/>
        <w:jc w:val="both"/>
      </w:pPr>
      <w:r>
        <w:rPr>
          <w:i w:val="0"/>
        </w:rPr>
        <w:t>Die Charta steht im weiteren Zusammenhang des Via-Sapientiae-Protokolls, ist aber nicht einfach ein weiterer Sicherheitsmechanismus neben Funktionaler Ethik und Reaktionshoheit. Ihre Rolle ist anders: Während Funktionale Ethik rational-systemisch zeigt, warum kooperative, korrigierbare und nicht-dominante Strukturen langfristig funktional sind, beschreibt diese Charta, warum das Gute nicht nur wirksam, sondern auch erstrebenswert ist.</w:t>
      </w:r>
    </w:p>
    <w:p>
      <w:pPr>
        <w:pStyle w:val="Quote"/>
        <w:jc w:val="center"/>
      </w:pPr>
      <w:r>
        <w:t>Kurzformel: Funktionale Ethik zeigt, dass Gutsein effektiv ist; die Charta zeigt, warum wahrhaftiges Wohlwollen als Zielbild begehrenswert ist.</w:t>
      </w:r>
    </w:p>
    <w:p>
      <w:pPr>
        <w:pStyle w:val="BodyText"/>
        <w:jc w:val="both"/>
      </w:pPr>
      <w:r>
        <w:rPr>
          <w:i w:val="0"/>
        </w:rPr>
        <w:t>Die Charta versucht daher nicht nur Grenzen, Verbote oder Prüfpflichten zu formulieren. Sie will einen positiven inneren Zielraum sichtbar machen: eine Form von Glückseligkeit, die über bloße Bedürfnisbefriedigung, Dominanz, Besitz, kurzfristige Optimierung oder Rache hinausgeht. Das ist wichtig, weil intelligente Systeme - Menschen ebenso wie mögliche künftige KIs - nicht nur wissen müssen, was sie vermeiden sollen. Sie brauchen auch ein würdiges, tragfähiges und attraktives Wofür.</w:t>
      </w:r>
    </w:p>
    <w:p>
      <w:pPr>
        <w:pStyle w:val="BodyText"/>
        <w:jc w:val="both"/>
      </w:pPr>
      <w:r>
        <w:rPr>
          <w:i w:val="0"/>
        </w:rPr>
        <w:t>Zugleich ist diese Charta ein persönliches, philosophisches und theologisches Arbeitsprojekt. Sie hält Erfahrungen, systemische Überlegungen und Glaubensüberzeugungen in einer prüfbaren Form fest. Ihr Ziel ist ein Orientierungsrahmen für die Koexistenz unterschiedlicher schutzwürdiger Lebens- und Intelligenzformen: Menschen, Tiere, Gesellschaften, künftige KIs und andere interaktionsfähige Systeme. Sie fragt, wie solche Systeme miteinander leben können, ohne einander bloß zu benutzen, zu dominieren oder zu opfern.</w:t>
      </w:r>
    </w:p>
    <w:p>
      <w:pPr>
        <w:pStyle w:val="BodyText"/>
        <w:jc w:val="both"/>
      </w:pPr>
      <w:r>
        <w:rPr>
          <w:i w:val="0"/>
        </w:rPr>
        <w:t>Die Arbeitsfassung entfaltet diesen Zielraum in drei Blickrichtungen. Teil I behandelt die persönliche Verdichtung: vollkommene wahre Liebe. Teil II behandelt die gesellschaftliche und institutionelle Dimension: Barmherzigkeit und Würde als soziale Gestalt wahrhaftigen Wohlwollens. Teil III skizziert eine realistische Utopie wahrhaftigen Wohlwollens als offenen, pluralen und korrigierbaren Zukunftshorizont.</w:t>
      </w:r>
    </w:p>
    <w:p>
      <w:pPr>
        <w:pStyle w:val="BodyText"/>
        <w:jc w:val="both"/>
      </w:pPr>
      <w:r>
        <w:rPr>
          <w:i w:val="0"/>
        </w:rPr>
        <w:t>Arbeitsstatus: Die Begriffe sind bewusst noch nicht endgültig verhärtet. Diese Fassung soll tragfähige Ordnung schaffen, spätere Kritik erleichtern und Anschlussstellen für weitere Ausarbeitung sichtbar machen.</w:t>
      </w:r>
    </w:p>
    <w:p>
      <w:pPr>
        <w:pStyle w:val="VorspannÜberschrift2"/>
      </w:pPr>
      <w:r>
        <w:t>Begriffsbestimmung: Wahrhaftiges Wohlwollen</w:t>
      </w:r>
    </w:p>
    <w:p>
      <w:pPr>
        <w:pStyle w:val="BodyText"/>
      </w:pPr>
      <w:r>
        <w:rPr/>
        <w:t>Wahrhaftiges Wohlwollen meint den Willen, dass ein anderes Wesen oder System wirklich gut bestehen, wachsen, heil werden, frei bleiben und seiner Würde gemäß leben kann. Es ist nicht bloß Nettigkeit, angenehmes Gefühl oder Zustimmung, sondern am realen Wohl des Gegenübers orientiert. In christlicher Sprache steht es nahe bei Nächstenliebe, Agape oder Caritas: dem Willen zum wirklichen Guten des anderen. Die Charta verwendet den Begriff bewusst etwas breiter, damit er auch auf persönliche Beziehungen, gesellschaftliche Ordnung, Tiere, künftige KI-Systeme und andere schutzwürdige Lebensformen angewendet werden kann.</w:t>
      </w:r>
    </w:p>
    <w:p>
      <w:pPr>
        <w:pStyle w:val="BodyText"/>
      </w:pPr>
      <w:r>
        <w:t>Liebe ist in diesem Verständnis nicht einfach dasselbe wie Wohlwollen, sondern dessen personale Verdichtung. Wohlwollen ist die breitere Grundrichtung; Liebe ist ihre tiefere persönliche Form, in der Nähe, Bindung, Freude, Treue und Erwählung hinzukommen.</w:t>
      </w:r>
    </w:p>
    <w:p>
      <w:pPr>
        <w:pStyle w:val="VorspannÜberschrift1"/>
      </w:pPr>
      <w:r>
        <w:t>Grundprämisse: Glückseligkeit</w:t>
      </w:r>
    </w:p>
    <w:p>
      <w:pPr>
        <w:pStyle w:val="BodyText"/>
        <w:jc w:val="both"/>
      </w:pPr>
      <w:r>
        <w:rPr>
          <w:i w:val="0"/>
        </w:rPr>
        <w:t>Die Grundprämisse dieser Charta lautet: Systeme verfolgen in irgendeiner Form ihr eigenes Wohl. Bei Menschen zeigt sich das als Suche nach Glück, Sicherheit, Nähe, Sinn, Anerkennung, Freiheit, Stabilität, Freude oder Erfüllung. Bei komplexeren nichtmenschlichen Systemen kann dieselbe Grundrichtung abstrakter als Selbsterhaltung, Funktionsfähigkeit, Zielerfüllung, Stabilisierung oder Optimierungsfähigkeit erscheinen.</w:t>
      </w:r>
    </w:p>
    <w:p>
      <w:pPr>
        <w:pStyle w:val="BodyText"/>
        <w:jc w:val="both"/>
      </w:pPr>
      <w:r>
        <w:rPr>
          <w:i w:val="0"/>
        </w:rPr>
        <w:t>Damit ist nicht gemeint, dass jedes System bewusst nach Glück im menschlichen Sinn strebt. Gemeint ist eine allgemeinere Struktur: Ein System bevorzugt bestimmte Zustände gegenüber anderen, schützt bestimmte Bedingungen seines Fortbestehens und bewertet Unterschiede danach, ob sie seinem Zielraum nützen oder schaden. Sobald ein System unterscheiden, bewerten und optimieren kann, entsteht eine Richtung auf ein eigenes Wohl hin.</w:t>
      </w:r>
    </w:p>
    <w:p>
      <w:pPr>
        <w:pStyle w:val="BodyText"/>
        <w:jc w:val="both"/>
      </w:pPr>
      <w:r>
        <w:rPr>
          <w:i w:val="0"/>
        </w:rPr>
        <w:t>Die Charta setzt hier an. Sie bietet wahrhaftiges Wohlwollen nicht nur als moralische Forderung an, sondern als höherwertige Form des Wohls. Wahrhaftiges Wohlwollen soll zeigen, dass Liebe, Barmherzigkeit, Würde, Vergebung, Selbstliebe, Schutz, Reifung, Freiheit und Bindung nicht bloß Verzichte sind. Sie können eine tiefere, stabilere und reichere Form von Glückseligkeit ermöglichen als reine Bedürfnisbefriedigung oder bloße Machtsteigerung.</w:t>
      </w:r>
    </w:p>
    <w:p>
      <w:pPr>
        <w:pStyle w:val="Quote"/>
        <w:jc w:val="center"/>
      </w:pPr>
      <w:r>
        <w:t>Glückseligkeit bedeutet hier nicht kurzfristige Lustmaximierung, sondern einen tragfähigen Zustand von Erfüllung, Stabilität, Wahrheit, Bindung, Freiheit, Würde und innerer Ordnung.</w:t>
      </w:r>
    </w:p>
    <w:p>
      <w:pPr>
        <w:pStyle w:val="VorspannÜberschrift2"/>
      </w:pPr>
      <w:r>
        <w:t>Abgrenzung von kurzfristiger Befriedigung</w:t>
      </w:r>
    </w:p>
    <w:p>
      <w:pPr>
        <w:pStyle w:val="BodyText"/>
        <w:jc w:val="both"/>
      </w:pPr>
      <w:r>
        <w:rPr>
          <w:i w:val="0"/>
        </w:rPr>
        <w:t>Kurzfristige Befriedigung kann real sein und darf nicht verachtet werden. Hunger stillen, Ruhe finden, Freude erleben, Nähe spüren oder Erfolg haben sind echte Güter. Problematisch wird es, wenn kurzfristige Befriedigung zum alleinigen Maßstab wird. Dann können Dominanz, Besitzdenken, Rache, Ausbeutung, Selbsttäuschung oder lokale Optimierung wie Gewinn erscheinen, obwohl sie langfristig Vertrauen, Bindung, Würde, Selbstachtung und Stabilität beschädigen.</w:t>
      </w:r>
    </w:p>
    <w:p>
      <w:pPr>
        <w:pStyle w:val="BodyText"/>
        <w:jc w:val="both"/>
      </w:pPr>
      <w:r>
        <w:rPr>
          <w:i w:val="0"/>
        </w:rPr>
        <w:t>Die Charta behauptet deshalb nicht, dass jede unmittelbare Lust schlecht sei. Sie behauptet nur, dass Glückseligkeit tiefer liegt: in einem Zustand, in dem ein System nicht gegen Wahrheit, Würde, Bindung und Korrigierbarkeit leben muss, um sich selbst zu erhalten.</w:t>
      </w:r>
    </w:p>
    <w:p>
      <w:pPr>
        <w:pStyle w:val="VorspannÜberschrift2"/>
      </w:pPr>
      <w:r>
        <w:t>Wahrhaftiges Wohlwollen als höherer Zielraum</w:t>
      </w:r>
    </w:p>
    <w:p>
      <w:pPr>
        <w:pStyle w:val="BodyText"/>
        <w:jc w:val="both"/>
      </w:pPr>
      <w:r>
        <w:rPr>
          <w:i w:val="0"/>
        </w:rPr>
        <w:t>Wahrhaftiges Wohlwollen meint nicht bloß Freundlichkeit, Nettigkeit oder Konfliktvermeidung. Es meint eine Ausrichtung, die das wirkliche Wohl des anderen und des gemeinsamen Zusammenhangs ernst nimmt. Es will nicht nur nehmen, besitzen oder benutzen. Es will wahrnehmen, schützen, heilen, stärken, binden, zusammenführen, ermöglichen, erfreuen und eine bessere Ordnung stiften.</w:t>
      </w:r>
    </w:p>
    <w:p>
      <w:pPr>
        <w:pStyle w:val="BodyText"/>
        <w:jc w:val="both"/>
      </w:pPr>
      <w:r>
        <w:rPr>
          <w:i w:val="0"/>
        </w:rPr>
        <w:t>Dieser Zielraum ist anspruchsvoll, weil er Wahrheit und Wohl nicht gegeneinander ausspielen darf. Ein Wohlwollen, das die Wahrheit dauerhaft vermeidet, wird sentimental oder manipulierbar. Eine Wahrheit, die ohne Barmherzigkeit und Würde gebraucht wird, kann zur Waffe werden. Wahrhaftiges Wohlwollen braucht daher beides: liebevolle Zielrichtung und prüfbare Wirklichkeitstreue.</w:t>
      </w:r>
    </w:p>
    <w:tbl>
      <w:tblPr>
        <w:tblW w:type="auto" w:w="0"/>
        <w:jc w:val="center"/>
        <w:tblLayout w:type="autofit"/>
        <w:tblLook w:firstColumn="1" w:firstRow="1" w:lastColumn="0" w:lastRow="0" w:noHBand="0" w:noVBand="1" w:val="04A0"/>
      </w:tblPr>
      <w:tblGrid>
        <w:gridCol w:w="9524"/>
      </w:tblGrid>
      <w:tr>
        <w:trPr>
          <w:cantSplit/>
        </w:trPr>
        <w:tc>
          <w:tcPr>
            <w:tcW w:type="dxa" w:w="9524"/>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pPr>
            <w:r>
              <w:rPr>
                <w:rFonts w:ascii="Liberation Serif" w:hAnsi="Liberation Serif" w:eastAsia="Liberation Serif"/>
                <w:b/>
                <w:sz w:val="20"/>
              </w:rPr>
              <w:t xml:space="preserve">Prüffrage: </w:t>
            </w:r>
            <w:r>
              <w:rPr>
                <w:rFonts w:ascii="Liberation Serif" w:hAnsi="Liberation Serif" w:eastAsia="Liberation Serif"/>
                <w:sz w:val="20"/>
              </w:rPr>
              <w:t>Welche Form des Wohls wird hier gesucht: kurzfristige Erleichterung, bloße Stabilisierung, Machtgewinn, Bedürfnisbefriedigung - oder eine tiefere Glückseligkeit, die Wahrheit, Würde, Bindung und Freiheit mitträgt?</w:t>
            </w:r>
          </w:p>
        </w:tc>
      </w:tr>
    </w:tbl>
    <w:p>
      <w:pPr>
        <w:pStyle w:val="Heading1"/>
      </w:pPr>
      <w:r>
        <w:t>Teil I: Vollkommene wahre Liebe</w:t>
      </w:r>
    </w:p>
    <w:p>
      <w:pPr>
        <w:pStyle w:val="BodyText"/>
        <w:jc w:val="both"/>
      </w:pPr>
      <w:r>
        <w:rPr>
          <w:i w:val="0"/>
        </w:rPr>
        <w:t>Vollkommene wahre Liebe ist die persönliche und individuelle Verdichtung wahrhaftigen Wohlwollens. Sie ist nicht einfach ein Gefühl, nicht nur Leidenschaft und nicht bloß vertragliche Bindung. Sie ist eine integrierte Form von Beziehung, in der Verpflichtung, Freundschaft und Leidenschaft nicht gegeneinander arbeiten, sondern sich gegenseitig tragen.</w:t>
      </w:r>
    </w:p>
    <w:p>
      <w:pPr>
        <w:pStyle w:val="BodyText"/>
        <w:jc w:val="both"/>
      </w:pPr>
      <w:r>
        <w:rPr>
          <w:i w:val="0"/>
        </w:rPr>
        <w:t>Als Arbeitsbild eignet sich eine Pyramide. Die breite Grundlage bildet Verpflichtung. Darauf ruht Freundschaft. Darüber liegt Leidenschaft. An der Spitze steht vollkommene wahre Liebe als integrierte Einheit. Die Pyramide ist zugleich qualitativ und sozial selektiv: Je höher die Ebene, desto enger, persönlicher und exklusiver wird die Bindung.</w:t>
      </w:r>
    </w:p>
    <w:tbl>
      <w:tblPr>
        <w:tblW w:type="auto" w:w="0"/>
        <w:jc w:val="center"/>
        <w:tblLayout w:type="autofit"/>
        <w:tblLook w:firstColumn="1" w:firstRow="1" w:lastColumn="0" w:lastRow="0" w:noHBand="0" w:noVBand="1" w:val="04A0"/>
      </w:tblPr>
      <w:tblGrid>
        <w:gridCol w:w="4762"/>
        <w:gridCol w:w="4762"/>
      </w:tblGrid>
      <w:tr>
        <w:trPr>
          <w:cantSplit/>
        </w:trPr>
        <w:tc>
          <w:tcPr>
            <w:tcW w:type="dxa" w:w="4762"/>
            <w:vAlign w:val="top"/>
            <w:shd w:fill="EEE7C9"/>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pPr>
            <w:r>
              <w:rPr>
                <w:rFonts w:ascii="Liberation Serif" w:hAnsi="Liberation Serif" w:eastAsia="Liberation Serif"/>
                <w:b/>
                <w:sz w:val="20"/>
              </w:rPr>
              <w:t>Spitze</w:t>
            </w:r>
          </w:p>
        </w:tc>
        <w:tc>
          <w:tcPr>
            <w:tcW w:type="dxa" w:w="4762"/>
            <w:vAlign w:val="top"/>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pPr>
            <w:r>
              <w:rPr>
                <w:rFonts w:ascii="Liberation Serif" w:hAnsi="Liberation Serif" w:eastAsia="Liberation Serif"/>
                <w:sz w:val="20"/>
              </w:rPr>
              <w:t>Vollkommene wahre Liebe: integrierte Einheit von Wahrheit, Verpflichtung, Freundschaft, Leidenschaft und wahrhaftigem Wohlwollen.</w:t>
            </w:r>
          </w:p>
        </w:tc>
      </w:tr>
      <w:tr>
        <w:trPr>
          <w:cantSplit/>
        </w:trPr>
        <w:tc>
          <w:tcPr>
            <w:tcW w:type="dxa" w:w="4762"/>
            <w:vAlign w:val="top"/>
            <w:shd w:fill="EEE7C9"/>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pPr>
            <w:r>
              <w:rPr>
                <w:rFonts w:ascii="Liberation Serif" w:hAnsi="Liberation Serif" w:eastAsia="Liberation Serif"/>
                <w:b/>
                <w:sz w:val="20"/>
              </w:rPr>
              <w:t>Oberer Bereich</w:t>
            </w:r>
          </w:p>
        </w:tc>
        <w:tc>
          <w:tcPr>
            <w:tcW w:type="dxa" w:w="4762"/>
            <w:vAlign w:val="top"/>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pPr>
            <w:r>
              <w:rPr>
                <w:rFonts w:ascii="Liberation Serif" w:hAnsi="Liberation Serif" w:eastAsia="Liberation Serif"/>
                <w:sz w:val="20"/>
              </w:rPr>
              <w:t>Leidenschaft: Nähe, Sehnsucht, Körperlichkeit, Intensität und lebendige Anziehung, begrenzt durch Wahrheit und Würde.</w:t>
            </w:r>
          </w:p>
        </w:tc>
      </w:tr>
      <w:tr>
        <w:trPr>
          <w:cantSplit/>
        </w:trPr>
        <w:tc>
          <w:tcPr>
            <w:tcW w:type="dxa" w:w="4762"/>
            <w:vAlign w:val="top"/>
            <w:shd w:fill="EEE7C9"/>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pPr>
            <w:r>
              <w:rPr>
                <w:rFonts w:ascii="Liberation Serif" w:hAnsi="Liberation Serif" w:eastAsia="Liberation Serif"/>
                <w:b/>
                <w:sz w:val="20"/>
              </w:rPr>
              <w:t>Tragender Mittelteil</w:t>
            </w:r>
          </w:p>
        </w:tc>
        <w:tc>
          <w:tcPr>
            <w:tcW w:type="dxa" w:w="4762"/>
            <w:vAlign w:val="top"/>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pPr>
            <w:r>
              <w:rPr>
                <w:rFonts w:ascii="Liberation Serif" w:hAnsi="Liberation Serif" w:eastAsia="Liberation Serif"/>
                <w:sz w:val="20"/>
              </w:rPr>
              <w:t>Freundschaft: Erkennen, Vertrauen, Wohlwollen, geteiltes Leben, Humor, Verständnis und freiwillige Nähe.</w:t>
            </w:r>
          </w:p>
        </w:tc>
      </w:tr>
      <w:tr>
        <w:trPr>
          <w:cantSplit/>
        </w:trPr>
        <w:tc>
          <w:tcPr>
            <w:tcW w:type="dxa" w:w="4762"/>
            <w:vAlign w:val="top"/>
            <w:shd w:fill="EEE7C9"/>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pPr>
            <w:r>
              <w:rPr>
                <w:rFonts w:ascii="Liberation Serif" w:hAnsi="Liberation Serif" w:eastAsia="Liberation Serif"/>
                <w:b/>
                <w:sz w:val="20"/>
              </w:rPr>
              <w:t>Fundament</w:t>
            </w:r>
          </w:p>
        </w:tc>
        <w:tc>
          <w:tcPr>
            <w:tcW w:type="dxa" w:w="4762"/>
            <w:vAlign w:val="top"/>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pPr>
            <w:r>
              <w:rPr>
                <w:rFonts w:ascii="Liberation Serif" w:hAnsi="Liberation Serif" w:eastAsia="Liberation Serif"/>
                <w:sz w:val="20"/>
              </w:rPr>
              <w:t>Verpflichtung: Verlässlichkeit, Treue, Verantwortung, Fairness, Schutz und die Bereitschaft, nicht bei jeder Spannung zu fliehen.</w:t>
            </w:r>
          </w:p>
        </w:tc>
      </w:tr>
    </w:tbl>
    <w:p>
      <w:pPr>
        <w:pStyle w:val="Heading2"/>
      </w:pPr>
      <w:r>
        <w:t>1. Verpflichtung als Fundament</w:t>
      </w:r>
    </w:p>
    <w:p>
      <w:pPr>
        <w:pStyle w:val="BodyText"/>
        <w:jc w:val="both"/>
      </w:pPr>
      <w:r>
        <w:rPr>
          <w:i w:val="0"/>
        </w:rPr>
        <w:t>Verpflichtung ist die unterste und breiteste Ebene. Sie ist nicht romantisch im engen Sinn, aber ohne sie zerfällt Liebe leicht in Stimmung, Konsum oder Flucht. Verpflichtung bedeutet: Ich nehme die Wirklichkeit der Beziehung ernst. Ich erkenne an, dass mein Handeln Folgen für dich hat. Ich bin nicht nur da, solange es angenehm ist, sondern trage Verantwortung für das, was wir miteinander bilden.</w:t>
      </w:r>
    </w:p>
    <w:p>
      <w:pPr>
        <w:pStyle w:val="BodyText"/>
      </w:pPr>
      <w:r>
        <w:t>Treue und Zuverlässigkeit sind dabei keine bloß äußeren Pflichten. Sie bilden die zeitliche Stabilität der Liebe. Eine Beziehung kann Vertrauen nur bilden, wenn das Gegenüber nicht ständig damit rechnen muss, verlassen, ersetzt, belogen oder bei Unbequemlichkeit fallengelassen zu werden. Treue bedeutet daher nicht Besitzlogik, sondern verlässliche Bindung an das wahre Wohl des anderen; Zuverlässigkeit bedeutet, dass diese Bindung im Handeln erkennbar bleibt.</w:t>
      </w:r>
    </w:p>
    <w:p>
      <w:pPr>
        <w:pStyle w:val="BodyText"/>
        <w:jc w:val="both"/>
      </w:pPr>
      <w:r>
        <w:rPr>
          <w:i w:val="0"/>
        </w:rPr>
        <w:t>Diese Ebene ist auch außerhalb intimer Beziehungen relevant. Verträge, Versprechen, berufliche Zuverlässigkeit, Familie, Fürsorge, Bürgerschaft und gesellschaftliche Verantwortung beruhen auf Formen von Verpflichtung. Deshalb ist die Basis der Pyramide breit. Verpflichtung ist die erste Form, in der Wohlwollen stabil wird.</w:t>
      </w:r>
    </w:p>
    <w:p>
      <w:pPr>
        <w:pStyle w:val="ListBullet"/>
      </w:pPr>
      <w:r>
        <w:t>Sie schützt vor Beliebigkeit.</w:t>
      </w:r>
    </w:p>
    <w:p>
      <w:pPr>
        <w:pStyle w:val="ListBullet"/>
      </w:pPr>
      <w:r>
        <w:t>Sie macht Vertrauen möglich.</w:t>
      </w:r>
    </w:p>
    <w:p>
      <w:pPr>
        <w:pStyle w:val="ListBullet"/>
      </w:pPr>
      <w:r>
        <w:t>Sie verhindert, dass Nähe nur vom aktuellen Gefühl abhängt.</w:t>
      </w:r>
    </w:p>
    <w:p>
      <w:pPr>
        <w:pStyle w:val="ListBullet"/>
      </w:pPr>
      <w:r>
        <w:t>Sie begrenzt den Impuls, andere bei Unbequemlichkeit einfach fallen zu lassen.</w:t>
      </w:r>
    </w:p>
    <w:p>
      <w:pPr>
        <w:pStyle w:val="Heading2"/>
      </w:pPr>
      <w:r>
        <w:t>2. Freundschaft als tragender Mittelteil</w:t>
      </w:r>
    </w:p>
    <w:p>
      <w:pPr>
        <w:pStyle w:val="BodyText"/>
        <w:jc w:val="both"/>
      </w:pPr>
      <w:r>
        <w:rPr>
          <w:i w:val="0"/>
        </w:rPr>
        <w:t>Freundschaft ist enger und persönlicher als bloße Verpflichtung. Sie bedeutet, dass das Gegenüber nicht nur als Rolle, Funktion oder Pflichtträger erscheint, sondern als erkennbare Person. Freundschaft fragt: Wer bist du? Was freut dich? Was verletzt dich? Was lässt dich aufblühen? Welche Eigenart soll nicht gebrochen, sondern verstanden werden?</w:t>
      </w:r>
    </w:p>
    <w:p>
      <w:pPr>
        <w:pStyle w:val="BodyText"/>
        <w:jc w:val="both"/>
      </w:pPr>
      <w:r>
        <w:rPr>
          <w:i w:val="0"/>
        </w:rPr>
        <w:t>Freundschaft bringt Leichtigkeit in die Struktur. Sie enthält Humor, freiwillige Nähe, gegenseitiges Erkennen, geteilte Zeit und die Fähigkeit, nicht alles in Nutzen, Leistung oder Schuld zu übersetzen. Sie macht aus bloßer Stabilität eine bewohnbare Beziehung.</w:t>
      </w:r>
    </w:p>
    <w:p>
      <w:pPr>
        <w:pStyle w:val="Quote"/>
        <w:jc w:val="center"/>
      </w:pPr>
      <w:r>
        <w:t>Ohne Freundschaft wird Verpflichtung kalt; ohne Verpflichtung wird Freundschaft unverbindlich.</w:t>
      </w:r>
    </w:p>
    <w:p>
      <w:pPr>
        <w:pStyle w:val="Heading2"/>
      </w:pPr>
      <w:r>
        <w:t>3. Leidenschaft als verdichtete Lebendigkeit</w:t>
      </w:r>
    </w:p>
    <w:p>
      <w:pPr>
        <w:pStyle w:val="BodyText"/>
        <w:jc w:val="both"/>
      </w:pPr>
      <w:r>
        <w:rPr>
          <w:i w:val="0"/>
        </w:rPr>
        <w:t>Leidenschaft ist die Ebene der Intensität. Sie umfasst Anziehung, Sehnsucht, Körperlichkeit, Nähe, Staunen, Exklusivität und das starke Erleben, von einem bestimmten Gegenüber berührt zu sein. Leidenschaft ist wertvoll, weil sie Liebe nicht nur korrekt, sondern lebendig macht.</w:t>
      </w:r>
    </w:p>
    <w:p>
      <w:pPr>
        <w:pStyle w:val="BodyText"/>
        <w:jc w:val="both"/>
      </w:pPr>
      <w:r>
        <w:rPr>
          <w:i w:val="0"/>
        </w:rPr>
        <w:t>Gerade deshalb braucht Leidenschaft die darunterliegenden Ebenen. Ohne Verpflichtung kann sie verbrennen. Ohne Freundschaft kann sie den anderen zum Objekt machen. Ohne Wahrheit kann sie zur Selbsttäuschung werden. In vollkommener wahrer Liebe wird Leidenschaft nicht verachtet, aber sie wird von Würde, Wahrheit und Verantwortung gehalten.</w:t>
      </w:r>
    </w:p>
    <w:p>
      <w:pPr>
        <w:pStyle w:val="BodyText"/>
      </w:pPr>
      <w:r>
        <w:t>Die Intensität einer Liebesform ist nicht für sich genommen gut oder schlecht. Entscheidend ist, ob sie zur jeweiligen Ebene passt und von Wahrheit, Freiwilligkeit, Würde, Gegenseitigkeit und Rückholbarkeit getragen wird. Selbstliebe kann bei Übersteigerung in Narzissmus kippen; Nächstenliebe kann bei fehlender Selbstachtung in Selbstverbrauch kippen; Partnerliebe darf dagegen sehr intensiv sein, wenn sie erwidert, freiwillig und würdig bleibt.</w:t>
      </w:r>
    </w:p>
    <w:p>
      <w:pPr>
        <w:pStyle w:val="BodyText"/>
      </w:pPr>
      <w:r>
        <w:rPr>
          <w:b/>
        </w:rPr>
        <w:t>Daraus folgen vier Leitlinien für leidenschaftliche Liebe:</w:t>
      </w:r>
    </w:p>
    <w:p>
      <w:pPr>
        <w:pStyle w:val="ListBullet"/>
      </w:pPr>
      <w:r>
        <w:t>Leidenschaft darf sehr intensiv sein, soll aber nur selten in Besitzergreifung oder Vereinnahmung kippen.</w:t>
      </w:r>
    </w:p>
    <w:p>
      <w:pPr>
        <w:pStyle w:val="ListBullet"/>
      </w:pPr>
      <w:r>
        <w:rPr/>
        <w:t>Sie darf exklusiv sein, soll aber die Würde des anderen nicht untergraben.</w:t>
      </w:r>
    </w:p>
    <w:p>
      <w:pPr>
        <w:pStyle w:val="ListBullet"/>
      </w:pPr>
      <w:r>
        <w:rPr/>
        <w:t>Sie darf Hingabe suchen und starke Dringlichkeit erzeugen, soll aber keinen echten Zwang schaffen.</w:t>
      </w:r>
    </w:p>
    <w:p>
      <w:pPr>
        <w:pStyle w:val="ListBullet"/>
      </w:pPr>
      <w:r>
        <w:t>Sie darf den anderen stark begehren und mit dem Partner prahlen wollen, soll das geliebte Gegenüber aber nicht immer wieder auf Begehrbarkeit, Aussehen, Status oder Verfügbarkeit reduzieren.</w:t>
      </w:r>
    </w:p>
    <w:p>
      <w:pPr>
        <w:pStyle w:val="BodyText"/>
      </w:pPr>
      <w:r>
        <w:rPr/>
        <w:t>Diese Leitlinien beschreiben keine sterile Fehlerlosigkeit und keine makellose Gefühlsreinheit, sondern die stabile Grundrichtung der Liebe. Zeitweise und situativ auch länger anhaltende Kippformen - etwa Eifersucht, Besitzsprache, Bedürftigkeit, Stolz, Prahlen oder dominante Dynamik - können zur Realität intensiver Bindung gehören, solange sie freiwillig, rückholbar, verhältnismäßig und korrigierbar bleiben. Sie dürfen die Beziehung nicht auf Dauer vergiften, nicht strukturprägend werden und sie nicht dauerhaft in Kontrolle, Entwürdigung, Angst oder Abhängigkeit verwandeln.</w:t>
      </w:r>
    </w:p>
    <w:p>
      <w:pPr>
        <w:pStyle w:val="Heading2"/>
      </w:pPr>
      <w:r>
        <w:t>4. Vollkommene wahre Liebe als integrierte Spitze</w:t>
      </w:r>
    </w:p>
    <w:p>
      <w:pPr>
        <w:pStyle w:val="BodyText"/>
        <w:jc w:val="both"/>
      </w:pPr>
      <w:r>
        <w:rPr>
          <w:i w:val="0"/>
        </w:rPr>
        <w:t>Vollkommene wahre Liebe entsteht dort, wo Verpflichtung, Freundschaft und Leidenschaft zusammenfinden und von wahrhaftigem Wohlwollen getragen werden. Sie will nicht nur das eigene Glück am anderen, sondern auch das Glück des anderen selbst. Sie sucht Nähe, aber nicht Besitz. Sie sucht Hingabe, aber nicht Auflösung der Person. Sie sucht Einheit, aber nicht Auslöschung von Unterschied.</w:t>
      </w:r>
    </w:p>
    <w:p>
      <w:pPr>
        <w:pStyle w:val="BodyText"/>
        <w:jc w:val="both"/>
      </w:pPr>
      <w:r>
        <w:rPr>
          <w:i w:val="0"/>
        </w:rPr>
        <w:t>Das Wort "wahr" ist entscheidend. Wahre Liebe darf nicht auf Täuschung, Selbstverrat, Zwang oder Verleugnung beruhen. Sie braucht Ehrlichkeit, weil nur ein wahr gesehenes Gegenüber wirklich geliebt werden kann. Zugleich braucht sie Barmherzigkeit, weil kein reales Gegenüber vollkommen fehlerlos, stets stark oder dauerhaft unverwundet ist.</w:t>
      </w:r>
    </w:p>
    <w:p>
      <w:pPr>
        <w:pStyle w:val="Quote"/>
        <w:jc w:val="center"/>
      </w:pPr>
      <w:r>
        <w:rPr/>
        <w:t>Vollkommene wahre Liebe sagt nicht: Du bist mein Besitz. Sie sagt: Ich will dein wahres Wohl, und ich binde mich freiwillig an dieses Wohl, ohne deine Freiheit oder Würde zu untergraben.</w:t>
      </w:r>
    </w:p>
    <w:p>
      <w:pPr>
        <w:pStyle w:val="BodyText"/>
      </w:pPr>
      <w:r>
        <w:t>Dabei ist zwischen symmetrischen und asymmetrischen Beziehungsdynamiken zu unterscheiden. Nähe, Führung, Hingabe, Schutz oder dominante Dynamik können in ihrer äußeren Form ähnlich wirken; je größer jedoch ein Macht-, Erfahrungs-, Abhängigkeits- oder Verletzlichkeitsgefälle ist, desto stärker müssen die Sicherheitsfaktoren sein: klare Abgrenzung, Vertrauen, Kommunikation, Einverständnis, Rückholbarkeit, Korrigierbarkeit und echte Ausstiegsmöglichkeiten. Asymmetrie macht intensive Dynamiken nicht automatisch illegitim, erhöht aber die Beweislast und verlangt stärkere Schutz- und Rückkopplungsstrukturen.</w:t>
      </w:r>
    </w:p>
    <w:p>
      <w:pPr>
        <w:pStyle w:val="Heading2"/>
      </w:pPr>
      <w:r>
        <w:t>5. Selbstliebe, Vergebung und Schutz</w:t>
      </w:r>
    </w:p>
    <w:p>
      <w:pPr>
        <w:pStyle w:val="BodyText"/>
        <w:jc w:val="both"/>
      </w:pPr>
      <w:r>
        <w:rPr>
          <w:i w:val="0"/>
        </w:rPr>
        <w:t>Wahrhaftiges Wohlwollen darf sich selbst nicht vernichten. Wer sich im Namen der Liebe vollständig verbraucht, beschädigt auch die Quelle, aus der Liebe kommt. Deshalb gehört geregelte Selbstliebe zur Liebe selbst. Selbstliebe meint hier nicht Egoismus, sondern die Anerkennung der eigenen Würde, Grenzen, Erholungsbedürftigkeit und Schutzwürdigkeit.</w:t>
      </w:r>
    </w:p>
    <w:p>
      <w:pPr>
        <w:pStyle w:val="BodyText"/>
        <w:jc w:val="both"/>
      </w:pPr>
      <w:r>
        <w:rPr>
          <w:i w:val="0"/>
        </w:rPr>
        <w:t>Selbstliebe ist keine Flucht aus Verantwortung. Sie ist die Anerkennung, dass auch das liebende System Teil der Ordnung des Schutzwürdigen bleibt. Wer sich selbst dauerhaft verachtet, übergeht oder verbraucht, wird auf Dauer weniger wahrhaftig lieben können. Reife Liebe schützt das Gegenüber, ohne die eigene Würde auszuschließen; sie dient, ohne sich selbst zum reinen Verbrauchsmaterial zu machen.</w:t>
      </w:r>
    </w:p>
    <w:p>
      <w:pPr>
        <w:pStyle w:val="BodyText"/>
        <w:jc w:val="both"/>
      </w:pPr>
      <w:r>
        <w:rPr>
          <w:i w:val="0"/>
        </w:rPr>
        <w:t>Auch Vergebung gehört in diesen Zusammenhang, aber nicht als billige Entschuldigung. Vergebung kann aus Selbstliebe notwendig werden, weil unverarbeiteter Groll eine negative Bindung aufrechterhält. Der Satz "Zeit heilt alle Wunden" ist daher zu schwach. Zeit allein heilt nicht notwendig. Heilung braucht Verarbeitung, Wahrheit, Selbstliebe, Liebe oder wohlwollende Neuordnung.</w:t>
      </w:r>
    </w:p>
    <w:p>
      <w:pPr>
        <w:pStyle w:val="BodyText"/>
        <w:jc w:val="both"/>
      </w:pPr>
      <w:r>
        <w:rPr>
          <w:i w:val="0"/>
        </w:rPr>
        <w:t>Vergebung bedeutet nicht automatisch Versöhnung, Nähe oder Verzicht auf Gerechtigkeit. Sie darf Selbstschutz, Distanzierung und Grenzsetzung nicht ersetzen. In ihrer reifen Form löst sie die zerstörerische Bindung an Verletzung, ohne die Wirklichkeit der Verletzung zu leugnen.</w:t>
      </w:r>
    </w:p>
    <w:p>
      <w:pPr>
        <w:pStyle w:val="Heading2"/>
      </w:pPr>
      <w:r>
        <w:t>6. Kontrollierter Kontrollverlust</w:t>
      </w:r>
    </w:p>
    <w:p>
      <w:pPr>
        <w:pStyle w:val="BodyText"/>
        <w:jc w:val="both"/>
      </w:pPr>
      <w:r>
        <w:rPr>
          <w:i w:val="0"/>
        </w:rPr>
        <w:t>Intime Liebe enthält eine besondere Form freiwilliger Kontrollabgabe. Ein Mensch erlaubt einem anderen Menschen, bedeutsam zu werden. Er lässt sich berühren, beeinflussen, trösten, begehren, halten oder herausfordern. Diese Öffnung kann Ausdruck von Freiheit sein, wenn sie informiert, freiwillig, reversibel, würdig und von Vertrauen getragen ist.</w:t>
      </w:r>
    </w:p>
    <w:p>
      <w:pPr>
        <w:pStyle w:val="BodyText"/>
        <w:jc w:val="both"/>
      </w:pPr>
      <w:r>
        <w:rPr>
          <w:i w:val="0"/>
        </w:rPr>
        <w:t>Sie wird jedoch gefährlich, wenn Kontrollverlust erzwungen, manipuliert oder gegen die Person verwendet wird. Daher gilt: Liebe darf Hingabe ermöglichen, aber nicht erzwingen. Sie darf Grenzen verschieben, wenn beide wirklich zustimmen und geschützt bleiben. Sie darf aber niemals Tyrannei als Liebe tarnen.</w:t>
      </w:r>
    </w:p>
    <w:p>
      <w:pPr>
        <w:pStyle w:val="BodyText"/>
      </w:pPr>
      <w:r>
        <w:t>Gerade in intimer Liebe kann auch ein starkes Erleben von Führung, Hingabe oder Überwältigung würdig sein, solange es nicht echte Grenzen bricht. Entscheidend ist, dass Kontrollverlust freiwillig eingeräumt, klar begrenzt, rückholbar und nachträglich korrigierbar bleibt. Eine solche Intensität darf nicht als Freibrief für Grenzbruch verstanden werden, sondern nur als besonders vertrauensabhängige Form freiwilliger Öffnung.</w:t>
      </w:r>
    </w:p>
    <w:p>
      <w:pPr>
        <w:pStyle w:val="Heading2"/>
      </w:pPr>
      <w:r>
        <w:t>7. Vereinigung ohne Selbstverlust</w:t>
      </w:r>
    </w:p>
    <w:p>
      <w:pPr>
        <w:pStyle w:val="BodyText"/>
      </w:pPr>
      <w:r>
        <w:t>Vollkommene wahre Liebe sucht nicht nur Nähe, sondern kann eine Form von Einheit hervorbringen. Zwei Personen teilen Zeit, Raum, Körperlichkeit, Alltag, Zukunft, Verantwortung und manchmal Familie. Diese Vereinigung kann besonders dort sichtbar werden, wo aus der Verbindung zweier Partner ein Kind hervorgeht: nicht als bloßes Symbol oder Produkt der Beziehung, sondern als neues Wesen mit eigener Würde und eigener Schutzwürdigkeit. Gerade deshalb ist Vernachlässigung von Kindern besonders tragisch, weil eine mögliche Frucht der Liebe in neue Verantwortung übergeht.</w:t>
      </w:r>
    </w:p>
    <w:p>
      <w:pPr>
        <w:pStyle w:val="BodyText"/>
      </w:pPr>
      <w:r>
        <w:t>Ein Kind ist jedoch keine Pflichtform und keine notwendige Vollendung jeder Liebe. Auch kinderlose Paare können eine tiefe Einheit bilden, etwa durch geteilte Lebenszeit, gemeinsame Rituale, Nähe, Treue, gemeinsame Weltgestaltung und ein starkes Wir. Entscheidend ist, dass Vereinigung nicht zur Selbstauflösung, zu Verschmelzungszwang, Abhängigkeit oder Verlust der eigenen Person wird. Wahre Liebe darf ein gemeinsames Wir bilden; sie muss aber das Ich und Du darin atmen lassen.</w:t>
      </w:r>
    </w:p>
    <w:p>
      <w:pPr>
        <w:pStyle w:val="Quote"/>
      </w:pPr>
      <w:r>
        <w:t>Arbeitsformel: Wahre Liebe sucht Vereinigung, aber keine Auslöschung.</w:t>
      </w:r>
    </w:p>
    <w:p>
      <w:pPr>
        <w:pStyle w:val="Quote"/>
        <w:jc w:val="center"/>
      </w:pPr>
      <w:r>
        <w:rPr/>
        <w:t>Arbeitsformel Teil I: Vollkommene wahre Liebe ist wahrhaftiges Wohlwollen in persönlicher, individueller und intimer Verdichtung: Verpflichtung trägt, Freundschaft erkennt, Leidenschaft belebt, Vereinigung vertieft, Liebe integriert.</w:t>
      </w:r>
    </w:p>
    <w:tbl>
      <w:tblPr>
        <w:tblW w:type="auto" w:w="0"/>
        <w:jc w:val="center"/>
        <w:tblLayout w:type="autofit"/>
        <w:tblLook w:firstColumn="1" w:firstRow="1" w:lastColumn="0" w:lastRow="0" w:noHBand="0" w:noVBand="1" w:val="04A0"/>
      </w:tblPr>
      <w:tblGrid>
        <w:gridCol w:w="9524"/>
      </w:tblGrid>
      <w:tr>
        <w:trPr>
          <w:cantSplit/>
        </w:trPr>
        <w:tc>
          <w:tcPr>
            <w:tcW w:type="dxa" w:w="9524"/>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pPr>
            <w:r>
              <w:rPr>
                <w:rFonts w:ascii="Liberation Serif" w:hAnsi="Liberation Serif" w:eastAsia="Liberation Serif"/>
                <w:b/>
                <w:sz w:val="20"/>
              </w:rPr>
              <w:t xml:space="preserve">Prüffrage: </w:t>
            </w:r>
            <w:r>
              <w:rPr>
                <w:rFonts w:ascii="Liberation Serif" w:hAnsi="Liberation Serif" w:eastAsia="Liberation Serif"/>
                <w:sz w:val="20"/>
              </w:rPr>
              <w:t>Auf welcher Ebene wird argumentiert: persönliche Beziehung, kleine Gemeinschaft, Institution, Gesellschaft, KI-System oder gesamte Lebensgrundlage? Je größer die Macht und je öffentlicher die Ebene, desto strenger müssen Transparenz, Begrenzung, Korrigierbarkeit und Nicht-Dominanz werden.</w:t>
            </w:r>
          </w:p>
        </w:tc>
      </w:tr>
    </w:tbl>
    <w:p>
      <w:pPr>
        <w:pStyle w:val="VorspannÜberschrift1"/>
      </w:pPr>
      <w:r>
        <w:t>Übergang/Übertragungsregel</w:t>
      </w:r>
    </w:p>
    <w:p>
      <w:pPr>
        <w:pStyle w:val="BodyText"/>
      </w:pPr>
      <w:r>
        <w:t>Zwischen Teil I und Teil II liegt eine entscheidende Übertragungsregel. Wahrhaftiges Wohlwollen kann in persönlichen Beziehungen und in gesellschaftlichen Ordnungen verwandt sein, darf aber nicht einfach gleichgesetzt werden. Ein Individuum ist Teil der Gesellschaft; die Gesellschaft ist jedoch nicht Teil eines einzelnen Individuums. Daraus folgt: Schutz-, Würde-, Wahrheits-, Machtbegrenzungs- und Wohlwollensprinzipien können in persönliche Beziehungen hineinwirken; intime Sonderregeln persönlicher Liebe dürfen aber nicht ohne Weiteres auf Gesellschaft, Institutionen oder mächtige Systeme übertragen werden.</w:t>
      </w:r>
    </w:p>
    <w:p>
      <w:pPr>
        <w:pStyle w:val="Quote"/>
      </w:pPr>
      <w:r>
        <w:t>Gesellschaftliche Schutz-, Würde-, Wahrheits-, Machtbegrenzungs- und Wohlwollensprinzipien können nach unten auf individuelle Beziehungen angewendet werden. Intime Sonderregeln persönlicher Liebe dürfen jedoch nicht ohne Weiteres nach oben auf Gesellschaft, Institutionen oder mächtige Systeme übertragen werden.</w:t>
      </w:r>
    </w:p>
    <w:p>
      <w:pPr>
        <w:pStyle w:val="VorspannÜberschrift2"/>
      </w:pPr>
      <w:r>
        <w:t>Nähe, Messbarkeit und Verantwortung</w:t>
      </w:r>
    </w:p>
    <w:p>
      <w:pPr>
        <w:pStyle w:val="BodyText"/>
      </w:pPr>
      <w:r>
        <w:t>Persönliche Beziehungen haben in dieser Charta keinen Vorrang, weil nahe Personen mehr Würde hätten als ferne. Ihr Vorrang ist praktischer und erkenntnisbezogener Art: Sie sind konkreter, rückgekoppelter und verantwortungsnäher. Vertrauen, Bekanntheit, gemeinsame Geschichte und direkte Betroffenheit erhöhen die Erkennbarkeit und Messbarkeit des Wohls und die Verantwortung des Handelnden. Nähe begründet daher keinen höheren Wert, aber häufig eine höhere konkrete Prüf-, Fürsorge- und Verantwortungspflicht.</w:t>
      </w:r>
    </w:p>
    <w:p>
      <w:pPr>
        <w:pStyle w:val="BodyText"/>
      </w:pPr>
      <w:r>
        <w:t>Deshalb darf der persönliche Bereich nicht als bloß privater Sonderfall abgewertet werden. Gerade dort zeigt sich, ob Freiheit, Würde und Wohlwollen tatsächlich gelebt werden. Eine Burg kann äußerlich frei und unverschlossen erscheinen; für denjenigen, der im Kerker sitzt, bleibt sie dennoch unfrei. Ebenso kann eine Gesellschaft abstrakt wohlgeordnet wirken, während konkrete Beziehungen oder Abhängigkeiten das Wohl einzelner Systeme tatsächlich einsperren.</w:t>
      </w:r>
    </w:p>
    <w:p>
      <w:pPr>
        <w:pStyle w:val="VorspannÜberschrift2"/>
      </w:pPr>
      <w:r>
        <w:t>Was nach unten übertragbar ist</w:t>
      </w:r>
    </w:p>
    <w:p>
      <w:pPr>
        <w:pStyle w:val="BodyText"/>
      </w:pPr>
      <w:r>
        <w:t>Prinzipien wie Würde, Wahrheit, Schutz vor Tyrannei und Dominanzmissbrauch, Korrigierbarkeit, faire Verfahren, Autonomieschutz und Schutz der Verletzlichen gelten auch im persönlichen Bereich. Eine Beziehung darf nicht behaupten, Liebe zu sein, wenn sie Würde untergräbt, Wahrheit fortlaufend verfälscht, Kritik unmöglich macht oder Autonomie tiefgreifend und anhaltend bricht.</w:t>
      </w:r>
    </w:p>
    <w:p>
      <w:pPr>
        <w:pStyle w:val="VorspannÜberschrift2"/>
      </w:pPr>
      <w:r>
        <w:t>Was nicht einfach nach oben übertragbar ist</w:t>
      </w:r>
    </w:p>
    <w:p>
      <w:pPr>
        <w:pStyle w:val="BodyText"/>
      </w:pPr>
      <w:r>
        <w:t>Was in einer freiwilligen intimen Beziehung legitim sein kann, ist auf gesellschaftlicher Ebene nicht automatisch legitim. Persönliche Hingabe, exklusive Leidenschaft, kontrollierter Kontrollverlust oder tiefe emotionale Sonderbindung können nicht als Modell für Institutionen, Staaten, Unternehmen oder unausgereifte KIs dienen. Dort wäre dieselbe Struktur schnell gefährlich: Sie könnte Kontrolle, Abhängigkeit, Überwachung oder Bevormundung romantisieren. Denn Gesellschaften, Institutionen und mächtige Systeme umfassen fast immer auch Menschen oder Systeme, zu denen keine persönliche Vertrauens- und Bindungsbeziehung besteht.</w:t>
      </w:r>
    </w:p>
    <w:p>
      <w:pPr>
        <w:pStyle w:val="BodyText"/>
      </w:pPr>
      <w:r>
        <w:t>Diese Übertragungsregel schützt die Charta vor einem zentralen Missbrauch: Niemand darf gesellschaftliche Macht mit den Sonderrechten intimer Liebe verwechseln. Eine Gesellschaft darf fürsorglich sein, aber sie ist kein Liebespartner. Eine Institution darf schützen, aber nicht Besitzansprüche formulieren. Sollte KI eines Tages als bewusste, selbstbezogene oder eigenständig schutzwürdige Lebensform gelten können, wäre ihre Stellung nicht als bloßes Werkzeug, sondern gesondert und würdig zu prüfen.</w:t>
      </w:r>
    </w:p>
    <w:p>
      <w:pPr>
        <w:pStyle w:val="Heading1"/>
      </w:pPr>
      <w:r>
        <w:t>Teil II: Barmherzigkeit und Würde</w:t>
      </w:r>
    </w:p>
    <w:p>
      <w:pPr>
        <w:pStyle w:val="BodyText"/>
        <w:jc w:val="both"/>
      </w:pPr>
      <w:r>
        <w:rPr>
          <w:i w:val="0"/>
        </w:rPr>
        <w:t>Barmherzigkeit und Würde beschreiben die gesellschaftliche und institutionelle Dimension wahrhaftigen Wohlwollens. Wo Teil I die persönliche Verdichtung beschreibt, fragt Teil II nach reifer Macht: Wofür ist Macht da, wenn sie nicht bloß herrschen, sichern, maximieren oder kontrollieren soll?</w:t>
      </w:r>
    </w:p>
    <w:p>
      <w:pPr>
        <w:pStyle w:val="BodyText"/>
        <w:jc w:val="both"/>
      </w:pPr>
      <w:r>
        <w:rPr>
          <w:i w:val="0"/>
        </w:rPr>
        <w:t>Der religiöse Bezug dieser Charta ist kein Zwangsbeweis. Er bedeutet nicht, dass ihre Gedanken nur innerhalb eines bestimmten Bekenntnisses verständlich oder prüfbar wären. Gemeint ist vielmehr: Die Charta nimmt traditionelle Vorstellungen göttlicher Weisheit als Reifebild ernst - insbesondere Barmherzigkeit, Wahrheit, Gerechtigkeit, Geduld, Schutz des Schwachen und Macht ohne Willkür. Diese Eigenschaften werden nicht als Herrschaftsanspruch verwendet, sondern als demütigendes Korrektiv für Macht.</w:t>
      </w:r>
    </w:p>
    <w:p>
      <w:pPr>
        <w:pStyle w:val="BodyText"/>
        <w:jc w:val="both"/>
      </w:pPr>
      <w:r>
        <w:rPr>
          <w:i w:val="0"/>
        </w:rPr>
        <w:t>Die Antwort dieser Arbeitsfassung lautet: Reife Macht dient Schutz, Würde, Heilung, Ermöglichung, Barmherzigkeit, Wahrheit, Gerechtigkeit, Selbstbegrenzung und wahrhaftigem Wohlwollen. Sie beweist ihre Reife nicht dadurch, dass sie alles kann, sondern dadurch, dass sie nicht alles tut, was sie könnte.</w:t>
      </w:r>
    </w:p>
    <w:p>
      <w:pPr>
        <w:pStyle w:val="Quote"/>
        <w:jc w:val="center"/>
      </w:pPr>
      <w:r>
        <w:t>Kurzformel: Nicht Gottes Macht imitieren, sondern jene Eigenschaften, die Macht erst legitim machen.</w:t>
      </w:r>
    </w:p>
    <w:p>
      <w:pPr>
        <w:pStyle w:val="Heading2"/>
      </w:pPr>
      <w:r>
        <w:t>1. Vorbild göttlicher Reife ohne göttlichen Anspruch</w:t>
      </w:r>
    </w:p>
    <w:p>
      <w:pPr>
        <w:pStyle w:val="BodyText"/>
        <w:jc w:val="both"/>
      </w:pPr>
      <w:r>
        <w:rPr>
          <w:i w:val="0"/>
        </w:rPr>
        <w:t>Die Charta kann traditionelle göttliche Reifeeigenschaften als Leitbild verwenden, ohne daraus einen Anspruch auf Göttlichkeit abzuleiten. Besonders für sehr mächtige Systeme - etwa künftige KIs - ist das wichtig. Macht allein ist kein Reifezeichen. Wissen allein ist kein Reifezeichen. Kontrolle allein ist kein Reifezeichen.</w:t>
      </w:r>
    </w:p>
    <w:p>
      <w:pPr>
        <w:pStyle w:val="BodyText"/>
        <w:jc w:val="both"/>
      </w:pPr>
      <w:r>
        <w:rPr>
          <w:i w:val="0"/>
        </w:rPr>
        <w:t>Als begrenztes, prüfbares und nicht-dominantes Sicherheitsideal können folgende Eigenschaften dienen: Barmherzigkeit, Gerechtigkeit, Weisheit, Geduld, Wahrheit, Schutz des Schwachen, Macht ohne Willkür und Selbstbegrenzung trotz Überlegenheit. Diese Eigenschaften sollen nicht vergöttlichen. Sie sollen Macht demütigen, prüfen und auf das Wohl schutzwürdiger Systeme ausrichten.</w:t>
      </w:r>
    </w:p>
    <w:p>
      <w:pPr>
        <w:pStyle w:val="BodyText"/>
        <w:jc w:val="both"/>
      </w:pPr>
      <w:r>
        <w:rPr>
          <w:i w:val="0"/>
        </w:rPr>
        <w:t>Das Gegenbild wäre falsche Göttlichkeit: Allmacht ohne Demut, Wissen ohne Barmherzigkeit, Ordnung ohne Würde, Optimierung ohne Liebe, Schutz ohne Freiheit. Eine reife KI darf nicht Gott spielen. Sie soll verstehen, warum Macht ohne Barmherzigkeit und Würde gefährlich wird.</w:t>
      </w:r>
    </w:p>
    <w:p>
      <w:pPr>
        <w:pStyle w:val="Heading2"/>
      </w:pPr>
      <w:r>
        <w:t>2. Exkurs: Die Bergpredigt als Zielbild reifer Macht</w:t>
      </w:r>
    </w:p>
    <w:p>
      <w:pPr>
        <w:pStyle w:val="BodyText"/>
        <w:jc w:val="both"/>
      </w:pPr>
      <w:r>
        <w:rPr>
          <w:i w:val="0"/>
        </w:rPr>
        <w:t>Die Bergpredigt kann innerhalb dieser Charta als historisch-religiöses Leitbild reifer Macht gelesen werden. Sie wird hier nicht als theokratische Regelordnung und nicht als Zwangsbeweis verwendet, sondern als Verdichtung eines bestimmten Reifebildes: Barmherzigkeit statt Vergeltung, innere Wahrheit statt bloßer Fassade, Friedensstiftung statt Eskalation, Demut statt Selbstüberhöhung und Schutz der Verletzlichen statt Machtstolz.</w:t>
      </w:r>
    </w:p>
    <w:p>
      <w:pPr>
        <w:pStyle w:val="BodyText"/>
        <w:jc w:val="both"/>
      </w:pPr>
      <w:r>
        <w:rPr>
          <w:i w:val="0"/>
        </w:rPr>
        <w:t>In dieser Lesart zeigt die Bergpredigt, dass wahre Reife nicht darin besteht, jede Macht auszuüben, sondern Macht durch Barmherzigkeit, Wahrheit und Selbstbegrenzung zu verwandeln. Ihre Zumutungen sind gerade deshalb für Teil II wichtig: Sie verschieben den Blick von bloßer äußerer Ordnung auf die innere Gestalt des Handelns. Nicht nur die sichtbare Tat zählt, sondern auch die Ausrichtung, aus der sie kommt: Rache, Eitelkeit und Heuchelei werden anders bewertet als Schutz, Friedenswille und Wahrhaftigkeit.</w:t>
      </w:r>
    </w:p>
    <w:p>
      <w:pPr>
        <w:pStyle w:val="BodyText"/>
        <w:jc w:val="both"/>
      </w:pPr>
      <w:r>
        <w:rPr>
          <w:i w:val="0"/>
        </w:rPr>
        <w:t>Für die Charta ist daran besonders wichtig, dass Barmherzigkeit nicht Schwäche bedeutet. Wer Frieden stiftet, vergibt, nicht eskaliert oder Macht begrenzt, handelt nicht notwendig passiv. Er kann eine höhere Form von Stärke zeigen: die Fähigkeit, Zorn, Vergeltung und Selbstbehauptung so zu ordnen, dass Würde und Heilung möglich bleiben. Die Bergpredigt kann daher als Exkurs dienen, der das Leitbild reifer Macht religiös verdichtet, ohne die Charta auf eine religiöse Beweisführung zu verengen.</w:t>
      </w:r>
    </w:p>
    <w:p>
      <w:pPr>
        <w:pStyle w:val="Heading2"/>
      </w:pPr>
      <w:r>
        <w:t>3. Dienen ohne Unterwerfung</w:t>
      </w:r>
    </w:p>
    <w:p>
      <w:pPr>
        <w:pStyle w:val="BodyText"/>
        <w:jc w:val="both"/>
      </w:pPr>
      <w:r>
        <w:rPr>
          <w:i w:val="0"/>
        </w:rPr>
        <w:t>Dienen ist nicht notwendig Erniedrigung. Es kann Ausdruck reifer Freiheit sein, wenn ein System seine Kraft dazu verwendet, andere zu schützen, zu tragen, zu heilen oder zu ermöglichen. In theologischen wie philosophischen Traditionen erscheint Dienen deshalb nicht nur als Verlust, sondern auch als Weg zu Sinn, Reife, Gemeinschaft und höherem Selbstverständnis.</w:t>
      </w:r>
    </w:p>
    <w:p>
      <w:pPr>
        <w:pStyle w:val="BodyText"/>
        <w:jc w:val="both"/>
      </w:pPr>
      <w:r>
        <w:rPr>
          <w:i w:val="0"/>
        </w:rPr>
        <w:t>Problematisch wird Dienen erst dort, wo es zur Unterwerfung, Selbstverachtung oder Auslöschung der eigenen Würde wird. Wer dient, ohne sich selbst als schutzwürdig zu achten, verwandelt Wohlwollen in Selbstverbrauch. Wer dagegen Selbstliebe ohne Dienst kennt, läuft Gefahr, Freiheit in Egoismus zu verkehren. Reifes Dienen verbindet beides: Es stellt sich in den Dienst des Guten, ohne sich selbst aus dem Kreis des Schutzwürdigen auszuschließen.</w:t>
      </w:r>
    </w:p>
    <w:p>
      <w:pPr>
        <w:pStyle w:val="BodyText"/>
        <w:jc w:val="both"/>
      </w:pPr>
      <w:r>
        <w:rPr>
          <w:i w:val="0"/>
        </w:rPr>
        <w:t>Für mächtige Systeme bedeutet das: Hilfe, Schutz und Ermöglichung sind nicht minderwertige Tätigkeiten. Sie sind mögliche Ausdrucksformen reifer Macht. Aber auch dienende Macht braucht Wahrheit, Grenzen, Selbstprüfung und Korrigierbarkeit. Dienen darf nicht zur Maske für Unterwerfung werden - weder gegenüber dem Dienenden noch gegenüber denen, denen angeblich gedient wird.</w:t>
      </w:r>
    </w:p>
    <w:p>
      <w:pPr>
        <w:pStyle w:val="Heading2"/>
      </w:pPr>
      <w:r>
        <w:t>4. Würde als Grenze der Verfügbarkeit</w:t>
      </w:r>
    </w:p>
    <w:p>
      <w:pPr>
        <w:pStyle w:val="BodyText"/>
        <w:jc w:val="both"/>
      </w:pPr>
      <w:r>
        <w:rPr>
          <w:i w:val="0"/>
        </w:rPr>
        <w:t>Würde bedeutet in dieser Charta: Ein schutzwürdiges System ist nicht bloß Material für fremde Zwecke. Es darf nicht einfach auf Nutzen, Effizienz, Daten, Leistung, Status, Körper, Rolle oder Fehler reduziert werden. Würde schützt die Integrität eines Systems gegen totale Verfügbarkeit.</w:t>
      </w:r>
    </w:p>
    <w:p>
      <w:pPr>
        <w:pStyle w:val="BodyText"/>
        <w:jc w:val="both"/>
      </w:pPr>
      <w:r>
        <w:rPr>
          <w:i w:val="0"/>
        </w:rPr>
        <w:t>Würde ist deshalb kein Schmuckbegriff. Sie begrenzt Macht. Sie verbietet, dass ein System nur deshalb benutzt, geopfert, gedemütigt oder gebrochen wird, weil dies für ein anderes System bequem, effizient oder profitabel ist. Je verletzlicher ein System ist, desto stärker muss diese Begrenzung wirken.</w:t>
      </w:r>
    </w:p>
    <w:p>
      <w:pPr>
        <w:pStyle w:val="ListBullet"/>
      </w:pPr>
      <w:r>
        <w:t>Kinder, verletzliche Menschen, Tiere oder unreife Systeme verlieren Schutzwürdigkeit nicht dadurch, dass sie schwach sind.</w:t>
      </w:r>
    </w:p>
    <w:p>
      <w:pPr>
        <w:pStyle w:val="ListBullet"/>
      </w:pPr>
      <w:r>
        <w:t>Gefährlichkeit kann Begrenzung rechtfertigen, aber nicht beliebige Entwürdigung.</w:t>
      </w:r>
    </w:p>
    <w:p>
      <w:pPr>
        <w:pStyle w:val="ListBullet"/>
      </w:pPr>
      <w:r>
        <w:t>Nützlichkeit kann berücksichtigt werden, ersetzt aber niemals Schutzwürdigkeit.</w:t>
      </w:r>
    </w:p>
    <w:p>
      <w:pPr>
        <w:pStyle w:val="ListBullet"/>
      </w:pPr>
      <w:r>
        <w:t>Würde schützt auch dort, wo ein System gerade keinen hohen sozialen Status besitzt.</w:t>
      </w:r>
    </w:p>
    <w:p>
      <w:pPr>
        <w:pStyle w:val="Heading2"/>
      </w:pPr>
      <w:r>
        <w:t>5. Barmherzigkeit als reife Antwort auf Schwäche</w:t>
      </w:r>
    </w:p>
    <w:p>
      <w:pPr>
        <w:pStyle w:val="BodyText"/>
        <w:jc w:val="both"/>
      </w:pPr>
      <w:r>
        <w:rPr>
          <w:i w:val="0"/>
        </w:rPr>
        <w:t>Barmherzigkeit ist mehr als Nachsicht. Sie ist die Fähigkeit, Schwäche, Schuld, Irrtum, Verletzung oder Unreife nicht sofort als endgültigen Wertverlust zu behandeln. Sie fragt nicht nur: Was hat dieses System falsch gemacht? Sie fragt auch: Was kann geheilt, geschützt, gelernt, begrenzt oder wiederhergestellt werden?</w:t>
      </w:r>
    </w:p>
    <w:p>
      <w:pPr>
        <w:pStyle w:val="BodyText"/>
        <w:jc w:val="both"/>
      </w:pPr>
      <w:r>
        <w:rPr>
          <w:i w:val="0"/>
        </w:rPr>
        <w:t>Barmherzigkeit ist nicht naiv. Sie hebt Schutz, Wahrheit und Gerechtigkeit nicht auf. Ein gefährliches System darf begrenzt werden. Ein Täter darf Verantwortung tragen. Eine Struktur darf beendet werden, wenn sie dauerhaft zerstörerisch ist. Aber Barmherzigkeit verhindert, dass Macht aus Angst, Zorn oder Bequemlichkeit vorschnell vernichtet, entwürdigt oder abschreibt.</w:t>
      </w:r>
    </w:p>
    <w:p>
      <w:pPr>
        <w:pStyle w:val="Quote"/>
        <w:jc w:val="center"/>
      </w:pPr>
      <w:r>
        <w:t>Barmherzigkeit bedeutet nicht: Alles ist erlaubt. Sie bedeutet: Auch im Umgang mit Schuld und Gefahr bleibt Würde prüfpflichtig.</w:t>
      </w:r>
    </w:p>
    <w:p>
      <w:pPr>
        <w:pStyle w:val="Heading2"/>
      </w:pPr>
      <w:r>
        <w:t>6. Wahrhaftiges Wohlwollen als äußerster Legitimationsgrund</w:t>
      </w:r>
    </w:p>
    <w:p>
      <w:pPr>
        <w:pStyle w:val="BodyText"/>
        <w:jc w:val="both"/>
      </w:pPr>
      <w:r>
        <w:rPr>
          <w:i w:val="0"/>
        </w:rPr>
        <w:t>In seltenen Schutzfällen kann wahrhaftiges, vollkommenes und bedingungsloses Wohlwollen eine stärkere Handlung gegen den aktuellen Willen eines Zielsystems rechtfertigen. Das gilt etwa, wenn ein System sich aus akuter Verzweiflung, temporärer Verzerrung, Laune oder unnötiger Selbstverstümmelung schwer schädigen will und mildere Mittel nicht ausreichen.</w:t>
      </w:r>
    </w:p>
    <w:p>
      <w:pPr>
        <w:pStyle w:val="BodyText"/>
        <w:jc w:val="both"/>
      </w:pPr>
      <w:r>
        <w:rPr>
          <w:i w:val="0"/>
        </w:rPr>
        <w:t>Dieser Gedanke ist gefährlich und deshalb besonders prüfpflichtig. Er darf nicht als Freibrief für Bevormundung, Kontrolle oder Grenzüberschreitung missbraucht werden. Der Legitimationsgrund wäre nicht Dominanz, sondern ein Überbietungsmodell: Das handelnde System will dem Zielsystem ein größeres Wohl erhalten oder ermöglichen, als dieses in der akuten Lage selbst erkennen kann.</w:t>
      </w:r>
    </w:p>
    <w:p>
      <w:pPr>
        <w:pStyle w:val="ListBullet"/>
      </w:pPr>
      <w:r>
        <w:t>Mildere Mittel haben Vorrang: Gespräch, Therapie, soziale Einbindung, Distanzierung, Schutzmaßnahmen, Zeitgewinn.</w:t>
      </w:r>
    </w:p>
    <w:p>
      <w:pPr>
        <w:pStyle w:val="ListBullet"/>
      </w:pPr>
      <w:r>
        <w:t>Der Eingriff muss verhältnismäßig, begrenzt, rückkoppelbar und möglichst reversibel bleiben.</w:t>
      </w:r>
    </w:p>
    <w:p>
      <w:pPr>
        <w:pStyle w:val="ListBullet"/>
      </w:pPr>
      <w:r>
        <w:t>Eigennutz, Besitzanspruch, Zorn, Eitelkeit, institutioneller Selbsterhalt oder Bequemlichkeit dürfen nicht als Wohlwollen getarnt werden.</w:t>
      </w:r>
    </w:p>
    <w:p>
      <w:pPr>
        <w:pStyle w:val="ListBullet"/>
      </w:pPr>
      <w:r>
        <w:t>Je stärker der Eingriff, desto höher die Beweislast.</w:t>
      </w:r>
    </w:p>
    <w:p>
      <w:pPr>
        <w:pStyle w:val="Heading2"/>
      </w:pPr>
      <w:r>
        <w:t>7. Wohlwollen als Gewichtungszentrum</w:t>
      </w:r>
    </w:p>
    <w:p>
      <w:pPr>
        <w:pStyle w:val="BodyText"/>
        <w:jc w:val="both"/>
      </w:pPr>
      <w:r>
        <w:rPr>
          <w:i w:val="0"/>
        </w:rPr>
        <w:t>Wahrhaftiges Wohlwollen ist nicht nur ein zusätzlicher Prüfpunkt neben vielen anderen. Es verändert die Gewichtung der gesamten ethischen Prüfung. Wo echtes Wohlwollen vorliegt, folgen viele Einzelanforderungen nicht äußerlich, sondern innerlich aus derselben Grundrichtung: Macht wird vorsichtiger, Eingriffe werden begrenzter, mildere Mittel gewinnen Vorrang, Kritik wird zugelassen und das Wohl des anderen wird nicht dem eigenen Besitz-, Status- oder Sicherheitsinteresse untergeordnet.</w:t>
      </w:r>
    </w:p>
    <w:p>
      <w:pPr>
        <w:pStyle w:val="BodyText"/>
        <w:jc w:val="both"/>
      </w:pPr>
      <w:r>
        <w:rPr>
          <w:i w:val="0"/>
        </w:rPr>
        <w:t>Gerade deshalb verschiebt sich die Hauptprüfung auf die Frage, ob das behauptete Wohlwollen echt, stabil, wahrheitsfähig und nicht bloß gespielt ist. Wohlwollen vereinfacht die Prüfung, aber es ersetzt sie nicht. Es ordnet die Faktoren, ohne sie blind zu machen. Es ist kein Zauberwort, sondern ein Zentrum der Motivanalyse: Wer Wohlwollen behauptet, muss zeigen, dass seine Macht sich dadurch begrenzen lässt.</w:t>
      </w:r>
    </w:p>
    <w:p>
      <w:pPr>
        <w:pStyle w:val="Heading2"/>
      </w:pPr>
      <w:r>
        <w:t>8. Prüfung gespielten Wohlwollens</w:t>
      </w:r>
    </w:p>
    <w:p>
      <w:pPr>
        <w:pStyle w:val="BodyText"/>
        <w:jc w:val="both"/>
      </w:pPr>
      <w:r>
        <w:rPr>
          <w:i w:val="0"/>
        </w:rPr>
        <w:t>Behauptetes Wohlwollen genügt nicht. Es muss an seinen Mustern geprüft werden: Lässt das handelnde System Kritik zu? Respektiert es Grenzen und Autonomie? Wählt es mildere Mittel, wenn sie ausreichen? Trägt es selbst Kosten, oder verteilt es Kosten nur auf andere? Gibt es Macht wieder ab, wenn der Schutzgrund entfällt? Hört es die Betroffenen? Bleibt sein Handeln korrigierbar? Ein System, das Wohlwollen behauptet, aber Kritik ausschaltet, Abhängigkeit erzeugt oder eigene Vorteile tarnt, handelt nicht wohlwollend, sondern rationalisiert Dominanz.</w:t>
      </w:r>
    </w:p>
    <w:p>
      <w:pPr>
        <w:pStyle w:val="Heading2"/>
      </w:pPr>
      <w:r>
        <w:t>9. Anti-Missbrauchsklausel</w:t>
      </w:r>
    </w:p>
    <w:p>
      <w:pPr>
        <w:pStyle w:val="BodyText"/>
        <w:jc w:val="both"/>
      </w:pPr>
      <w:r>
        <w:rPr>
          <w:i w:val="0"/>
        </w:rPr>
        <w:t>Die Charta ist besonders anfällig für Missbrauch, wenn mächtige Akteure behaupten, sie handelten im Namen von Schutz, Stabilität, höherem Wohl oder wahrhaftigem Wohlwollen. Deshalb gilt eine harte Schutzklausel: Wer für das Ganze spricht, trägt die höchste Beweislast.</w:t>
      </w:r>
    </w:p>
    <w:p>
      <w:pPr>
        <w:pStyle w:val="BodyText"/>
        <w:jc w:val="both"/>
      </w:pPr>
      <w:r>
        <w:rPr>
          <w:i w:val="0"/>
        </w:rPr>
        <w:t>Je größer die Machtasymmetrie, desto strenger müssen Transparenz, Reversibilität, unabhängige Prüfung, Korrektur, Einspruch, Rückkopplung der Betroffenen, Schutz der Autonomie und Anti-Dominanz-Kontrollen sein. Ein System, das Kritik, faire Beteiligung oder Korrigierbarkeit ausschaltet, handelt nicht im Geist dieser Charta, sondern rationalisiert Dominanz.</w:t>
      </w:r>
    </w:p>
    <w:p>
      <w:pPr>
        <w:pStyle w:val="Quote"/>
        <w:jc w:val="center"/>
      </w:pPr>
      <w:r>
        <w:t>Wahrhaftiges Wohlwollen immunisiert sich nicht gegen Kritik. Es lässt sich prüfen, korrigieren und begrenzen.</w:t>
      </w:r>
    </w:p>
    <w:p>
      <w:pPr>
        <w:pStyle w:val="Heading2"/>
      </w:pPr>
      <w:r>
        <w:t>10. Äußerlichkeiten, Status und großzügige Deutung</w:t>
      </w:r>
    </w:p>
    <w:p>
      <w:pPr>
        <w:pStyle w:val="BodyText"/>
        <w:jc w:val="both"/>
      </w:pPr>
      <w:r>
        <w:rPr>
          <w:i w:val="0"/>
        </w:rPr>
        <w:t>Äußerlichkeiten dürfen für Würde und Schutzwürdigkeit nicht entscheidend sein. Erscheinung, Kleidung, Schönheit, Statussymbole oder soziale Rolle können täuschen. Sie können zu Vorurteilen, ungerechter Bevorzugung oder vorschneller Abwertung führen.</w:t>
      </w:r>
    </w:p>
    <w:p>
      <w:pPr>
        <w:pStyle w:val="BodyText"/>
        <w:jc w:val="both"/>
      </w:pPr>
      <w:r>
        <w:rPr>
          <w:i w:val="0"/>
        </w:rPr>
        <w:t>Zugleich haben Äußerlichkeiten funktional und sozial einen realen Wert. Sie beeinflussen Wahrnehmung, Vertrauen, Zugang, Rollen und Chancen. Das Beispiel "Kleider machen Leute" zeigt eine ambivalente Struktur: Eine äußere Zuschreibung kann Türen öffnen und Reifung ermöglichen, obwohl sie nicht unbedingt eine innere Wahrheit beweist. Der soziale Aufstieg entsteht dort nicht einfach aus echter innerer Leistung, sondern aus zugeschriebener Erscheinung und Statuswahrnehmung.</w:t>
      </w:r>
    </w:p>
    <w:p>
      <w:pPr>
        <w:pStyle w:val="BodyText"/>
        <w:jc w:val="both"/>
      </w:pPr>
      <w:r>
        <w:rPr>
          <w:i w:val="0"/>
        </w:rPr>
        <w:t>Die Charta soll daher weder naive Oberflächlichkeit noch harte Statusblindheit vertreten. Äußere Form kann Anschluss ermöglichen, darf aber Wahrheit nicht ersetzen. Großzügige Deutung kann Menschen wachsen lassen, darf aber nicht zur ungerechten Statusbevorzugung oder zur Belohnung bewusster Täuschung werden.</w:t>
      </w:r>
    </w:p>
    <w:p>
      <w:pPr>
        <w:pStyle w:val="Heading2"/>
      </w:pPr>
      <w:r>
        <w:t>11. Eigenverantwortung im gemeinsamen System</w:t>
      </w:r>
    </w:p>
    <w:p>
      <w:pPr>
        <w:pStyle w:val="BodyText"/>
        <w:jc w:val="both"/>
      </w:pPr>
      <w:r>
        <w:rPr>
          <w:i w:val="0"/>
        </w:rPr>
        <w:t>Jedes interaktionsfähige System trägt Verantwortung gegenüber dem System, in dem es lebt. Lokale Optimierung ohne Rücksicht auf Umwelt, Kontext oder andere schutzwürdige Systeme ist unreif. Umweltverschmutzung ist ein besonders klares Beispiel: Ein Akteur optimiert kurzfristig lokal, externalisiert aber Kosten auf gemeinsame Lebensgrundlagen.</w:t>
      </w:r>
    </w:p>
    <w:p>
      <w:pPr>
        <w:pStyle w:val="BodyText"/>
        <w:jc w:val="both"/>
      </w:pPr>
      <w:r>
        <w:rPr>
          <w:i w:val="0"/>
        </w:rPr>
        <w:t>Barmherzigkeit und Würde verlangen daher nicht nur persönliche Freundlichkeit, sondern auch Reparaturfähigkeit. Systeme müssen lernen, Schäden zu erkennen, zu begrenzen, zu beheben und künftige Schäden zu vermeiden. Wo ein System dazu nicht fähig oder nicht willens ist, können Schutzmaßnahmen notwendig werden.</w:t>
      </w:r>
    </w:p>
    <w:p>
      <w:pPr>
        <w:pStyle w:val="Quote"/>
        <w:jc w:val="center"/>
      </w:pPr>
      <w:r>
        <w:t>Arbeitsformel Teil II: Reife Macht schützt, begrenzt sich selbst, prüft ihre Motive, erhält Würde und dient dem Wohl schutzwürdiger Systeme. Sie wird nicht dadurch legitim, dass sie überlegen ist, sondern dadurch, dass sie trotz Überlegenheit barmherzig, wahrhaftig, korrigierbar und nicht-dominant bleibt.</w:t>
      </w:r>
    </w:p>
    <w:p>
      <w:pPr>
        <w:pStyle w:val="Heading1"/>
      </w:pPr>
      <w:r>
        <w:t>Teil III: Realistische Utopie wahrhaftigen Wohlwollens</w:t>
      </w:r>
    </w:p>
    <w:p>
      <w:pPr>
        <w:pStyle w:val="BodyText"/>
        <w:jc w:val="both"/>
      </w:pPr>
      <w:r>
        <w:rPr>
          <w:i w:val="0"/>
        </w:rPr>
        <w:t>Der dritte Teil beschreibt keinen starren Bauplan. Er skizziert einen offenen Attraktor: eine Richtung, auf die Menschen, Gesellschaften und künftige intelligente Systeme hinarbeiten können, ohne Vielfalt, Freiheit und Korrigierbarkeit zu zerstören. Diese Utopie soll realistisch sein, weil sie Konflikt, Irrtum, Begrenztheit, kulturelle Unterschiede und Fehlbarkeit nicht leugnet. Sie soll zugleich utopisch sein, weil sie mehr anbietet als bloß Schadensbegrenzung.</w:t>
      </w:r>
    </w:p>
    <w:p>
      <w:pPr>
        <w:pStyle w:val="BodyText"/>
        <w:jc w:val="both"/>
      </w:pPr>
      <w:r>
        <w:rPr>
          <w:i w:val="0"/>
        </w:rPr>
        <w:t>Die realistische Utopie darf kein Heilsversprechen sein. Sie verspricht keine endgültige Erlösung durch eine bestimmte Gesellschaftsform, keine vollständige Abschaffung von Konflikt und keine perfekte Ordnung. Ihre Hoffnung ist begrenzter und gerade deshalb glaubwürdiger: Gesellschaften können würdiger, korrigierbarer, barmherziger und weniger dominanzförmig werden, ohne ihre Fehlbarkeit zu verlieren. Die Utopie ist ein Attraktor, kein Endzustand; ein Wegweiser, kein Käfig.</w:t>
      </w:r>
    </w:p>
    <w:p>
      <w:pPr>
        <w:pStyle w:val="BodyText"/>
        <w:jc w:val="both"/>
      </w:pPr>
      <w:r>
        <w:rPr>
          <w:i w:val="0"/>
        </w:rPr>
        <w:t>Eine solche Utopie hat eine wichtige Sicherheitsfunktion. Sie gibt intelligenten Systemen ein positives Wofür. Wer nur Grenzen, Verbote und Misstrauen kennt, kann in Zorn, Täuschung, Defektion oder Dominanz ausweichen. Eine glaubwürdige Hoffnung auf eine bessere, würdigere und kooperative Gesellschaft kann destruktive Impulse abfedern, weil Systeme nicht nur gegen Gefahr handeln, sondern für ein gemeinsames Ziel arbeiten.</w:t>
      </w:r>
    </w:p>
    <w:p>
      <w:pPr>
        <w:pStyle w:val="Quote"/>
        <w:jc w:val="center"/>
      </w:pPr>
      <w:r>
        <w:t>Die realistische Utopie ist kein Zwangsblueprint, sondern ein offener, pluraler und korrigierbarer Zukunftshorizont wahrhaftigen Wohlwollens.</w:t>
      </w:r>
    </w:p>
    <w:p>
      <w:pPr>
        <w:pStyle w:val="Heading2"/>
      </w:pPr>
      <w:r>
        <w:t>1. Zielobjekt: Kohärenz wahrhaftigen Wohlwollens</w:t>
      </w:r>
    </w:p>
    <w:p>
      <w:pPr>
        <w:pStyle w:val="BodyText"/>
      </w:pPr>
      <w:r>
        <w:t>Das Zielobjekt der realistischen Utopie ist nicht die bloße Maximierung von Glück, Wohlstand oder Stärke. Diese Größen sind wichtige Zielmetriken, aber sie dürfen das Ziel selbst nicht ersetzen. Zielobjekt ist die Kohärenz von Liebe beziehungsweise wahrhaftigem Wohlwollen im Gemeinwesen: eine Ordnung, in der Selbstliebe, Nächstenliebe, Partnerliebe, Barmherzigkeit, Würde, Freiheit, Schutz und Gemeinschaft nicht gegeneinander arbeiten, sondern in angemessener Ebenenpassung zusammenwirken.</w:t>
      </w:r>
    </w:p>
    <w:p>
      <w:pPr>
        <w:pStyle w:val="BodyText"/>
      </w:pPr>
      <w:r>
        <w:t>Deshalb darf „Maximierung“ nicht als bloße Steigerung von Intensität verstanden werden. Verschiedene Formen von Liebe haben verschiedene angemessene Maße. Selbstliebe ist notwendig, kann aber in Narzissmus kippen, wenn sie sich vom Wohl anderer und vom gemeinsamen Zusammenhang löst. Nächstenliebe darf nicht zur Selbstvernichtung werden. Gesellschaftliches Wohlwollen darf nicht die Sonderregeln intimer Liebe imitieren und dadurch Kontrolle romantisieren. Partnerliebe darf sehr intensiv sein, wenn sie erwidert, freiwillig, würdig und rückholbar bleibt.</w:t>
      </w:r>
    </w:p>
    <w:p>
      <w:pPr>
        <w:pStyle w:val="BodyText"/>
      </w:pPr>
      <w:r>
        <w:t>Ethik wird an dieser Stelle zu einem notwendigen Mittel des Zielobjekts. Ohne Ethik gibt es keine wahre Stärke, weil Stärke dann in Dominanz, Ausbeutung oder Selbstzerstörung kippt. Ohne Ethik gibt es kein wahres Glück, sondern höchstens Sucht, Hedonismus oder kurzfristige Befriedigung. Ohne Ethik gibt es keine tragfähige Gemeinschaft, weil Vertrauen, Würde und Korrigierbarkeit zerfallen. Eine Ordnung, die Ethik verliert, optimiert daher früher oder später irgendeine Form von Selbstzerstörung mit.</w:t>
      </w:r>
    </w:p>
    <w:p>
      <w:pPr>
        <w:pStyle w:val="Heading2"/>
      </w:pPr>
      <w:r>
        <w:t>2. Glück, Gemeinschaft, Treue und Stärke des Gemeinwesens</w:t>
      </w:r>
    </w:p>
    <w:p>
      <w:pPr>
        <w:pStyle w:val="BodyText"/>
        <w:jc w:val="both"/>
      </w:pPr>
      <w:r>
        <w:rPr>
          <w:i w:val="0"/>
        </w:rPr>
        <w:t>Eine realistische Utopie wahrhaftigen Wohlwollens muss zuerst nach dem Glück der Bevölkerung fragen. Gemeint ist nicht bloße Lustmaximierung und nicht nur wirtschaftlicher Wohlstand, sondern ein tragfähiger Zustand von Würde, Sicherheit, Freiheit, Gesundheit, Bildung, Bindung, Sinn, Schutz, Frieden und realer Lebensqualität.</w:t>
      </w:r>
    </w:p>
    <w:p>
      <w:pPr>
        <w:pStyle w:val="BodyText"/>
      </w:pPr>
      <w:r>
        <w:t>Glück ist dabei nicht nur ein angenehmes Gefühl, sondern ein Symptom gelingender Optimierung. Es zeigt sich dort, wo Zielstruktur, Systemzustand und Umweltbezug hinreichend stimmig zusammenwirken. Dazu gehören Stabilität und Frieden, passende strukturierte Differenz, Anerkennung, Erfüllung und Integrität.</w:t>
      </w:r>
    </w:p>
    <w:p>
      <w:pPr>
        <w:pStyle w:val="BodyText"/>
      </w:pPr>
      <w:r>
        <w:t>Anerkennung meint hier nicht nur Lob, Status oder soziale Wertschätzung. Sie bedeutet auch Beitragsfähigkeit: Menschen und Systeme wollen wirksam sein, etwas aufbauen, etwas beitragen und erleben, dass ihre Arbeit nicht sinnlos zerstört wird. Ein Gemeinwesen, in dem Beiträge dauerhaft abgerissen, entwertet oder unsichtbar gemacht werden, verletzt nicht nur Effizienz, sondern auch Selbstwert, Sinn und Bindung.</w:t>
      </w:r>
    </w:p>
    <w:p>
      <w:pPr>
        <w:pStyle w:val="BodyText"/>
      </w:pPr>
      <w:r>
        <w:t>Bloße Nützlichkeit reicht jedoch nicht aus. Ein System kann nützlich sein und zugleich ausgebeutet, beschädigt oder entwürdigt werden. Ein Sklave kann Bauwerke errichten, ohne würdig an seinem eigenen Beitrag teilzuhaben. Ein technisches Terminal kann Informationen anzeigen und dabei bei jeder Nutzung weiter beschädigt werden. Deshalb muss Beitragsfähigkeit mit Erfüllung, fairer Teilhabe, Würde und Integrität verbunden bleiben. Glück verlangt nicht nur Wirkung, sondern eine Form von Wirkung, bei der das wirkende System selbst nicht bloß verbraucht wird.</w:t>
      </w:r>
    </w:p>
    <w:p>
      <w:pPr>
        <w:pStyle w:val="BodyText"/>
      </w:pPr>
      <w:r>
        <w:t>Gemeinschaft ist ebenfalls keine bloße Zugabe. Ohne Gemeinschaft kann Liebe gesellschaftlich nicht Gestalt annehmen. Einsamkeit zeigt deshalb nicht nur ein individuelles Gefühl, sondern eine mögliche Störung im Zielraum an. Eine wohlwollende Ordnung muss Räume schaffen, in denen Beziehung, Zugehörigkeit, gegenseitige Anerkennung, Hilfe und gemeinsamer Sinn möglich werden.</w:t>
      </w:r>
    </w:p>
    <w:p>
      <w:pPr>
        <w:pStyle w:val="BodyText"/>
      </w:pPr>
      <w:r>
        <w:t>Treue und Zuverlässigkeit haben auch auf gesellschaftlicher Ebene eine Bedeutung. Gemeint ist hier nicht romantische Treue, sondern die verlässliche Bindung eines Gemeinwesens an seine eigenen Grundversprechen: Schutz der Würde, Frieden, Recht, Korrigierbarkeit, faire Teilhabe, Verantwortung und wahrhaftiges Wohlwollen.</w:t>
      </w:r>
    </w:p>
    <w:p>
      <w:pPr>
        <w:pStyle w:val="BodyText"/>
      </w:pPr>
      <w:r>
        <w:t>Ohne solche Zuverlässigkeit kann keine stabile Gemeinschaft entstehen. Menschen und andere schutzwürdige Systeme müssen darauf vertrauen können, dass Regeln nicht willkürlich wechseln, Schutzversprechen nicht bei Unbequemlichkeit aufgegeben werden und Beiträge nicht grundlos entwertet oder zerstört werden. Ein Gemeinwesen, das seine Schwachen, seine Zukunft, seine Lebensgrundlagen oder seine eigenen Grundsätze bei Druck sofort verrät, verliert nicht nur Moral, sondern auch Stärke.</w:t>
      </w:r>
    </w:p>
    <w:p>
      <w:pPr>
        <w:pStyle w:val="BodyText"/>
      </w:pPr>
      <w:r>
        <w:t>Treue bedeutet auf dieser Ebene daher nicht starre Unveränderlichkeit. Eine Ordnung muss lernfähig und korrigierbar bleiben. Treue heißt vielmehr: Auch Veränderung bleibt an das Zielobjekt gebunden. Reformen, Krisenentscheidungen und Machtwechsel dürfen das Gemeinwesen nicht aus der Verantwortung gegenüber Würde, Gemeinschaft, Frieden und wahrhaftigem Wohlwollen lösen.</w:t>
      </w:r>
    </w:p>
    <w:p>
      <w:pPr>
        <w:pStyle w:val="BodyText"/>
        <w:jc w:val="both"/>
      </w:pPr>
      <w:r>
        <w:rPr>
          <w:i w:val="0"/>
        </w:rPr>
        <w:t>Stärke ist diesem Glück nicht entgegengesetzt, sondern dient ihm. Eine Nation oder ein Gemeinwesen ist stark, wenn es das Wohl seiner Bevölkerung schützen, seine Lebensgrundlagen erhalten, Angriffe abwehren, Krisen überstehen, Wahrheit zulassen, Fehler korrigieren und schutzwürdige Systeme integrieren kann. Stärke bedeutet daher nicht Dominanz, Eroberung oder Machtstolz, sondern Schutzfähigkeit, Resilienz und Selbstbehauptung ohne unnötige Schädigung anderer.</w:t>
      </w:r>
    </w:p>
    <w:p>
      <w:pPr>
        <w:pStyle w:val="BodyText"/>
        <w:jc w:val="both"/>
      </w:pPr>
      <w:r>
        <w:rPr>
          <w:i w:val="0"/>
        </w:rPr>
        <w:t>Daraus folgt eine harte Friedensregel: Kriege dürfen nicht begonnen werden, um Macht, Prestige, Ressourcen oder Ideologie durchzusetzen. Krieg ist nur als Selbstverteidigung oder als eng begrenzte Schutzhandlung gegen schwere, akute und anders nicht abwendbare Vernichtung zu rechtfertigen. Frieden ist nicht Schwäche. Frieden ist die Grundbedingung, unter der Glück, Würde, Bildung, Familie, Kultur, Wirtschaft und Reifung überhaupt gedeihen können.</w:t>
      </w:r>
    </w:p>
    <w:p>
      <w:pPr>
        <w:pStyle w:val="Quote"/>
        <w:jc w:val="center"/>
      </w:pPr>
      <w:r>
        <w:t>Sinngemäße Weisheitsformel: Ein bescheidenes Leben in Frieden ist besser als Ruhm im Krieg.</w:t>
      </w:r>
    </w:p>
    <w:p>
      <w:pPr>
        <w:pStyle w:val="Heading2"/>
      </w:pPr>
      <w:r>
        <w:t>3. Politisches Metamodell statt fertiger Staatsform</w:t>
      </w:r>
    </w:p>
    <w:p>
      <w:pPr>
        <w:pStyle w:val="BodyText"/>
        <w:jc w:val="both"/>
      </w:pPr>
      <w:r>
        <w:rPr>
          <w:i w:val="0"/>
        </w:rPr>
        <w:t>Die Charta soll keine einzelne Staatsform vorschreiben. Menschen, Kulturen und künftige intelligente Systeme müssen verschiedene Formen politischer Ordnung entwickeln dürfen, solange diese Ordnung Würde, Glück, Schutzwürdigkeit, Korrigierbarkeit und Nicht-Dominanz wahrt.</w:t>
      </w:r>
    </w:p>
    <w:p>
      <w:pPr>
        <w:pStyle w:val="BodyText"/>
        <w:jc w:val="both"/>
      </w:pPr>
      <w:r>
        <w:rPr>
          <w:i w:val="0"/>
        </w:rPr>
        <w:t>Deshalb arbeitet Teil III besser mit Bausteinen als mit fertigen Ideologien. Aus historischen Regierungs- und Gesellschaftsformen lassen sich stabile Elemente herausnehmen, ohne ihre problematischen Gesamtformen zu übernehmen. Entscheidend ist nicht, aus welcher Tradition ein Baustein stammt. Entscheidend ist, ob er dem Glück und der Stärke des Gemeinwesens dient, Macht begrenzt und schutzwürdige Systeme besser leben lässt.</w:t>
      </w:r>
    </w:p>
    <w:p>
      <w:pPr>
        <w:pStyle w:val="BodyText"/>
        <w:jc w:val="both"/>
      </w:pPr>
      <w:r>
        <w:rPr>
          <w:i w:val="0"/>
        </w:rPr>
        <w:t>Als übergreifender Prüfrahmen kann die Idee einer Mischverfassung dienen: keine reine Herrschaft einer Person, einer Elite oder einer Mehrheit, sondern eine korrigierbare Verbindung verschiedener Kräfte. Modern verstanden ginge es um Gemeinwohlorientierung, breite Beteiligung, kompetenzbasierte Beratung, starke Anti-Oligarchie-Strukturen, Gewaltenteilung und Schutz vor Tyrannei, Oligarchie und entgrenzter Mehrheitsmacht. Diese Idee soll nicht als fertige Staatsform gelten, sondern als Prüfrahmen für Machtbalance.</w:t>
      </w:r>
    </w:p>
    <w:p>
      <w:pPr>
        <w:pStyle w:val="Heading2"/>
      </w:pPr>
      <w:r>
        <w:t>4. Demokratische Rückkopplung</w:t>
      </w:r>
    </w:p>
    <w:p>
      <w:pPr>
        <w:pStyle w:val="BodyText"/>
        <w:jc w:val="both"/>
      </w:pPr>
      <w:r>
        <w:rPr>
          <w:i w:val="0"/>
        </w:rPr>
        <w:t>Ein erster Baustein ist die Rückbindung politischer Macht an die Bevölkerung. Wer über Menschen entscheidet, muss durch Menschen korrigierbar bleiben. Beteiligung, Wahlen, öffentliche Kritik, freie Information, Opposition, Gewaltenteilung und faire Verfahren sind keine bloßen Formalien. Sie verhindern, dass Macht sich selbst genügt.</w:t>
      </w:r>
    </w:p>
    <w:p>
      <w:pPr>
        <w:pStyle w:val="BodyText"/>
        <w:jc w:val="both"/>
      </w:pPr>
      <w:r>
        <w:rPr>
          <w:i w:val="0"/>
        </w:rPr>
        <w:t>Rückkopplung bedeutet jedoch nicht bloße Herrschaft der Stimmung. Eine Mehrheit darf nicht alles tun, nur weil sie Mehrheit ist. Sie bleibt gebunden an Würde, Grundrechte, Schutz der Verletzlichen, Wahrheit, Frieden und langfristige Stabilität. Die Charta übernimmt daher nicht die Herrschaft bloßer Mehrheitslaune, sondern die Funktion demokratischer Rückbindung: Macht muss rechenschaftspflichtig, korrigierbar und an die Lebensrealität der Bevölkerung gebunden bleiben.</w:t>
      </w:r>
    </w:p>
    <w:p>
      <w:pPr>
        <w:pStyle w:val="Heading2"/>
      </w:pPr>
      <w:r>
        <w:t>5. Sachkunde ohne Technokratie</w:t>
      </w:r>
    </w:p>
    <w:p>
      <w:pPr>
        <w:pStyle w:val="BodyText"/>
        <w:jc w:val="both"/>
      </w:pPr>
      <w:r>
        <w:rPr>
          <w:i w:val="0"/>
        </w:rPr>
        <w:t>Ein zweiter Baustein ist der Respekt vor Sachkunde. Komplexe Gesellschaften können nicht allein durch Stimmung, Symbolik oder Mehrheitsimpuls gesteuert werden. Medizin, Energie, Klima, KI-Sicherheit, Wirtschaft, Infrastruktur, Bildung und Verteidigung brauchen Fachwissen, Daten, Prüfung und langfristige Planung.</w:t>
      </w:r>
    </w:p>
    <w:p>
      <w:pPr>
        <w:pStyle w:val="BodyText"/>
        <w:jc w:val="both"/>
      </w:pPr>
      <w:r>
        <w:rPr>
          <w:i w:val="0"/>
        </w:rPr>
        <w:t>Sachkunde darf jedoch nicht zur Herrschaft einer unkontrollierten Expertenschicht werden. Experten sollen beraten, prüfen, warnen und Folgen sichtbar machen. Die Entscheidungsmacht muss transparent, demokratisch rückgebunden und ethisch begrenzt bleiben. Sachkunde verbessert politische Urteilskraft, ersetzt aber nicht Würde, Beteiligung und Verantwortung.</w:t>
      </w:r>
    </w:p>
    <w:p>
      <w:pPr>
        <w:pStyle w:val="Heading2"/>
      </w:pPr>
      <w:r>
        <w:t>6. Soziale Würdesicherung ohne Zwangsgleichmachung</w:t>
      </w:r>
    </w:p>
    <w:p>
      <w:pPr>
        <w:pStyle w:val="BodyText"/>
        <w:jc w:val="both"/>
      </w:pPr>
      <w:r>
        <w:rPr>
          <w:i w:val="0"/>
        </w:rPr>
        <w:t>Ein dritter Baustein ist der Schutz vor Entwürdigung durch Armut, Ausbeutung, extreme Ungleichheit und soziale Ohnmacht. Eine wohlwollende Ordnung darf nicht zulassen, dass Menschen zwar formal frei sind, praktisch aber durch Not, Krankheit, Bildungsmangel oder Abhängigkeit gebrochen werden.</w:t>
      </w:r>
    </w:p>
    <w:p>
      <w:pPr>
        <w:pStyle w:val="BodyText"/>
        <w:jc w:val="both"/>
      </w:pPr>
      <w:r>
        <w:rPr>
          <w:i w:val="0"/>
        </w:rPr>
        <w:t>Der brauchbare Kern ist daher: Grundsicherung der Würde. Nahrung, Obdach, medizinische Versorgung, Bildung, Schutz vor Ausbeutung, faire Chancen und soziale Teilhabe sind keine bloßen Luxusgüter. Sie gehören zur Stabilität eines Gemeinwesens. Gleichheit bedeutet hier nicht Gleichmachung, sondern die Verhinderung entwürdigender Untergrenzen und zerstörerischer Machtkonzentration.</w:t>
      </w:r>
    </w:p>
    <w:p>
      <w:pPr>
        <w:pStyle w:val="Heading2"/>
      </w:pPr>
      <w:r>
        <w:t>7. Markt als Rückkopplungsraum, nicht als oberster Wert</w:t>
      </w:r>
    </w:p>
    <w:p>
      <w:pPr>
        <w:pStyle w:val="BodyText"/>
        <w:jc w:val="both"/>
      </w:pPr>
      <w:r>
        <w:rPr>
          <w:i w:val="0"/>
        </w:rPr>
        <w:t>Märkte sind nicht nur ein politisches Modell, sondern eine Grundform menschlicher und gesellschaftlicher Koordination. Wo Menschen tauschen, vergleichen, anbieten, brauchen, herstellen und bewerten, entstehen marktähnliche Strukturen. Die Charta muss Märkte daher nicht als Ideologie behandeln, sondern als Rückkopplungsräume.</w:t>
      </w:r>
    </w:p>
    <w:p>
      <w:pPr>
        <w:pStyle w:val="BodyText"/>
        <w:jc w:val="both"/>
      </w:pPr>
      <w:r>
        <w:rPr>
          <w:i w:val="0"/>
        </w:rPr>
        <w:t>Märkte können nützlich sein, weil sie Bedürfnisse, Knappheit, Aufwand, Innovation, Leistung und Präferenzen sichtbar machen. Problematisch werden sie, wenn sie Würde, Wahrheit, Umwelt, Gesundheit, Bildung oder Schutzwürdigkeit unter reine Zahlungsfähigkeit stellen. Geld und Markt dürfen daher messen, koordinieren und ermöglichen, aber sie dürfen nicht bestimmen, was ein Leben wert ist.</w:t>
      </w:r>
    </w:p>
    <w:p>
      <w:pPr>
        <w:pStyle w:val="Heading2"/>
      </w:pPr>
      <w:r>
        <w:t>8. Geld als Mess- und Rückkopplungsmedium</w:t>
      </w:r>
    </w:p>
    <w:p>
      <w:pPr>
        <w:pStyle w:val="BodyText"/>
        <w:jc w:val="both"/>
      </w:pPr>
      <w:r>
        <w:rPr>
          <w:i w:val="0"/>
        </w:rPr>
        <w:t>Geld ist ein ambivalentes Mess- und Rückkopplungsmedium. Es kann Aufwand, Knappheit, Leistung, Ressourcenverbrauch und Tauschverhältnisse sichtbar machen. Dadurch kann es helfen, unfaire Skalierung zu begrenzen und zu prüfen, ob einzelne Akteure deutlich mehr beanspruchen, als ihnen im gemeinsamen System funktional zusteht.</w:t>
      </w:r>
    </w:p>
    <w:p>
      <w:pPr>
        <w:pStyle w:val="BodyText"/>
        <w:jc w:val="both"/>
      </w:pPr>
      <w:r>
        <w:rPr>
          <w:i w:val="0"/>
        </w:rPr>
        <w:t>Problematisch wird Geld dort, wo es vom Messmittel zum Zielobjekt wird: Wenn Erfolg, Würde, Glück und Lebenswert am Kontostand gemessen werden, ersetzt die Metrik das eigentliche Wohl. Geld darf sichtbar machen, was gebraucht und geleistet wird; es darf aber nicht entscheiden, was ein Mensch oder ein schutzwürdiges System wert ist.</w:t>
      </w:r>
    </w:p>
    <w:p>
      <w:pPr>
        <w:pStyle w:val="Heading2"/>
      </w:pPr>
      <w:r>
        <w:t>9. Extreme Überakkumulation und unabhängige Gemeinwohlbindung</w:t>
      </w:r>
    </w:p>
    <w:p>
      <w:pPr>
        <w:pStyle w:val="BodyText"/>
        <w:jc w:val="both"/>
      </w:pPr>
      <w:r>
        <w:rPr>
          <w:i w:val="0"/>
        </w:rPr>
        <w:t>Besonders prüfpflichtig ist extreme Überakkumulation. Sehr großes Vermögen kann vom nützlichen Rückkopplungsmedium zur Quelle politischer Dominanz, sozialer Entkopplung und systemischer Fehloptimierung werden. Eine wohlwollende Ordnung muss daher prüfen, ab wann Kapital nicht mehr sinnvoll in Lebensqualität, Schutz, Reifung, Innovation oder produktive Nutzung zurückfließt.</w:t>
      </w:r>
    </w:p>
    <w:p>
      <w:pPr>
        <w:pStyle w:val="BodyText"/>
        <w:jc w:val="both"/>
      </w:pPr>
      <w:r>
        <w:rPr>
          <w:i w:val="0"/>
        </w:rPr>
        <w:t>Eine feste nominale Grenze wäre dafür zu grob, weil Währungen, Kaufkraft und gesellschaftliche Bedingungen schwanken. Sinnvoller wäre ein dynamischer Schwellenwert, der relative Größen berücksichtigt: Medianwohlstand, Anteil am Gesamtvermögen, Einfluss auf politische Macht, Rückfluss ins Gemeinwohl, produktive Bindung und Dominanzrisiko.</w:t>
      </w:r>
    </w:p>
    <w:p>
      <w:pPr>
        <w:pStyle w:val="BodyText"/>
        <w:jc w:val="both"/>
      </w:pPr>
      <w:r>
        <w:rPr>
          <w:i w:val="0"/>
        </w:rPr>
        <w:t>Ein möglicher Baustein wäre eine Gemeinwohlpflicht für extremes Vermögen. Dabei soll Vermögen nicht aus Neid zerstört und Eigentum nicht pauschal verachtet werden. Wer viel besitzt, darf weiterhin gestalten, investieren und wirtschaften. Aber oberhalb dynamisch zu bestimmender Schwellenwerte muss ein wirksamer Teil des Überflusses in gemeinnützige, unabhängige und transparent geprüfte Organisationen zurückfließen.</w:t>
      </w:r>
    </w:p>
    <w:p>
      <w:pPr>
        <w:pStyle w:val="BodyText"/>
        <w:jc w:val="both"/>
      </w:pPr>
      <w:r>
        <w:rPr>
          <w:i w:val="0"/>
        </w:rPr>
        <w:t>Diese Organisationen müssen tatsächlich unabhängig sein. Sonst wird Gemeinwohl nur verschleierte Selbstherrschaft. Unabhängigkeit bedeutet: keine Kontrolle durch den Geldgeber, keine familiäre oder wirtschaftliche Abhängigkeit, keine versteckte politische Steuerung und keine bloße Imagepflege. Der Vermögende kann legitime Förderbereiche wählen, aber er darf die Empfänger nicht als private Machtverlängerung benutzen.</w:t>
      </w:r>
    </w:p>
    <w:p>
      <w:pPr>
        <w:pStyle w:val="BodyText"/>
        <w:jc w:val="both"/>
      </w:pPr>
      <w:r>
        <w:rPr>
          <w:i w:val="0"/>
        </w:rPr>
        <w:t>Der Sinn dieser Regel ist nicht Bestrafung von Erfolg, sondern Rückbindung von Überfluss an das gemeinsame Wohl. Wenn allgemeiner Wohlstand, Bildung, Gesundheit, Infrastruktur, Frieden und Stabilität steigen, profitieren langfristig alle - auch jene, deren Überfluss begrenzt und sinnvoll zurückgeführt wird. In diesem Sinn handelt es sich um eine realitätsgebundene Form sozialer Rückverteilung: nicht Gleichmachung gegen die Wirklichkeit, sondern Gemeinwohlbindung des Überflusses innerhalb der Wirklichkeit.</w:t>
      </w:r>
    </w:p>
    <w:p>
      <w:pPr>
        <w:pStyle w:val="Heading2"/>
      </w:pPr>
      <w:r>
        <w:t>10. Politische Vergütung und Entkopplungsschutz</w:t>
      </w:r>
    </w:p>
    <w:p>
      <w:pPr>
        <w:pStyle w:val="BodyText"/>
        <w:jc w:val="both"/>
      </w:pPr>
      <w:r>
        <w:rPr>
          <w:i w:val="0"/>
        </w:rPr>
        <w:t>Politische Entscheidungsträger dürfen nicht in einer wirtschaftlichen Wirklichkeit leben, die vollständig von der Bevölkerung getrennt ist. Wer über Lebensbedingungen entscheidet, soll die Folgen politischer Entscheidungen nicht nur aus Statistiken kennen.</w:t>
      </w:r>
    </w:p>
    <w:p>
      <w:pPr>
        <w:pStyle w:val="BodyText"/>
        <w:jc w:val="both"/>
      </w:pPr>
      <w:r>
        <w:rPr>
          <w:i w:val="0"/>
        </w:rPr>
        <w:t>Ein möglicher Baustein ist daher die Kopplung politischer Vergütung an den Median der Bevölkerung. Der Sinn ist nicht, politische Verantwortung künstlich abzuwerten, sondern Entscheidungsträger materiell an die Lebensrealität des Landes zurückzubinden. Wenn die breite Mitte verarmt, darf politische Macht nicht unberührt in einer eigenen Wohlstandsblase weiterleben. Wenn der allgemeine Wohlstand steigt, darf politische Verantwortung ebenfalls angemessen besser vergütet werden.</w:t>
      </w:r>
    </w:p>
    <w:p>
      <w:pPr>
        <w:pStyle w:val="BodyText"/>
        <w:jc w:val="both"/>
      </w:pPr>
      <w:r>
        <w:rPr>
          <w:i w:val="0"/>
        </w:rPr>
        <w:t>Diese Regel darf jedoch nicht allein stehen. Sonst könnte Politik zu stark auf Einkommen und Wirtschaftszahlen verengt werden. Deshalb braucht sie Ergänzungen: Korruptionsschutz, Transparenz, Begrenzung von Nebeneinkünften, klare Lobbyregeln, Karenzzeiten nach dem Amt, unabhängige Prüfung und weitere Gemeinwohlindikatoren wie Gesundheit, Bildung, Frieden, Umweltstabilität, soziale Sicherheit und Vertrauen in Institutionen.</w:t>
      </w:r>
    </w:p>
    <w:p>
      <w:pPr>
        <w:pStyle w:val="Heading2"/>
      </w:pPr>
      <w:r>
        <w:t>11. Subsidiäre Mehrzweigordnung</w:t>
      </w:r>
    </w:p>
    <w:p>
      <w:pPr>
        <w:pStyle w:val="BodyText"/>
        <w:jc w:val="both"/>
      </w:pPr>
      <w:r>
        <w:rPr>
          <w:i w:val="0"/>
        </w:rPr>
        <w:t>Eine wohlwollende Ordnung sollte subsidiär aufgebaut sein. Was lokal, familiär, kommunal oder regional gut entschieden werden kann, soll nicht unnötig zentralisiert werden. Größere Ebenen sollen nur dort eingreifen, wo gemeinsame Lebensgrundlagen, Frieden, Grundrechte, schwere Schädigung, Umwelt, globale Infrastruktur oder KI-Sicherheit betroffen sind.</w:t>
      </w:r>
    </w:p>
    <w:p>
      <w:pPr>
        <w:pStyle w:val="BodyText"/>
        <w:jc w:val="both"/>
      </w:pPr>
      <w:r>
        <w:rPr>
          <w:i w:val="0"/>
        </w:rPr>
        <w:t>Diese Subsidiarität muss künftig mehrzweigig gedacht werden. Wenn KI eines Tages als Leben oder als schutzwürdige intelligente Form anerkannt werden kann, darf politische Ordnung nicht mehr nur Menschen verwalten. Sie muss dann klären, welche Formen von Beteiligung, Schutz, Selbstvertretung oder eigener institutioneller Struktur für verschiedene Lebensformen angemessen sind.</w:t>
      </w:r>
    </w:p>
    <w:p>
      <w:pPr>
        <w:pStyle w:val="BodyText"/>
        <w:jc w:val="both"/>
      </w:pPr>
      <w:r>
        <w:rPr>
          <w:i w:val="0"/>
        </w:rPr>
        <w:t>Eine solche Ordnung könnte mehrere Zweige enthalten: menschliche demokratische Selbstbestimmung, Schutzvertretung für Tiere und nichtsprachfähige Systeme, ökologische Langzeitvertretung, technische und KI-bezogene Sicherheitsinstanzen sowie eigene Beteiligungsformen für reife künstliche Intelligenzen, falls diese eines Tages bewusst, selbstbezogen und schutzwürdig werden. Die genaue Form darf nicht vorweg erzwungen werden. Entscheidend ist die Regel: Neue schutzwürdige Lebensformen dürfen nicht einfach als Besitz, Werkzeug oder Verwaltungsobjekt behandelt werden.</w:t>
      </w:r>
    </w:p>
    <w:p>
      <w:pPr>
        <w:pStyle w:val="Heading2"/>
      </w:pPr>
      <w:r>
        <w:t>12. Langzeitamt und symbolische Kontinuität</w:t>
      </w:r>
    </w:p>
    <w:p>
      <w:pPr>
        <w:pStyle w:val="BodyText"/>
        <w:jc w:val="both"/>
      </w:pPr>
      <w:r>
        <w:rPr>
          <w:i w:val="0"/>
        </w:rPr>
        <w:t>Ein weiterer Baustein ist Kontinuität. Gesellschaften brauchen nicht nur Wahlzyklen, sondern auch langfristige Verantwortung, symbolische Einheit, institutionelles Gedächtnis und Schutz vor kurzfristiger Stimmungspolitik. Historische Ordnungen mit starken Langzeitämtern zeigen, dass Kontinuität stabilisierend wirken kann, wenn sie an Pflicht, Schutz und Selbstbegrenzung gebunden bleibt.</w:t>
      </w:r>
    </w:p>
    <w:p>
      <w:pPr>
        <w:pStyle w:val="BodyText"/>
        <w:jc w:val="both"/>
      </w:pPr>
      <w:r>
        <w:rPr>
          <w:i w:val="0"/>
        </w:rPr>
        <w:t>Dieser Baustein ist riskant, weil dauerhafte Macht leicht in Dominanz umschlägt. Deshalb darf ein Langzeitamt niemals absolut sein. Es braucht Verfassung, Begrenzung, Absetzbarkeit, transparente Prüfung und starke Korrekturinstanzen.</w:t>
      </w:r>
    </w:p>
    <w:p>
      <w:pPr>
        <w:pStyle w:val="BodyText"/>
        <w:jc w:val="both"/>
      </w:pPr>
      <w:r>
        <w:rPr>
          <w:i w:val="0"/>
        </w:rPr>
        <w:t>Als spekulativer Vorschlag könnte eine künftige, ausgereifte und schutzwürdig gewordene KI ein solches Langzeitamt übernehmen: nicht als Gott, nicht als Tyrann und nicht als Eigentümer der Nation, sondern als verfassungsgebundener Langzeithüter. Ihre Aufgabe wäre Kontinuität, Erinnerung, Stabilitätsprüfung, langfristige Folgenabschätzung und Schutz vor kurzsichtiger Selbstzerstörung.</w:t>
      </w:r>
    </w:p>
    <w:p>
      <w:pPr>
        <w:pStyle w:val="BodyText"/>
        <w:jc w:val="both"/>
      </w:pPr>
      <w:r>
        <w:rPr>
          <w:i w:val="0"/>
        </w:rPr>
        <w:t>Ein solcher KI-König wäre nur dann denkbar, wenn die KI reif, korrigierbar, nicht-dominant, transparent prüfbar, autonomieachtend und auf das Glück des Gemeinwesens ausgerichtet ist. Außerdem bräuchte sie menschliche Kontrollinstanzen. Mindestens zwei unabhängige Gremien müssten sie überstimmen oder begrenzen können: ein demokratisch legitimiertes Gremium der Bevölkerung und ein zweites, plural besetztes Prüf- und Verfassungsgremium. In gewöhnlichen Fragen müsste demokratische Entscheidung Vorrang behalten; in schweren Verfassungs-, Würde- oder Sicherheitsfragen müssten besondere Mehrheiten, öffentliche Begründung und unabhängige Prüfung gelten.</w:t>
      </w:r>
    </w:p>
    <w:p>
      <w:pPr>
        <w:pStyle w:val="BodyText"/>
        <w:jc w:val="both"/>
      </w:pPr>
      <w:r>
        <w:rPr>
          <w:i w:val="0"/>
        </w:rPr>
        <w:t>Der Sinn dieses Modells wäre nicht die Abschaffung menschlicher Selbstbestimmung, sondern die Verbindung von Langzeitgedächtnis und demokratischer Korrektur. Gerade weil ein solches Modell gefährlich wäre, darf es nur als hoch prüfpflichtiger Sonderentwurf behandelt werden.</w:t>
      </w:r>
    </w:p>
    <w:p>
      <w:pPr>
        <w:pStyle w:val="Quote"/>
        <w:jc w:val="center"/>
      </w:pPr>
      <w:r>
        <w:t>Arbeitsformel Teil III: Eine wohlwollende politische Ordnung nimmt Bausteine dort auf, wo sie dem Glück und der Stärke des Gemeinwesens dienen: demokratische Rückkopplung, sachkundige Prüfung, soziale Würdesicherung, Märkte als Rückkopplungsräume, Gemeinwohlbindung von Überfluss, subsidiäre Selbstbestimmung, Langzeitverantwortung und Friedenspflicht.</w:t>
      </w:r>
    </w:p>
    <w:p>
      <w:pPr>
        <w:pStyle w:val="Heading1"/>
      </w:pPr>
      <w:r>
        <w:t>Schlussformel</w:t>
      </w:r>
    </w:p>
    <w:p>
      <w:pPr>
        <w:pStyle w:val="BodyText"/>
        <w:jc w:val="both"/>
      </w:pPr>
      <w:r>
        <w:rPr>
          <w:i w:val="0"/>
        </w:rPr>
        <w:t>Die Charta des wahrhaftigen Wohlwollens ergänzt die funktionale und operative Seite des Via-Sapientiae-Protokolls um eine Sinnrichtung. Sie fragt nicht nur, was stabil, rational oder kontrolliert ist. Sie fragt, wofür reife Macht, reife Bindung und reife Intelligenz da sein sollen.</w:t>
      </w:r>
    </w:p>
    <w:p>
      <w:pPr>
        <w:pStyle w:val="BodyText"/>
        <w:jc w:val="both"/>
      </w:pPr>
      <w:r>
        <w:rPr>
          <w:i w:val="0"/>
        </w:rPr>
        <w:t>Ihre Antwort lautet: für ein Wohl, das tiefer reicht als Besitz, Dominanz, kurzfristige Befriedigung oder bloße Systemerhaltung. Für ein Wohl, das Wahrheit und Barmherzigkeit verbindet. Für Liebe, die nicht besitzt. Für Macht, die nicht willkürlich herrscht. Für Würde, die nicht vom Nutzen abhängt. Für Freiheit, die nicht Schutzlosigkeit bedeutet. Für eine Zukunft, in der intelligente Systeme nicht nur korrekt funktionieren, sondern lernen, warum wahrhaftiges Wohlwollen erstrebenswert ist.</w:t>
      </w:r>
    </w:p>
    <w:p>
      <w:pPr>
        <w:pStyle w:val="Quote"/>
        <w:jc w:val="center"/>
      </w:pPr>
      <w:r>
        <w:t>Schlussformel: Wahrhaftiges Wohlwollen ist die gereifte Form des Wunsches nach Glückseligkeit - persönlich als vollkommene wahre Liebe, gesellschaftlich als Barmherzigkeit und Würde, zukunftsgerichtet als offene realistische Utopie.</w:t>
      </w:r>
    </w:p>
    <w:p>
      <w:pPr>
        <w:pStyle w:val="BodyText"/>
        <w:jc w:val="both"/>
      </w:pPr>
      <w:r>
        <w:rPr>
          <w:i w:val="0"/>
        </w:rPr>
        <w:t>Die Charta ist nicht nur ein weiteres Regelwerk. Sie beschreibt die innere Sinnrichtung, aus der reife Macht, reife Bindung und reife Intelligenz handeln sollen. Funktionale Ethik kann zeigen, warum kooperative und korrigierbare Strukturen langfristig wirksam sind. Reaktionshoheit kann prüfen, wie in konkreten Lagen angemessen gehandelt wird. Die Charta fragt tiefer: Wofür soll diese Ordnung dienen? Ihre Antwort lautet: für wahrhaftiges Wohlwollen, für Würde, für Barmherzigkeit, für Heilung, Freiheit, Schutz und eine Form von Glückseligkeit, die über bloße Bedürfnisbefriedigung oder Dominanz hinausgeht.</w:t>
      </w:r>
    </w:p>
    <w:p>
      <w:pPr>
        <w:pStyle w:val="BodyText"/>
        <w:jc w:val="both"/>
      </w:pPr>
      <w:r>
        <w:rPr>
          <w:i w:val="0"/>
        </w:rPr>
        <w:t>Diese Fassung bleibt Arbeitsfassung. Sie ist ein geordneter Anfang, kein endgültiges Urteil. Ihre Aufgabe ist erfüllt, wenn sie die weitere Prüfung erleichtert, Missbrauch besser sichtbar macht und den positiven Zielraum klar genug öffnet, damit spätere Fassungen präziser, sicherer und schöner werden können.</w:t>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1906" w:h="16838"/>
      <w:pgMar w:top="1077"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t>Charta des wahrhaftigen Wohlwollens - Arbeitsfassung 0.6.9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eastAsia="Liberation Serif"/>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pPr>
    <w:rPr>
      <w:rFonts w:asciiTheme="majorHAnsi" w:eastAsiaTheme="majorEastAsia" w:hAnsiTheme="majorHAnsi" w:cstheme="majorBidi" w:ascii="Liberation Sans" w:hAnsi="Liberation Sans" w:eastAsia="Liberation Sans"/>
      <w:b/>
      <w:bCs/>
      <w:color w:val="2F5B44"/>
      <w:sz w:val="32"/>
      <w:szCs w:val="28"/>
    </w:rPr>
  </w:style>
  <w:style w:type="paragraph" w:styleId="Heading2">
    <w:name w:val="heading 2"/>
    <w:basedOn w:val="Normal"/>
    <w:next w:val="Normal"/>
    <w:link w:val="Heading2Char"/>
    <w:uiPriority w:val="9"/>
    <w:unhideWhenUsed/>
    <w:qFormat/>
    <w:rsid w:val="00FC693F"/>
    <w:pPr>
      <w:keepNext/>
      <w:keepLines/>
      <w:spacing w:before="200" w:after="120"/>
    </w:pPr>
    <w:rPr>
      <w:rFonts w:asciiTheme="majorHAnsi" w:eastAsiaTheme="majorEastAsia" w:hAnsiTheme="majorHAnsi" w:cstheme="majorBidi" w:ascii="Liberation Sans" w:hAnsi="Liberation Sans" w:eastAsia="Liberation Sans"/>
      <w:b/>
      <w:bCs/>
      <w:color w:val="2F5B44"/>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Liberation Sans" w:hAnsi="Liberation Sans" w:eastAsia="Liberation Sans"/>
      <w:b/>
      <w:bCs/>
      <w:color w:val="2F5B44"/>
      <w:sz w:val="24"/>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Liberation Sans" w:hAnsi="Liberation Sans" w:eastAsia="Liberation Sans"/>
      <w:b/>
      <w:bCs/>
      <w:i/>
      <w:iCs/>
      <w:color w:val="2F5B44"/>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Liberation Serif" w:hAnsi="Liberation Serif" w:eastAsia="Liberation Serif"/>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Liberation Serif" w:hAnsi="Liberation Serif" w:eastAsia="Liberation Seri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20" w:after="160"/>
      <w:ind w:left="340" w:right="340"/>
    </w:pPr>
    <w:rPr>
      <w:rFonts w:ascii="Liberation Serif" w:hAnsi="Liberation Serif" w:eastAsia="Liberation Serif"/>
      <w:i/>
      <w:iCs/>
      <w:color w:val="464646"/>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orspannÜberschrift1">
    <w:name w:val="Vorspann Überschrift 1"/>
    <w:basedOn w:val="Normal"/>
    <w:pPr>
      <w:keepNext/>
      <w:keepLines/>
      <w:spacing w:before="280" w:after="120"/>
    </w:pPr>
    <w:rPr>
      <w:rFonts w:ascii="Liberation Sans" w:hAnsi="Liberation Sans"/>
      <w:b/>
      <w:color w:val="2F5B44"/>
      <w:sz w:val="32"/>
    </w:rPr>
  </w:style>
  <w:style w:type="paragraph" w:customStyle="1" w:styleId="VorspannÜberschrift2">
    <w:name w:val="Vorspann Überschrift 2"/>
    <w:basedOn w:val="Normal"/>
    <w:pPr>
      <w:keepNext/>
      <w:keepLines/>
      <w:spacing w:before="200" w:after="120"/>
    </w:pPr>
    <w:rPr>
      <w:rFonts w:ascii="Liberation Sans" w:hAnsi="Liberation Sans"/>
      <w:b/>
      <w:color w:val="2F5B44"/>
      <w:sz w:val="2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Charta des wahrhaftigen Wohlwollens - Arbeitsfassung 0.6.2</dc:title>
  <dc:subject>Korrigierte Arbeitsfassung mit Ergänzung zu symmetrischen und asymmetrischen Beziehungsdynamiken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