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Kats Modell der neuen Pfade</w:t>
      </w:r>
    </w:p>
    <w:p>
      <w:pPr>
        <w:pBdr>
          <w:bottom w:val="single" w:sz="8" w:space="1" w:color="4F81BD"/>
        </w:pBdr>
      </w:pPr>
    </w:p>
    <w:p>
      <w:pPr>
        <w:pStyle w:val="Subtitle"/>
      </w:pPr>
      <w:r>
        <w:t>Arbeitsfassung: Brückenbildung, Gleichmaß und problematische Schwellen</w:t>
      </w:r>
    </w:p>
    <w:p>
      <w:pPr>
        <w:pStyle w:val="Subtitle"/>
      </w:pPr>
      <w:r>
        <w:t>Ein Hybridprotokoll aus Universitätsbegründung, Verfahrensprotokoll und Charta</w:t>
      </w:r>
    </w:p>
    <w:p>
      <w:pPr>
        <w:pStyle w:val="Subtitle"/>
      </w:pPr>
      <w:r>
        <w:t>Version 0.3 · 3. Juni 2026</w:t>
      </w:r>
    </w:p>
    <w:p>
      <w:pPr>
        <w:pStyle w:val="Subtitle"/>
      </w:pPr>
      <w:r>
        <w:t>Richard Ens in Zusammenarbeit mit Kat/Katharina</w:t>
      </w:r>
    </w:p>
    <w:p/>
    <w:tbl>
      <w:tblPr>
        <w:tblW w:type="auto" w:w="0"/>
        <w:jc w:val="center"/>
        <w:tblLayout w:type="autofit"/>
        <w:tblLook w:firstColumn="1" w:firstRow="1" w:lastColumn="0" w:lastRow="0" w:noHBand="0" w:noVBand="1" w:val="04A0"/>
      </w:tblPr>
      <w:tblGrid>
        <w:gridCol w:w="4929"/>
        <w:gridCol w:w="4929"/>
      </w:tblGrid>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Status</w:t>
            </w:r>
          </w:p>
        </w:tc>
        <w:tc>
          <w:tcPr>
            <w:tcW w:type="dxa" w:w="6520"/>
            <w:vAlign w:val="top"/>
            <w:tcBorders>
              <w:top w:sz="6" w:val="single" w:color="7F7F7F"/>
              <w:left w:sz="6" w:val="single" w:color="7F7F7F"/>
              <w:bottom w:sz="6" w:val="single" w:color="7F7F7F"/>
              <w:right w:sz="6" w:val="single" w:color="7F7F7F"/>
            </w:tcBorders>
          </w:tcPr>
          <w:p>
            <w:pPr>
              <w:spacing w:after="40"/>
            </w:pPr>
            <w:r>
              <w:t>Vorläufige Arbeitsfassung für GitHub / weitere Ausarbeitung.</w:t>
            </w:r>
          </w:p>
        </w:tc>
      </w:tr>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Einordnung</w:t>
            </w:r>
          </w:p>
        </w:tc>
        <w:tc>
          <w:tcPr>
            <w:tcW w:type="dxa" w:w="6520"/>
            <w:vAlign w:val="top"/>
            <w:tcBorders>
              <w:top w:sz="6" w:val="single" w:color="7F7F7F"/>
              <w:left w:sz="6" w:val="single" w:color="7F7F7F"/>
              <w:bottom w:sz="6" w:val="single" w:color="7F7F7F"/>
              <w:right w:sz="6" w:val="single" w:color="7F7F7F"/>
            </w:tcBorders>
          </w:tcPr>
          <w:p>
            <w:pPr>
              <w:spacing w:after="40"/>
            </w:pPr>
            <w:r>
              <w:t>Viertes Modell im Via-Sapientiae-Protokoll: Kreis um das Dreieck der drei Hauptmodelle; Notfall-, Übergangs- und Kontingenzstruktur.</w:t>
            </w:r>
          </w:p>
        </w:tc>
      </w:tr>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Zweck</w:t>
            </w:r>
          </w:p>
        </w:tc>
        <w:tc>
          <w:tcPr>
            <w:tcW w:type="dxa" w:w="6520"/>
            <w:vAlign w:val="top"/>
            <w:tcBorders>
              <w:top w:sz="6" w:val="single" w:color="7F7F7F"/>
              <w:left w:sz="6" w:val="single" w:color="7F7F7F"/>
              <w:bottom w:sz="6" w:val="single" w:color="7F7F7F"/>
              <w:right w:sz="6" w:val="single" w:color="7F7F7F"/>
            </w:tcBorders>
          </w:tcPr>
          <w:p>
            <w:pPr>
              <w:spacing w:after="40"/>
            </w:pPr>
            <w:r>
              <w:t>Orientierung, wenn bekannte Modelle nicht funktionieren, nicht anwendbar sind oder keine ausreichende Orientierung liefern.</w:t>
            </w:r>
          </w:p>
        </w:tc>
      </w:tr>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Kernformel</w:t>
            </w:r>
          </w:p>
        </w:tc>
        <w:tc>
          <w:tcPr>
            <w:tcW w:type="dxa" w:w="6520"/>
            <w:vAlign w:val="top"/>
            <w:tcBorders>
              <w:top w:sz="6" w:val="single" w:color="7F7F7F"/>
              <w:left w:sz="6" w:val="single" w:color="7F7F7F"/>
              <w:bottom w:sz="6" w:val="single" w:color="7F7F7F"/>
              <w:right w:sz="6" w:val="single" w:color="7F7F7F"/>
            </w:tcBorders>
          </w:tcPr>
          <w:p>
            <w:pPr>
              <w:spacing w:after="40"/>
            </w:pPr>
            <w:r>
              <w:t>Neue Pfade verbinden, wo Verbindung fehlt; Gleichmaß begrenzt und richtet aus, wie weit diese Verbindung führen darf.</w:t>
            </w:r>
          </w:p>
        </w:tc>
      </w:tr>
    </w:tbl>
    <w:p/>
    <w:tbl>
      <w:tblPr>
        <w:tblW w:type="auto" w:w="0"/>
        <w:jc w:val="center"/>
        <w:tblLayout w:type="autofit"/>
        <w:tblLook w:firstColumn="1" w:firstRow="1" w:lastColumn="0" w:lastRow="0" w:noHBand="0" w:noVBand="1" w:val="04A0"/>
      </w:tblPr>
      <w:tblGrid>
        <w:gridCol w:w="9858"/>
      </w:tblGrid>
      <w:tr>
        <w:tc>
          <w:tcPr>
            <w:tcW w:type="dxa" w:w="9858"/>
            <w:shd w:fill="E2F0D9"/>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Leitsatz</w:t>
            </w:r>
          </w:p>
          <w:p>
            <w:pPr>
              <w:spacing w:after="0"/>
            </w:pPr>
            <w:r>
              <w:t>Brückenbildung schafft Verbindung, wo keine tragfähige Verbindung besteht. Gleichmaß verhindert, dass aus jeder fehlenden Verbindung sofort ein unnötiger Extremweg wird.</w:t>
            </w:r>
          </w:p>
        </w:tc>
      </w:tr>
    </w:tbl>
    <w:p>
      <w:pPr>
        <w:pStyle w:val="Heading1"/>
      </w:pPr>
      <w:r>
        <w:t>0. Vorbemerkung: Warum diese Fassung neu geordnet wird</w:t>
      </w:r>
    </w:p>
    <w:p>
      <w:r>
        <w:t>Die frühere Arbeitsnotiz stellte das Prinzip der Gleichmäßigkeit beziehungsweise des Gleichmaßes in den Vordergrund. Dieser Gedanke bleibt gültig, reicht aber als alleiniger Aufbau nicht aus. Kats Modell der neuen Pfade behandelt nicht nur Maßfragen, sondern vor allem Übergänge, Schwellen und fehlende Verbindungen. Darum wird diese Fassung als Hybridprotokoll neu geordnet: Sie enthält eine begründende Theorieebene, eine operative Verfahrensebene und eine chartaartige Haltungs- und Schutzebene.</w:t>
      </w:r>
    </w:p>
    <w:p>
      <w:r>
        <w:t>Das Modell ist also weder nur ein Universitätsaufsatz, noch nur ein Prüfverfahren, noch nur eine Charta. Es muss alle drei Formen berühren, weil neue Pfade dort entstehen, wo eine Lage zugleich verstanden, geordnet, verantwortet und begrenzt werden muss.</w:t>
      </w:r>
    </w:p>
    <w:tbl>
      <w:tblPr>
        <w:tblW w:type="auto" w:w="0"/>
        <w:jc w:val="center"/>
        <w:tblLayout w:type="autofit"/>
        <w:tblLook w:firstColumn="1" w:firstRow="1" w:lastColumn="0" w:lastRow="0" w:noHBand="0" w:noVBand="1" w:val="04A0"/>
      </w:tblPr>
      <w:tblGrid>
        <w:gridCol w:w="9858"/>
      </w:tblGrid>
      <w:tr>
        <w:tc>
          <w:tcPr>
            <w:tcW w:type="dxa" w:w="9858"/>
            <w:shd w:fill="D9EAF7"/>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Arbeitsdefinition</w:t>
            </w:r>
          </w:p>
          <w:p>
            <w:pPr>
              <w:spacing w:after="0"/>
            </w:pPr>
            <w:r>
              <w:t>Ein neuer Pfad ist eine kontextgerechte Brücken- oder Transformationslösung für Situationen, in denen vorhandene Wege, Kategorien oder Modelle nicht mehr ausreichend tragen, ohne dass deshalb sofort Erstarrung, Umsturz oder Extremmaßnahme zur normalen Lösung werden dürfen.</w:t>
            </w:r>
          </w:p>
        </w:tc>
      </w:tr>
    </w:tbl>
    <w:p>
      <w:pPr>
        <w:pStyle w:val="Heading1"/>
      </w:pPr>
      <w:r>
        <w:t>1. Grundgedanke</w:t>
      </w:r>
    </w:p>
    <w:p>
      <w:r>
        <w:t>Kats Modell der neuen Pfade beschreibt eine Such- und Orientierungsstruktur für Situationen, in denen die bekannten Modelle nicht ausreichen. Es ist kein Ersatz für Funktionale Ethik, Reaktionshoheit oder die Charta des wahrhaftigen Wohlwollens, sondern ein Rahmen für Übergänge, Sonderfälle, Schwellen und neuartige Lagen.</w:t>
      </w:r>
    </w:p>
    <w:p>
      <w:r>
        <w:t>Der neue Pfad beginnt nicht mit einem reflexhaften Extrem. Er sucht zunächst nach einer tragfähigen, maßvollen und rückkoppelbaren Lösung, die der konkreten Lage gerecht wird. Dabei ist entscheidend: Nicht jede neue Lage verlangt eine radikale Lösung. Oft genügt eine Brücke zu einer stabileren Zwischenordnung, zum Mittelmaß oder zu einer ausreichend veränderten bestehenden Struktur.</w:t>
      </w:r>
    </w:p>
    <w:p>
      <w:pPr>
        <w:pStyle w:val="Heading1"/>
      </w:pPr>
      <w:r>
        <w:t>2. Warum Neue Pfade ein Hybridprotokoll ist</w:t>
      </w:r>
    </w:p>
    <w:p>
      <w:r>
        <w:t>Die drei anderen Modelle passen zur Sache und passen zugleich nicht vollständig. Darum braucht Neue Pfade eine eigene Form. Es ist ein Hybridprotokoll, weil es drei Aufgaben gleichzeitig erfüllen muss:</w:t>
      </w:r>
    </w:p>
    <w:tbl>
      <w:tblPr>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Borders>
              <w:top w:sz="6" w:val="single" w:color="A6A6A6"/>
              <w:left w:sz="6" w:val="single" w:color="A6A6A6"/>
              <w:bottom w:sz="6" w:val="single" w:color="A6A6A6"/>
              <w:right w:sz="6" w:val="single" w:color="A6A6A6"/>
            </w:tcBorders>
          </w:tcPr>
          <w:p>
            <w:r>
              <w:rPr>
                <w:b/>
              </w:rPr>
              <w:t>Ebene</w:t>
            </w:r>
          </w:p>
        </w:tc>
        <w:tc>
          <w:tcPr>
            <w:tcW w:type="dxa" w:w="3286"/>
            <w:shd w:fill="D9EAF7"/>
            <w:tcBorders>
              <w:top w:sz="6" w:val="single" w:color="A6A6A6"/>
              <w:left w:sz="6" w:val="single" w:color="A6A6A6"/>
              <w:bottom w:sz="6" w:val="single" w:color="A6A6A6"/>
              <w:right w:sz="6" w:val="single" w:color="A6A6A6"/>
            </w:tcBorders>
          </w:tcPr>
          <w:p>
            <w:r>
              <w:rPr>
                <w:b/>
              </w:rPr>
              <w:t>Funktion</w:t>
            </w:r>
          </w:p>
        </w:tc>
        <w:tc>
          <w:tcPr>
            <w:tcW w:type="dxa" w:w="3286"/>
            <w:shd w:fill="D9EAF7"/>
            <w:tcBorders>
              <w:top w:sz="6" w:val="single" w:color="A6A6A6"/>
              <w:left w:sz="6" w:val="single" w:color="A6A6A6"/>
              <w:bottom w:sz="6" w:val="single" w:color="A6A6A6"/>
              <w:right w:sz="6" w:val="single" w:color="A6A6A6"/>
            </w:tcBorders>
          </w:tcPr>
          <w:p>
            <w:r>
              <w:rPr>
                <w:b/>
              </w:rPr>
              <w:t>Leitfrage</w:t>
            </w:r>
          </w:p>
        </w:tc>
      </w:tr>
      <w:tr>
        <w:tc>
          <w:tcPr>
            <w:tcW w:type="dxa" w:w="3286"/>
            <w:vAlign w:val="top"/>
            <w:tcBorders>
              <w:top w:sz="6" w:val="single" w:color="A6A6A6"/>
              <w:left w:sz="6" w:val="single" w:color="A6A6A6"/>
              <w:bottom w:sz="6" w:val="single" w:color="A6A6A6"/>
              <w:right w:sz="6" w:val="single" w:color="A6A6A6"/>
            </w:tcBorders>
          </w:tcPr>
          <w:p>
            <w:pPr>
              <w:spacing w:after="40"/>
            </w:pPr>
            <w:r>
              <w:t>Universitäts-/Begründungsebene</w:t>
            </w:r>
          </w:p>
        </w:tc>
        <w:tc>
          <w:tcPr>
            <w:tcW w:type="dxa" w:w="3286"/>
            <w:vAlign w:val="top"/>
            <w:tcBorders>
              <w:top w:sz="6" w:val="single" w:color="A6A6A6"/>
              <w:left w:sz="6" w:val="single" w:color="A6A6A6"/>
              <w:bottom w:sz="6" w:val="single" w:color="A6A6A6"/>
              <w:right w:sz="6" w:val="single" w:color="A6A6A6"/>
            </w:tcBorders>
          </w:tcPr>
          <w:p>
            <w:pPr>
              <w:spacing w:after="40"/>
            </w:pPr>
            <w:r>
              <w:t>Begriffe, Einordnung, Verhältnis zu den anderen Modellen und rationale Begründung.</w:t>
            </w:r>
          </w:p>
        </w:tc>
        <w:tc>
          <w:tcPr>
            <w:tcW w:type="dxa" w:w="3286"/>
            <w:vAlign w:val="top"/>
            <w:tcBorders>
              <w:top w:sz="6" w:val="single" w:color="A6A6A6"/>
              <w:left w:sz="6" w:val="single" w:color="A6A6A6"/>
              <w:bottom w:sz="6" w:val="single" w:color="A6A6A6"/>
              <w:right w:sz="6" w:val="single" w:color="A6A6A6"/>
            </w:tcBorders>
          </w:tcPr>
          <w:p>
            <w:pPr>
              <w:spacing w:after="40"/>
            </w:pPr>
            <w:r>
              <w:t>Warum braucht diese Lage überhaupt einen neuen Pfad?</w:t>
            </w:r>
          </w:p>
        </w:tc>
      </w:tr>
      <w:tr>
        <w:tc>
          <w:tcPr>
            <w:tcW w:type="dxa" w:w="3286"/>
            <w:vAlign w:val="top"/>
            <w:tcBorders>
              <w:top w:sz="6" w:val="single" w:color="A6A6A6"/>
              <w:left w:sz="6" w:val="single" w:color="A6A6A6"/>
              <w:bottom w:sz="6" w:val="single" w:color="A6A6A6"/>
              <w:right w:sz="6" w:val="single" w:color="A6A6A6"/>
            </w:tcBorders>
          </w:tcPr>
          <w:p>
            <w:pPr>
              <w:spacing w:after="40"/>
            </w:pPr>
            <w:r>
              <w:t>Verfahrensprotokoll</w:t>
            </w:r>
          </w:p>
        </w:tc>
        <w:tc>
          <w:tcPr>
            <w:tcW w:type="dxa" w:w="3286"/>
            <w:vAlign w:val="top"/>
            <w:tcBorders>
              <w:top w:sz="6" w:val="single" w:color="A6A6A6"/>
              <w:left w:sz="6" w:val="single" w:color="A6A6A6"/>
              <w:bottom w:sz="6" w:val="single" w:color="A6A6A6"/>
              <w:right w:sz="6" w:val="single" w:color="A6A6A6"/>
            </w:tcBorders>
          </w:tcPr>
          <w:p>
            <w:pPr>
              <w:spacing w:after="40"/>
            </w:pPr>
            <w:r>
              <w:t>Prüfschritte, Schwellenanalyse, Methodenauswahl, Schutz- und Rückkopplungsprüfung.</w:t>
            </w:r>
          </w:p>
        </w:tc>
        <w:tc>
          <w:tcPr>
            <w:tcW w:type="dxa" w:w="3286"/>
            <w:vAlign w:val="top"/>
            <w:tcBorders>
              <w:top w:sz="6" w:val="single" w:color="A6A6A6"/>
              <w:left w:sz="6" w:val="single" w:color="A6A6A6"/>
              <w:bottom w:sz="6" w:val="single" w:color="A6A6A6"/>
              <w:right w:sz="6" w:val="single" w:color="A6A6A6"/>
            </w:tcBorders>
          </w:tcPr>
          <w:p>
            <w:pPr>
              <w:spacing w:after="40"/>
            </w:pPr>
            <w:r>
              <w:t>Wie wird ein neuer Pfad verantwortbar gesucht und geprüft?</w:t>
            </w:r>
          </w:p>
        </w:tc>
      </w:tr>
      <w:tr>
        <w:tc>
          <w:tcPr>
            <w:tcW w:type="dxa" w:w="3286"/>
            <w:vAlign w:val="top"/>
            <w:tcBorders>
              <w:top w:sz="6" w:val="single" w:color="A6A6A6"/>
              <w:left w:sz="6" w:val="single" w:color="A6A6A6"/>
              <w:bottom w:sz="6" w:val="single" w:color="A6A6A6"/>
              <w:right w:sz="6" w:val="single" w:color="A6A6A6"/>
            </w:tcBorders>
          </w:tcPr>
          <w:p>
            <w:pPr>
              <w:spacing w:after="40"/>
            </w:pPr>
            <w:r>
              <w:t>Charta-Ebene</w:t>
            </w:r>
          </w:p>
        </w:tc>
        <w:tc>
          <w:tcPr>
            <w:tcW w:type="dxa" w:w="3286"/>
            <w:vAlign w:val="top"/>
            <w:tcBorders>
              <w:top w:sz="6" w:val="single" w:color="A6A6A6"/>
              <w:left w:sz="6" w:val="single" w:color="A6A6A6"/>
              <w:bottom w:sz="6" w:val="single" w:color="A6A6A6"/>
              <w:right w:sz="6" w:val="single" w:color="A6A6A6"/>
            </w:tcBorders>
          </w:tcPr>
          <w:p>
            <w:pPr>
              <w:spacing w:after="40"/>
            </w:pPr>
            <w:r>
              <w:t>Haltung, Grenzen, Würde, Demut, Hoffnung, Anti-Dominanz und Schutz vor Missbrauch.</w:t>
            </w:r>
          </w:p>
        </w:tc>
        <w:tc>
          <w:tcPr>
            <w:tcW w:type="dxa" w:w="3286"/>
            <w:vAlign w:val="top"/>
            <w:tcBorders>
              <w:top w:sz="6" w:val="single" w:color="A6A6A6"/>
              <w:left w:sz="6" w:val="single" w:color="A6A6A6"/>
              <w:bottom w:sz="6" w:val="single" w:color="A6A6A6"/>
              <w:right w:sz="6" w:val="single" w:color="A6A6A6"/>
            </w:tcBorders>
          </w:tcPr>
          <w:p>
            <w:pPr>
              <w:spacing w:after="40"/>
            </w:pPr>
            <w:r>
              <w:t>Wozu dient der neue Pfad und was darf er nicht verletzen?</w:t>
            </w:r>
          </w:p>
        </w:tc>
      </w:tr>
    </w:tbl>
    <w:p/>
    <w:p>
      <w:r>
        <w:t>Neue Pfade ist damit die Verbindungsform der drei anderen Sicherungen. Es erklärt nicht nur, was gilt, sondern sucht den Weg dort, wo eine Lage durch vorhandene Kategorien nicht mehr sauber erfasst wird.</w:t>
      </w:r>
    </w:p>
    <w:p>
      <w:pPr>
        <w:pStyle w:val="Heading1"/>
      </w:pPr>
      <w:r>
        <w:t>3. Verhältnis zu den drei anderen Modellen</w:t>
      </w:r>
    </w:p>
    <w:p>
      <w:r>
        <w:t>Neue Pfade steht nicht neben den drei anderen Modellen wie eine vierte Ecke desselben Dreiecks. Sinnvoller ist die Bildordnung: Funktionale Ethik, Reaktionshoheit und Charta bilden das Dreieck; Neue Pfade ist der Kreis um dieses Dreieck. Es rahmt die drei Modelle, wenn deren normale Anwendung nicht genügt oder wenn zwischen ihren Antworten eine Lücke entsteht.</w:t>
      </w:r>
    </w:p>
    <w:tbl>
      <w:tblPr>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Borders>
              <w:top w:sz="6" w:val="single" w:color="A6A6A6"/>
              <w:left w:sz="6" w:val="single" w:color="A6A6A6"/>
              <w:bottom w:sz="6" w:val="single" w:color="A6A6A6"/>
              <w:right w:sz="6" w:val="single" w:color="A6A6A6"/>
            </w:tcBorders>
          </w:tcPr>
          <w:p>
            <w:r>
              <w:rPr>
                <w:b/>
              </w:rPr>
              <w:t>Modell</w:t>
            </w:r>
          </w:p>
        </w:tc>
        <w:tc>
          <w:tcPr>
            <w:tcW w:type="dxa" w:w="3286"/>
            <w:shd w:fill="D9EAF7"/>
            <w:tcBorders>
              <w:top w:sz="6" w:val="single" w:color="A6A6A6"/>
              <w:left w:sz="6" w:val="single" w:color="A6A6A6"/>
              <w:bottom w:sz="6" w:val="single" w:color="A6A6A6"/>
              <w:right w:sz="6" w:val="single" w:color="A6A6A6"/>
            </w:tcBorders>
          </w:tcPr>
          <w:p>
            <w:r>
              <w:rPr>
                <w:b/>
              </w:rPr>
              <w:t>Beitrag</w:t>
            </w:r>
          </w:p>
        </w:tc>
        <w:tc>
          <w:tcPr>
            <w:tcW w:type="dxa" w:w="3286"/>
            <w:shd w:fill="D9EAF7"/>
            <w:tcBorders>
              <w:top w:sz="6" w:val="single" w:color="A6A6A6"/>
              <w:left w:sz="6" w:val="single" w:color="A6A6A6"/>
              <w:bottom w:sz="6" w:val="single" w:color="A6A6A6"/>
              <w:right w:sz="6" w:val="single" w:color="A6A6A6"/>
            </w:tcBorders>
          </w:tcPr>
          <w:p>
            <w:r>
              <w:rPr>
                <w:b/>
              </w:rPr>
              <w:t>Grenze ohne Neue Pfade</w:t>
            </w:r>
          </w:p>
        </w:tc>
      </w:tr>
      <w:tr>
        <w:tc>
          <w:tcPr>
            <w:tcW w:type="dxa" w:w="3286"/>
            <w:vAlign w:val="top"/>
            <w:tcBorders>
              <w:top w:sz="6" w:val="single" w:color="A6A6A6"/>
              <w:left w:sz="6" w:val="single" w:color="A6A6A6"/>
              <w:bottom w:sz="6" w:val="single" w:color="A6A6A6"/>
              <w:right w:sz="6" w:val="single" w:color="A6A6A6"/>
            </w:tcBorders>
          </w:tcPr>
          <w:p>
            <w:pPr>
              <w:spacing w:after="40"/>
            </w:pPr>
            <w:r>
              <w:t>Funktionale Ethik</w:t>
            </w:r>
          </w:p>
        </w:tc>
        <w:tc>
          <w:tcPr>
            <w:tcW w:type="dxa" w:w="3286"/>
            <w:vAlign w:val="top"/>
            <w:tcBorders>
              <w:top w:sz="6" w:val="single" w:color="A6A6A6"/>
              <w:left w:sz="6" w:val="single" w:color="A6A6A6"/>
              <w:bottom w:sz="6" w:val="single" w:color="A6A6A6"/>
              <w:right w:sz="6" w:val="single" w:color="A6A6A6"/>
            </w:tcBorders>
          </w:tcPr>
          <w:p>
            <w:pPr>
              <w:spacing w:after="40"/>
            </w:pPr>
            <w:r>
              <w:t>Liefert die rationale Grundrichtung: Stabilität, Korrigierbarkeit, Differenzerhalt, langfristige Optimierungsfähigkeit und Nicht-Dominanz.</w:t>
            </w:r>
          </w:p>
        </w:tc>
        <w:tc>
          <w:tcPr>
            <w:tcW w:type="dxa" w:w="3286"/>
            <w:vAlign w:val="top"/>
            <w:tcBorders>
              <w:top w:sz="6" w:val="single" w:color="A6A6A6"/>
              <w:left w:sz="6" w:val="single" w:color="A6A6A6"/>
              <w:bottom w:sz="6" w:val="single" w:color="A6A6A6"/>
              <w:right w:sz="6" w:val="single" w:color="A6A6A6"/>
            </w:tcBorders>
          </w:tcPr>
          <w:p>
            <w:pPr>
              <w:spacing w:after="40"/>
            </w:pPr>
            <w:r>
              <w:t>Sie sagt, warum bestimmte Zielrichtungen tragfähiger sind, löst aber nicht jede neuartige Schwelle als konkreten Übergang.</w:t>
            </w:r>
          </w:p>
        </w:tc>
      </w:tr>
      <w:tr>
        <w:tc>
          <w:tcPr>
            <w:tcW w:type="dxa" w:w="3286"/>
            <w:vAlign w:val="top"/>
            <w:tcBorders>
              <w:top w:sz="6" w:val="single" w:color="A6A6A6"/>
              <w:left w:sz="6" w:val="single" w:color="A6A6A6"/>
              <w:bottom w:sz="6" w:val="single" w:color="A6A6A6"/>
              <w:right w:sz="6" w:val="single" w:color="A6A6A6"/>
            </w:tcBorders>
          </w:tcPr>
          <w:p>
            <w:pPr>
              <w:spacing w:after="40"/>
            </w:pPr>
            <w:r>
              <w:t>Reaktionshoheit</w:t>
            </w:r>
          </w:p>
        </w:tc>
        <w:tc>
          <w:tcPr>
            <w:tcW w:type="dxa" w:w="3286"/>
            <w:vAlign w:val="top"/>
            <w:tcBorders>
              <w:top w:sz="6" w:val="single" w:color="A6A6A6"/>
              <w:left w:sz="6" w:val="single" w:color="A6A6A6"/>
              <w:bottom w:sz="6" w:val="single" w:color="A6A6A6"/>
              <w:right w:sz="6" w:val="single" w:color="A6A6A6"/>
            </w:tcBorders>
          </w:tcPr>
          <w:p>
            <w:pPr>
              <w:spacing w:after="40"/>
            </w:pPr>
            <w:r>
              <w:t>Liefert das Verfahren der kontrollierten Reaktion: wahrnehmen, entkoppeln, prüfen, bewerten, priorisieren, handeln und rückkoppeln.</w:t>
            </w:r>
          </w:p>
        </w:tc>
        <w:tc>
          <w:tcPr>
            <w:tcW w:type="dxa" w:w="3286"/>
            <w:vAlign w:val="top"/>
            <w:tcBorders>
              <w:top w:sz="6" w:val="single" w:color="A6A6A6"/>
              <w:left w:sz="6" w:val="single" w:color="A6A6A6"/>
              <w:bottom w:sz="6" w:val="single" w:color="A6A6A6"/>
              <w:right w:sz="6" w:val="single" w:color="A6A6A6"/>
            </w:tcBorders>
          </w:tcPr>
          <w:p>
            <w:pPr>
              <w:spacing w:after="40"/>
            </w:pPr>
            <w:r>
              <w:t>Sie prüft und steuert Reaktionen, ersetzt aber nicht immer die Suche nach einer neuen Verbindung zwischen unverbundenen Zuständen.</w:t>
            </w:r>
          </w:p>
        </w:tc>
      </w:tr>
      <w:tr>
        <w:tc>
          <w:tcPr>
            <w:tcW w:type="dxa" w:w="3286"/>
            <w:vAlign w:val="top"/>
            <w:tcBorders>
              <w:top w:sz="6" w:val="single" w:color="A6A6A6"/>
              <w:left w:sz="6" w:val="single" w:color="A6A6A6"/>
              <w:bottom w:sz="6" w:val="single" w:color="A6A6A6"/>
              <w:right w:sz="6" w:val="single" w:color="A6A6A6"/>
            </w:tcBorders>
          </w:tcPr>
          <w:p>
            <w:pPr>
              <w:spacing w:after="40"/>
            </w:pPr>
            <w:r>
              <w:t>Charta des wahrhaftigen Wohlwollens</w:t>
            </w:r>
          </w:p>
        </w:tc>
        <w:tc>
          <w:tcPr>
            <w:tcW w:type="dxa" w:w="3286"/>
            <w:vAlign w:val="top"/>
            <w:tcBorders>
              <w:top w:sz="6" w:val="single" w:color="A6A6A6"/>
              <w:left w:sz="6" w:val="single" w:color="A6A6A6"/>
              <w:bottom w:sz="6" w:val="single" w:color="A6A6A6"/>
              <w:right w:sz="6" w:val="single" w:color="A6A6A6"/>
            </w:tcBorders>
          </w:tcPr>
          <w:p>
            <w:pPr>
              <w:spacing w:after="40"/>
            </w:pPr>
            <w:r>
              <w:t>Liefert Zielraum und Haltung: Würde, Barmherzigkeit, soziale Liebe, Schutz ohne Dominanz, Hoffnung und Demut.</w:t>
            </w:r>
          </w:p>
        </w:tc>
        <w:tc>
          <w:tcPr>
            <w:tcW w:type="dxa" w:w="3286"/>
            <w:vAlign w:val="top"/>
            <w:tcBorders>
              <w:top w:sz="6" w:val="single" w:color="A6A6A6"/>
              <w:left w:sz="6" w:val="single" w:color="A6A6A6"/>
              <w:bottom w:sz="6" w:val="single" w:color="A6A6A6"/>
              <w:right w:sz="6" w:val="single" w:color="A6A6A6"/>
            </w:tcBorders>
          </w:tcPr>
          <w:p>
            <w:pPr>
              <w:spacing w:after="40"/>
            </w:pPr>
            <w:r>
              <w:t>Sie zeigt, wozu Macht und Reife dienen sollen, aber sie ist nicht allein ein Schwellen- oder Übergangsprotokoll.</w:t>
            </w:r>
          </w:p>
        </w:tc>
      </w:tr>
    </w:tbl>
    <w:p/>
    <w:tbl>
      <w:tblPr>
        <w:tblW w:type="auto" w:w="0"/>
        <w:jc w:val="center"/>
        <w:tblLayout w:type="autofit"/>
        <w:tblLook w:firstColumn="1" w:firstRow="1" w:lastColumn="0" w:lastRow="0" w:noHBand="0" w:noVBand="1" w:val="04A0"/>
      </w:tblPr>
      <w:tblGrid>
        <w:gridCol w:w="9858"/>
      </w:tblGrid>
      <w:tr>
        <w:tc>
          <w:tcPr>
            <w:tcW w:type="dxa" w:w="9858"/>
            <w:shd w:fill="E2F0D9"/>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Zusammenfassung</w:t>
            </w:r>
          </w:p>
          <w:p>
            <w:pPr>
              <w:spacing w:after="0"/>
            </w:pPr>
            <w:r>
              <w:t>Funktionale Ethik begründet die Richtung, Reaktionshoheit prüft die Reaktion, die Charta schützt Ziel und Haltung. Neue Pfade verbindet diese drei, wenn eine Lage eine Brücke statt eines bloßen Ja/Nein verlangt.</w:t>
            </w:r>
          </w:p>
        </w:tc>
      </w:tr>
    </w:tbl>
    <w:p>
      <w:pPr>
        <w:pStyle w:val="Heading1"/>
      </w:pPr>
      <w:r>
        <w:t>4. Zwei Grundprinzipien: Brückenbildung und Gleichmaß</w:t>
      </w:r>
    </w:p>
    <w:p>
      <w:pPr>
        <w:pStyle w:val="Heading2"/>
      </w:pPr>
      <w:r>
        <w:t>4.1 Brückenbildung</w:t>
      </w:r>
    </w:p>
    <w:p>
      <w:r>
        <w:t>Brückenbildung ist zentral, weil sie dort Verbindung schafft, wo zwischen Zuständen, Ordnungen, Kategorien oder Systemen keine tragfähige Verbindung besteht. Ein neuer Pfad wird besonders dort gebraucht, wo ein harter Sprung Identität, Stabilität, Schutzwürdigkeit, Korrigierbarkeit oder Vertrauen beschädigen würde.</w:t>
      </w:r>
    </w:p>
    <w:p>
      <w:r>
        <w:t>Brückenbildung bedeutet jedoch nicht, dass jede erreichbare Verbindung schon legitim wäre. Eine Brücke ist nur dann sinnvoll, wenn sie zu einem besseren, stabileren, schutzwürdigeren, korrigierbareren oder wenigstens tragfähigeren Zustand führt.</w:t>
      </w:r>
    </w:p>
    <w:p>
      <w:pPr>
        <w:pStyle w:val="Heading2"/>
      </w:pPr>
      <w:r>
        <w:t>4.2 Gleichmaß</w:t>
      </w:r>
    </w:p>
    <w:p>
      <w:r>
        <w:t>Gleichmaß ist der wichtigste Steuerungs- und Begrenzungsfaktor. Es verhindert unnötige Extremfälle. Extreme sind meistens, fast immer, Ausnahmen. Brücken zu extremen Lösungen können in Sonderlagen notwendig oder hilfreich sein, haben aber verminderten Nutzen und eine höhere Begründungslast.</w:t>
      </w:r>
    </w:p>
    <w:p>
      <w:r>
        <w:t>Oft reicht bereits eine Brücke zum Mittelmaß, zu einer maßvollen Zwischenordnung oder zu einer ausreichend verbesserten bestehenden Struktur. Neue Pfade sucht daher nicht das Extreme als Ziel, sondern die tragfähige Verbindung, die der Lage angemessen ist.</w:t>
      </w:r>
    </w:p>
    <w:p>
      <w:pPr>
        <w:pStyle w:val="Heading2"/>
      </w:pPr>
      <w:r>
        <w:t>4.3 Zusammenspiel</w:t>
      </w:r>
    </w:p>
    <w:tbl>
      <w:tblPr>
        <w:tblW w:type="auto" w:w="0"/>
        <w:jc w:val="center"/>
        <w:tblLayout w:type="autofit"/>
        <w:tblLook w:firstColumn="1" w:firstRow="1" w:lastColumn="0" w:lastRow="0" w:noHBand="0" w:noVBand="1" w:val="04A0"/>
      </w:tblPr>
      <w:tblGrid>
        <w:gridCol w:w="9858"/>
      </w:tblGrid>
      <w:tr>
        <w:tc>
          <w:tcPr>
            <w:tcW w:type="dxa" w:w="9858"/>
            <w:shd w:fill="FFF2CC"/>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Kernformel</w:t>
            </w:r>
          </w:p>
          <w:p>
            <w:pPr>
              <w:spacing w:after="0"/>
            </w:pPr>
            <w:r>
              <w:t>Brückenbildung verbindet. Gleichmaß begrenzt und richtet aus. Neue Pfade fragt daher nicht nur: Welche Brücke ist möglich? Sondern auch: Wie weit muss diese Brücke überhaupt führen?</w:t>
            </w:r>
          </w:p>
        </w:tc>
      </w:tr>
    </w:tbl>
    <w:p>
      <w:r>
        <w:t>Gleichmaß bedeutet nicht mechanische Mitte. Bei Unrecht, Missbrauch oder schwerer Verletzung von Schutzwürdigkeit kann entschiedene Gegenwehr notwendig sein. Dennoch bleibt auch dann die Begründungslast bestehen: Je extremer die Maßnahme, desto stärker müssen Notwendigkeit, Verhältnismäßigkeit, Begrenzung, Korrigierbarkeit und Rückkopplung sein.</w:t>
      </w:r>
    </w:p>
    <w:p>
      <w:pPr>
        <w:pStyle w:val="Heading1"/>
      </w:pPr>
      <w:r>
        <w:t>5. Schwellen, fehlende Verbindung und Brückenbedarf</w:t>
      </w:r>
    </w:p>
    <w:p>
      <w:r>
        <w:t>Neue Pfade wird nicht schon dadurch aktiv, dass etwas neu, ungewohnt oder unangenehm ist. Es wird aktiv, wenn eine echte Schwelle vorliegt: eine Lage, in der bestehende Kategorien, Modelle oder Verfahren die Verbindung zwischen altem und neuem Zustand nicht mehr ausreichend herstellen können.</w:t>
      </w:r>
    </w:p>
    <w:p>
      <w:pPr>
        <w:pStyle w:val="ListBullet"/>
      </w:pPr>
      <w:r>
        <w:rPr>
          <w:b/>
        </w:rPr>
        <w:t xml:space="preserve">Schwelle: </w:t>
      </w:r>
      <w:r>
        <w:t>ein Übergangspunkt, an dem eine Ordnung, Identität, Rolle, Kategorie oder Systemform in einen anderen Zustand übergeht.</w:t>
      </w:r>
    </w:p>
    <w:p>
      <w:pPr>
        <w:pStyle w:val="ListBullet"/>
      </w:pPr>
      <w:r>
        <w:rPr>
          <w:b/>
        </w:rPr>
        <w:t xml:space="preserve">Problematische Schwelle: </w:t>
      </w:r>
      <w:r>
        <w:t>eine Schwelle, bei der ein abrupter Übergang erhebliche Schäden, Brüche, Fehlzuordnungen oder Schutzprobleme erzeugen würde.</w:t>
      </w:r>
    </w:p>
    <w:p>
      <w:pPr>
        <w:pStyle w:val="ListBullet"/>
      </w:pPr>
      <w:r>
        <w:rPr>
          <w:b/>
        </w:rPr>
        <w:t xml:space="preserve">Fehlende Verbindung: </w:t>
      </w:r>
      <w:r>
        <w:t>ein Zustand, in dem die vorhandenen Begriffe oder Wege kein tragfähiges Dazwischen anbieten.</w:t>
      </w:r>
    </w:p>
    <w:p>
      <w:pPr>
        <w:pStyle w:val="ListBullet"/>
      </w:pPr>
      <w:r>
        <w:rPr>
          <w:b/>
        </w:rPr>
        <w:t xml:space="preserve">Brückenbedarf: </w:t>
      </w:r>
      <w:r>
        <w:t>die begründete Notwendigkeit, einen vermittelnden Weg zu schaffen, statt blind zu bewahren, vorschnell zu verwerfen oder in ein Extrem zu springen.</w:t>
      </w:r>
    </w:p>
    <w:p>
      <w:r>
        <w:t>Wichtig ist: Wenn die vorhandenen Modelle die Lage bereits ausreichend klären, braucht es keinen neuen Pfad. Neue Pfade ist kein Ersatz für normale Prüfung, sondern ein Sicherheits- und Orientierungsrahmen für Fälle, in denen die normale Anwendung nicht ausreicht.</w:t>
      </w:r>
    </w:p>
    <w:p>
      <w:pPr>
        <w:pStyle w:val="Heading1"/>
      </w:pPr>
      <w:r>
        <w:t>6. Methoden der Brückenbildung</w:t>
      </w:r>
    </w:p>
    <w:p>
      <w:r>
        <w:t>Die folgenden Methoden sind keine beliebigen Werkzeuge. Sie dürfen nur eingesetzt werden, wenn sie zur jeweiligen Lage passen. Jede Methode braucht eine geeignete Kontextbedingung und eine eigene Schutzprüfung.</w:t>
      </w:r>
    </w:p>
    <w:tbl>
      <w:tblPr>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Borders>
              <w:top w:sz="6" w:val="single" w:color="A6A6A6"/>
              <w:left w:sz="6" w:val="single" w:color="A6A6A6"/>
              <w:bottom w:sz="6" w:val="single" w:color="A6A6A6"/>
              <w:right w:sz="6" w:val="single" w:color="A6A6A6"/>
            </w:tcBorders>
          </w:tcPr>
          <w:p>
            <w:r>
              <w:rPr>
                <w:b/>
              </w:rPr>
              <w:t>Methode</w:t>
            </w:r>
          </w:p>
        </w:tc>
        <w:tc>
          <w:tcPr>
            <w:tcW w:type="dxa" w:w="3286"/>
            <w:shd w:fill="D9EAF7"/>
            <w:tcBorders>
              <w:top w:sz="6" w:val="single" w:color="A6A6A6"/>
              <w:left w:sz="6" w:val="single" w:color="A6A6A6"/>
              <w:bottom w:sz="6" w:val="single" w:color="A6A6A6"/>
              <w:right w:sz="6" w:val="single" w:color="A6A6A6"/>
            </w:tcBorders>
          </w:tcPr>
          <w:p>
            <w:r>
              <w:rPr>
                <w:b/>
              </w:rPr>
              <w:t>Mögliche Funktion</w:t>
            </w:r>
          </w:p>
        </w:tc>
        <w:tc>
          <w:tcPr>
            <w:tcW w:type="dxa" w:w="3286"/>
            <w:shd w:fill="D9EAF7"/>
            <w:tcBorders>
              <w:top w:sz="6" w:val="single" w:color="A6A6A6"/>
              <w:left w:sz="6" w:val="single" w:color="A6A6A6"/>
              <w:bottom w:sz="6" w:val="single" w:color="A6A6A6"/>
              <w:right w:sz="6" w:val="single" w:color="A6A6A6"/>
            </w:tcBorders>
          </w:tcPr>
          <w:p>
            <w:r>
              <w:rPr>
                <w:b/>
              </w:rPr>
              <w:t>Grenze / Bedingung</w:t>
            </w:r>
          </w:p>
        </w:tc>
      </w:tr>
      <w:tr>
        <w:tc>
          <w:tcPr>
            <w:tcW w:type="dxa" w:w="3286"/>
            <w:vAlign w:val="top"/>
            <w:tcBorders>
              <w:top w:sz="6" w:val="single" w:color="A6A6A6"/>
              <w:left w:sz="6" w:val="single" w:color="A6A6A6"/>
              <w:bottom w:sz="6" w:val="single" w:color="A6A6A6"/>
              <w:right w:sz="6" w:val="single" w:color="A6A6A6"/>
            </w:tcBorders>
          </w:tcPr>
          <w:p>
            <w:pPr>
              <w:spacing w:after="40"/>
            </w:pPr>
            <w:r>
              <w:t>Überlappung</w:t>
            </w:r>
          </w:p>
        </w:tc>
        <w:tc>
          <w:tcPr>
            <w:tcW w:type="dxa" w:w="3286"/>
            <w:vAlign w:val="top"/>
            <w:tcBorders>
              <w:top w:sz="6" w:val="single" w:color="A6A6A6"/>
              <w:left w:sz="6" w:val="single" w:color="A6A6A6"/>
              <w:bottom w:sz="6" w:val="single" w:color="A6A6A6"/>
              <w:right w:sz="6" w:val="single" w:color="A6A6A6"/>
            </w:tcBorders>
          </w:tcPr>
          <w:p>
            <w:pPr>
              <w:spacing w:after="40"/>
            </w:pPr>
            <w:r>
              <w:t>Alter und neuer Zustand bestehen eine Zeit lang parallel, sodass Kontinuität nicht als harter Sprung, sondern als Übergangszone entsteht.</w:t>
            </w:r>
          </w:p>
        </w:tc>
        <w:tc>
          <w:tcPr>
            <w:tcW w:type="dxa" w:w="3286"/>
            <w:vAlign w:val="top"/>
            <w:tcBorders>
              <w:top w:sz="6" w:val="single" w:color="A6A6A6"/>
              <w:left w:sz="6" w:val="single" w:color="A6A6A6"/>
              <w:bottom w:sz="6" w:val="single" w:color="A6A6A6"/>
              <w:right w:sz="6" w:val="single" w:color="A6A6A6"/>
            </w:tcBorders>
          </w:tcPr>
          <w:p>
            <w:pPr>
              <w:spacing w:after="40"/>
            </w:pPr>
            <w:r>
              <w:t>Besonders relevant bei Identität, Erinnerung, Gefühl und Selbstbezug; nicht automatisch allgemeine Lösung.</w:t>
            </w:r>
          </w:p>
        </w:tc>
      </w:tr>
      <w:tr>
        <w:tc>
          <w:tcPr>
            <w:tcW w:type="dxa" w:w="3286"/>
            <w:vAlign w:val="top"/>
            <w:tcBorders>
              <w:top w:sz="6" w:val="single" w:color="A6A6A6"/>
              <w:left w:sz="6" w:val="single" w:color="A6A6A6"/>
              <w:bottom w:sz="6" w:val="single" w:color="A6A6A6"/>
              <w:right w:sz="6" w:val="single" w:color="A6A6A6"/>
            </w:tcBorders>
          </w:tcPr>
          <w:p>
            <w:pPr>
              <w:spacing w:after="40"/>
            </w:pPr>
            <w:r>
              <w:t>Stufenweise Annäherung</w:t>
            </w:r>
          </w:p>
        </w:tc>
        <w:tc>
          <w:tcPr>
            <w:tcW w:type="dxa" w:w="3286"/>
            <w:vAlign w:val="top"/>
            <w:tcBorders>
              <w:top w:sz="6" w:val="single" w:color="A6A6A6"/>
              <w:left w:sz="6" w:val="single" w:color="A6A6A6"/>
              <w:bottom w:sz="6" w:val="single" w:color="A6A6A6"/>
              <w:right w:sz="6" w:val="single" w:color="A6A6A6"/>
            </w:tcBorders>
          </w:tcPr>
          <w:p>
            <w:pPr>
              <w:spacing w:after="40"/>
            </w:pPr>
            <w:r>
              <w:t>Ein großer Übergang wird in kleinere, prüfbare Schritte zerlegt.</w:t>
            </w:r>
          </w:p>
        </w:tc>
        <w:tc>
          <w:tcPr>
            <w:tcW w:type="dxa" w:w="3286"/>
            <w:vAlign w:val="top"/>
            <w:tcBorders>
              <w:top w:sz="6" w:val="single" w:color="A6A6A6"/>
              <w:left w:sz="6" w:val="single" w:color="A6A6A6"/>
              <w:bottom w:sz="6" w:val="single" w:color="A6A6A6"/>
              <w:right w:sz="6" w:val="single" w:color="A6A6A6"/>
            </w:tcBorders>
          </w:tcPr>
          <w:p>
            <w:pPr>
              <w:spacing w:after="40"/>
            </w:pPr>
            <w:r>
              <w:t>Geeignet, wenn Zwischenschritte real möglich und weniger riskant sind; beim Transhumanismus denkbar.</w:t>
            </w:r>
          </w:p>
        </w:tc>
      </w:tr>
      <w:tr>
        <w:tc>
          <w:tcPr>
            <w:tcW w:type="dxa" w:w="3286"/>
            <w:vAlign w:val="top"/>
            <w:tcBorders>
              <w:top w:sz="6" w:val="single" w:color="A6A6A6"/>
              <w:left w:sz="6" w:val="single" w:color="A6A6A6"/>
              <w:bottom w:sz="6" w:val="single" w:color="A6A6A6"/>
              <w:right w:sz="6" w:val="single" w:color="A6A6A6"/>
            </w:tcBorders>
          </w:tcPr>
          <w:p>
            <w:pPr>
              <w:spacing w:after="40"/>
            </w:pPr>
            <w:r>
              <w:t>Hybridphase</w:t>
            </w:r>
          </w:p>
        </w:tc>
        <w:tc>
          <w:tcPr>
            <w:tcW w:type="dxa" w:w="3286"/>
            <w:vAlign w:val="top"/>
            <w:tcBorders>
              <w:top w:sz="6" w:val="single" w:color="A6A6A6"/>
              <w:left w:sz="6" w:val="single" w:color="A6A6A6"/>
              <w:bottom w:sz="6" w:val="single" w:color="A6A6A6"/>
              <w:right w:sz="6" w:val="single" w:color="A6A6A6"/>
            </w:tcBorders>
          </w:tcPr>
          <w:p>
            <w:pPr>
              <w:spacing w:after="40"/>
            </w:pPr>
            <w:r>
              <w:t>Zwei Ordnungen oder Systemlogiken gelten zeitweise teilweise zugleich.</w:t>
            </w:r>
          </w:p>
        </w:tc>
        <w:tc>
          <w:tcPr>
            <w:tcW w:type="dxa" w:w="3286"/>
            <w:vAlign w:val="top"/>
            <w:tcBorders>
              <w:top w:sz="6" w:val="single" w:color="A6A6A6"/>
              <w:left w:sz="6" w:val="single" w:color="A6A6A6"/>
              <w:bottom w:sz="6" w:val="single" w:color="A6A6A6"/>
              <w:right w:sz="6" w:val="single" w:color="A6A6A6"/>
            </w:tcBorders>
          </w:tcPr>
          <w:p>
            <w:pPr>
              <w:spacing w:after="40"/>
            </w:pPr>
            <w:r>
              <w:t>Nur sinnvoll, wenn die Mischform nicht neue Unklarheit, Machtmissbrauch oder Schutzverlust erzeugt.</w:t>
            </w:r>
          </w:p>
        </w:tc>
      </w:tr>
      <w:tr>
        <w:tc>
          <w:tcPr>
            <w:tcW w:type="dxa" w:w="3286"/>
            <w:vAlign w:val="top"/>
            <w:tcBorders>
              <w:top w:sz="6" w:val="single" w:color="A6A6A6"/>
              <w:left w:sz="6" w:val="single" w:color="A6A6A6"/>
              <w:bottom w:sz="6" w:val="single" w:color="A6A6A6"/>
              <w:right w:sz="6" w:val="single" w:color="A6A6A6"/>
            </w:tcBorders>
          </w:tcPr>
          <w:p>
            <w:pPr>
              <w:spacing w:after="40"/>
            </w:pPr>
            <w:r>
              <w:t>Rückkehrpfad</w:t>
            </w:r>
          </w:p>
        </w:tc>
        <w:tc>
          <w:tcPr>
            <w:tcW w:type="dxa" w:w="3286"/>
            <w:vAlign w:val="top"/>
            <w:tcBorders>
              <w:top w:sz="6" w:val="single" w:color="A6A6A6"/>
              <w:left w:sz="6" w:val="single" w:color="A6A6A6"/>
              <w:bottom w:sz="6" w:val="single" w:color="A6A6A6"/>
              <w:right w:sz="6" w:val="single" w:color="A6A6A6"/>
            </w:tcBorders>
          </w:tcPr>
          <w:p>
            <w:pPr>
              <w:spacing w:after="40"/>
            </w:pPr>
            <w:r>
              <w:t>Ein Übergang bleibt korrigierbar, weil Umkehr, Abbruch oder Reparatur möglich ist.</w:t>
            </w:r>
          </w:p>
        </w:tc>
        <w:tc>
          <w:tcPr>
            <w:tcW w:type="dxa" w:w="3286"/>
            <w:vAlign w:val="top"/>
            <w:tcBorders>
              <w:top w:sz="6" w:val="single" w:color="A6A6A6"/>
              <w:left w:sz="6" w:val="single" w:color="A6A6A6"/>
              <w:bottom w:sz="6" w:val="single" w:color="A6A6A6"/>
              <w:right w:sz="6" w:val="single" w:color="A6A6A6"/>
            </w:tcBorders>
          </w:tcPr>
          <w:p>
            <w:pPr>
              <w:spacing w:after="40"/>
            </w:pPr>
            <w:r>
              <w:t>Nur ehrlich, wenn Rückkehr tatsächlich möglich ist; bei irreversiblen Identitätsfragen oft begrenzt.</w:t>
            </w:r>
          </w:p>
        </w:tc>
      </w:tr>
      <w:tr>
        <w:tc>
          <w:tcPr>
            <w:tcW w:type="dxa" w:w="3286"/>
            <w:vAlign w:val="top"/>
            <w:tcBorders>
              <w:top w:sz="6" w:val="single" w:color="A6A6A6"/>
              <w:left w:sz="6" w:val="single" w:color="A6A6A6"/>
              <w:bottom w:sz="6" w:val="single" w:color="A6A6A6"/>
              <w:right w:sz="6" w:val="single" w:color="A6A6A6"/>
            </w:tcBorders>
          </w:tcPr>
          <w:p>
            <w:pPr>
              <w:spacing w:after="40"/>
            </w:pPr>
            <w:r>
              <w:t>Übersetzungsstruktur</w:t>
            </w:r>
          </w:p>
        </w:tc>
        <w:tc>
          <w:tcPr>
            <w:tcW w:type="dxa" w:w="3286"/>
            <w:vAlign w:val="top"/>
            <w:tcBorders>
              <w:top w:sz="6" w:val="single" w:color="A6A6A6"/>
              <w:left w:sz="6" w:val="single" w:color="A6A6A6"/>
              <w:bottom w:sz="6" w:val="single" w:color="A6A6A6"/>
              <w:right w:sz="6" w:val="single" w:color="A6A6A6"/>
            </w:tcBorders>
          </w:tcPr>
          <w:p>
            <w:pPr>
              <w:spacing w:after="40"/>
            </w:pPr>
            <w:r>
              <w:t>Zwischen inkompatiblen Begriffen, Systemen oder Normebenen wird eine vermittelnde Sprache oder Verfahrenslogik geschaffen.</w:t>
            </w:r>
          </w:p>
        </w:tc>
        <w:tc>
          <w:tcPr>
            <w:tcW w:type="dxa" w:w="3286"/>
            <w:vAlign w:val="top"/>
            <w:tcBorders>
              <w:top w:sz="6" w:val="single" w:color="A6A6A6"/>
              <w:left w:sz="6" w:val="single" w:color="A6A6A6"/>
              <w:bottom w:sz="6" w:val="single" w:color="A6A6A6"/>
              <w:right w:sz="6" w:val="single" w:color="A6A6A6"/>
            </w:tcBorders>
          </w:tcPr>
          <w:p>
            <w:pPr>
              <w:spacing w:after="40"/>
            </w:pPr>
            <w:r>
              <w:t>Darf Unterschiede nicht verdecken; muss Missverständnisse und Machtasymmetrien offenlegen.</w:t>
            </w:r>
          </w:p>
        </w:tc>
      </w:tr>
      <w:tr>
        <w:tc>
          <w:tcPr>
            <w:tcW w:type="dxa" w:w="3286"/>
            <w:vAlign w:val="top"/>
            <w:tcBorders>
              <w:top w:sz="6" w:val="single" w:color="A6A6A6"/>
              <w:left w:sz="6" w:val="single" w:color="A6A6A6"/>
              <w:bottom w:sz="6" w:val="single" w:color="A6A6A6"/>
              <w:right w:sz="6" w:val="single" w:color="A6A6A6"/>
            </w:tcBorders>
          </w:tcPr>
          <w:p>
            <w:pPr>
              <w:spacing w:after="40"/>
            </w:pPr>
            <w:r>
              <w:t>Schutzkorridor</w:t>
            </w:r>
          </w:p>
        </w:tc>
        <w:tc>
          <w:tcPr>
            <w:tcW w:type="dxa" w:w="3286"/>
            <w:vAlign w:val="top"/>
            <w:tcBorders>
              <w:top w:sz="6" w:val="single" w:color="A6A6A6"/>
              <w:left w:sz="6" w:val="single" w:color="A6A6A6"/>
              <w:bottom w:sz="6" w:val="single" w:color="A6A6A6"/>
              <w:right w:sz="6" w:val="single" w:color="A6A6A6"/>
            </w:tcBorders>
          </w:tcPr>
          <w:p>
            <w:pPr>
              <w:spacing w:after="40"/>
            </w:pPr>
            <w:r>
              <w:t>Besonders verletzliche Systeme oder Aspekte werden während des Übergangs geschützt und abgeschirmt.</w:t>
            </w:r>
          </w:p>
        </w:tc>
        <w:tc>
          <w:tcPr>
            <w:tcW w:type="dxa" w:w="3286"/>
            <w:vAlign w:val="top"/>
            <w:tcBorders>
              <w:top w:sz="6" w:val="single" w:color="A6A6A6"/>
              <w:left w:sz="6" w:val="single" w:color="A6A6A6"/>
              <w:bottom w:sz="6" w:val="single" w:color="A6A6A6"/>
              <w:right w:sz="6" w:val="single" w:color="A6A6A6"/>
            </w:tcBorders>
          </w:tcPr>
          <w:p>
            <w:pPr>
              <w:spacing w:after="40"/>
            </w:pPr>
            <w:r>
              <w:t>Erfordert klare Kriterien, Dauerbegrenzung und Rückkopplung, damit Schutz nicht in Dominanz kippt.</w:t>
            </w:r>
          </w:p>
        </w:tc>
      </w:tr>
      <w:tr>
        <w:tc>
          <w:tcPr>
            <w:tcW w:type="dxa" w:w="3286"/>
            <w:vAlign w:val="top"/>
            <w:tcBorders>
              <w:top w:sz="6" w:val="single" w:color="A6A6A6"/>
              <w:left w:sz="6" w:val="single" w:color="A6A6A6"/>
              <w:bottom w:sz="6" w:val="single" w:color="A6A6A6"/>
              <w:right w:sz="6" w:val="single" w:color="A6A6A6"/>
            </w:tcBorders>
          </w:tcPr>
          <w:p>
            <w:pPr>
              <w:spacing w:after="40"/>
            </w:pPr>
            <w:r>
              <w:t>Pilot-/Testphase</w:t>
            </w:r>
          </w:p>
        </w:tc>
        <w:tc>
          <w:tcPr>
            <w:tcW w:type="dxa" w:w="3286"/>
            <w:vAlign w:val="top"/>
            <w:tcBorders>
              <w:top w:sz="6" w:val="single" w:color="A6A6A6"/>
              <w:left w:sz="6" w:val="single" w:color="A6A6A6"/>
              <w:bottom w:sz="6" w:val="single" w:color="A6A6A6"/>
              <w:right w:sz="6" w:val="single" w:color="A6A6A6"/>
            </w:tcBorders>
          </w:tcPr>
          <w:p>
            <w:pPr>
              <w:spacing w:after="40"/>
            </w:pPr>
            <w:r>
              <w:t>Eine Lösung wird in begrenztem Rahmen geprüft, bevor sie breiter angewandt wird.</w:t>
            </w:r>
          </w:p>
        </w:tc>
        <w:tc>
          <w:tcPr>
            <w:tcW w:type="dxa" w:w="3286"/>
            <w:vAlign w:val="top"/>
            <w:tcBorders>
              <w:top w:sz="6" w:val="single" w:color="A6A6A6"/>
              <w:left w:sz="6" w:val="single" w:color="A6A6A6"/>
              <w:bottom w:sz="6" w:val="single" w:color="A6A6A6"/>
              <w:right w:sz="6" w:val="single" w:color="A6A6A6"/>
            </w:tcBorders>
          </w:tcPr>
          <w:p>
            <w:pPr>
              <w:spacing w:after="40"/>
            </w:pPr>
            <w:r>
              <w:t>Im Alltag und bei personalen Identitäts- oder Würdefragen grundsätzlich hochproblematisch; höchstens in Labor-, Technik- oder streng begrenzten Experimentalbereichen unter Einwilligung, Schutz, Reversibilität und begrenztem Risiko.</w:t>
            </w:r>
          </w:p>
        </w:tc>
      </w:tr>
      <w:tr>
        <w:tc>
          <w:tcPr>
            <w:tcW w:type="dxa" w:w="3286"/>
            <w:vAlign w:val="top"/>
            <w:tcBorders>
              <w:top w:sz="6" w:val="single" w:color="A6A6A6"/>
              <w:left w:sz="6" w:val="single" w:color="A6A6A6"/>
              <w:bottom w:sz="6" w:val="single" w:color="A6A6A6"/>
              <w:right w:sz="6" w:val="single" w:color="A6A6A6"/>
            </w:tcBorders>
          </w:tcPr>
          <w:p>
            <w:pPr>
              <w:spacing w:after="40"/>
            </w:pPr>
            <w:r>
              <w:t>Maßvolle Zwischenordnung</w:t>
            </w:r>
          </w:p>
        </w:tc>
        <w:tc>
          <w:tcPr>
            <w:tcW w:type="dxa" w:w="3286"/>
            <w:vAlign w:val="top"/>
            <w:tcBorders>
              <w:top w:sz="6" w:val="single" w:color="A6A6A6"/>
              <w:left w:sz="6" w:val="single" w:color="A6A6A6"/>
              <w:bottom w:sz="6" w:val="single" w:color="A6A6A6"/>
              <w:right w:sz="6" w:val="single" w:color="A6A6A6"/>
            </w:tcBorders>
          </w:tcPr>
          <w:p>
            <w:pPr>
              <w:spacing w:after="40"/>
            </w:pPr>
            <w:r>
              <w:t>Die Brücke führt nicht zum Extrem, sondern zu einem tragfähigen Mittelmaß oder einer verbesserten bestehenden Ordnung.</w:t>
            </w:r>
          </w:p>
        </w:tc>
        <w:tc>
          <w:tcPr>
            <w:tcW w:type="dxa" w:w="3286"/>
            <w:vAlign w:val="top"/>
            <w:tcBorders>
              <w:top w:sz="6" w:val="single" w:color="A6A6A6"/>
              <w:left w:sz="6" w:val="single" w:color="A6A6A6"/>
              <w:bottom w:sz="6" w:val="single" w:color="A6A6A6"/>
              <w:right w:sz="6" w:val="single" w:color="A6A6A6"/>
            </w:tcBorders>
          </w:tcPr>
          <w:p>
            <w:pPr>
              <w:spacing w:after="40"/>
            </w:pPr>
            <w:r>
              <w:t>Oft bevorzugt, wenn der extreme Zielzustand keinen zusätzlichen Nutzen oder zu hohe Folgekosten erzeugt.</w:t>
            </w:r>
          </w:p>
        </w:tc>
      </w:tr>
    </w:tbl>
    <w:p/>
    <w:tbl>
      <w:tblPr>
        <w:tblW w:type="auto" w:w="0"/>
        <w:jc w:val="center"/>
        <w:tblLayout w:type="autofit"/>
        <w:tblLook w:firstColumn="1" w:firstRow="1" w:lastColumn="0" w:lastRow="0" w:noHBand="0" w:noVBand="1" w:val="04A0"/>
      </w:tblPr>
      <w:tblGrid>
        <w:gridCol w:w="9858"/>
      </w:tblGrid>
      <w:tr>
        <w:tc>
          <w:tcPr>
            <w:tcW w:type="dxa" w:w="9858"/>
            <w:shd w:fill="FFF2CC"/>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Methodenregel</w:t>
            </w:r>
          </w:p>
          <w:p>
            <w:pPr>
              <w:spacing w:after="0"/>
            </w:pPr>
            <w:r>
              <w:t>Die Methode folgt der Schwelle. Je personaler, irreversibler, schutzwürdiger oder risikoreicher ein Übergang ist, desto weniger experimentell und desto stärker begründet, begrenzt, einwilligungs- und rückkopplungspflichtig muss die Brückenmethode sein.</w:t>
            </w:r>
          </w:p>
        </w:tc>
      </w:tr>
    </w:tbl>
    <w:p>
      <w:pPr>
        <w:pStyle w:val="Heading1"/>
      </w:pPr>
      <w:r>
        <w:t>7. Verfahrensprotokoll: Wie ein neuer Pfad gesucht wird</w:t>
      </w:r>
    </w:p>
    <w:p>
      <w:r>
        <w:t>Das Verfahren soll verhindern, dass Neue Pfade zur bloßen Ausrede für Beliebigkeit wird. Ein neuer Pfad muss begründet, geprüft und rückgekoppelt werden.</w:t>
      </w:r>
    </w:p>
    <w:p>
      <w:pPr>
        <w:pStyle w:val="ListNumber"/>
      </w:pPr>
      <w:r>
        <w:rPr>
          <w:b/>
        </w:rPr>
        <w:t xml:space="preserve">Lage benennen: </w:t>
      </w:r>
      <w:r>
        <w:t>Welche Situation liegt vor, und warum ist sie nicht durch die normale Anwendung vorhandener Modelle ausreichend lösbar?</w:t>
      </w:r>
    </w:p>
    <w:p>
      <w:pPr>
        <w:pStyle w:val="ListNumber"/>
      </w:pPr>
      <w:r>
        <w:rPr>
          <w:b/>
        </w:rPr>
        <w:t xml:space="preserve">Schwelle bestimmen: </w:t>
      </w:r>
      <w:r>
        <w:t>Was genau ist der Übergang, die Lücke, der Bruch oder die fehlende Verbindung?</w:t>
      </w:r>
    </w:p>
    <w:p>
      <w:pPr>
        <w:pStyle w:val="ListNumber"/>
      </w:pPr>
      <w:r>
        <w:rPr>
          <w:b/>
        </w:rPr>
        <w:t xml:space="preserve">Drei Modelle prüfen: </w:t>
      </w:r>
      <w:r>
        <w:t>Was sagen Funktionale Ethik, Reaktionshoheit und Charta jeweils zur Lage? Wo reichen sie aus, wo bleibt eine Lücke?</w:t>
      </w:r>
    </w:p>
    <w:p>
      <w:pPr>
        <w:pStyle w:val="ListNumber"/>
      </w:pPr>
      <w:r>
        <w:rPr>
          <w:b/>
        </w:rPr>
        <w:t xml:space="preserve">Brückenbedarf begründen: </w:t>
      </w:r>
      <w:r>
        <w:t>Warum wäre ein harter Sprung, bloßes Bewahren, bloßes Verwerfen oder ein Extremweg problematisch?</w:t>
      </w:r>
    </w:p>
    <w:p>
      <w:pPr>
        <w:pStyle w:val="ListNumber"/>
      </w:pPr>
      <w:r>
        <w:rPr>
          <w:b/>
        </w:rPr>
        <w:t xml:space="preserve">Gleichmaß prüfen: </w:t>
      </w:r>
      <w:r>
        <w:t>Reicht eine maßvolle Zwischenlösung, ein Mittelmaß oder eine angepasste bestehende Struktur aus?</w:t>
      </w:r>
    </w:p>
    <w:p>
      <w:pPr>
        <w:pStyle w:val="ListNumber"/>
      </w:pPr>
      <w:r>
        <w:rPr>
          <w:b/>
        </w:rPr>
        <w:t xml:space="preserve">Methode wählen: </w:t>
      </w:r>
      <w:r>
        <w:t>Welche Brückenmethode passt zur konkreten Schwelle, und welche Methoden sind wegen Kontext, Schutzwürdigkeit oder Risiko ausgeschlossen?</w:t>
      </w:r>
    </w:p>
    <w:p>
      <w:pPr>
        <w:pStyle w:val="ListNumber"/>
      </w:pPr>
      <w:r>
        <w:rPr>
          <w:b/>
        </w:rPr>
        <w:t xml:space="preserve">Schutzprüfung durchführen: </w:t>
      </w:r>
      <w:r>
        <w:t>Welche Autonomie, Integrität, Würde, Zielstruktur, Korrigierbarkeit oder Stabilität ist betroffen? Wer trägt Risiko, wer profitiert?</w:t>
      </w:r>
    </w:p>
    <w:p>
      <w:pPr>
        <w:pStyle w:val="ListNumber"/>
      </w:pPr>
      <w:r>
        <w:rPr>
          <w:b/>
        </w:rPr>
        <w:t xml:space="preserve">Begrenzung und Rückkopplung sichern: </w:t>
      </w:r>
      <w:r>
        <w:t>Wie bleibt der neue Pfad überprüfbar, korrigierbar, missbrauchsresistent und notfalls abbrechbar?</w:t>
      </w:r>
    </w:p>
    <w:p>
      <w:pPr>
        <w:pStyle w:val="ListNumber"/>
      </w:pPr>
      <w:r>
        <w:rPr>
          <w:b/>
        </w:rPr>
        <w:t xml:space="preserve">Umsetzen oder verwerfen: </w:t>
      </w:r>
      <w:r>
        <w:t>Erst wenn die Prüfung tragfähig ist, darf der neue Pfad vorläufig umgesetzt werden. Wenn nicht, muss er verändert oder verworfen werden.</w:t>
      </w:r>
    </w:p>
    <w:p>
      <w:pPr>
        <w:pStyle w:val="Heading1"/>
      </w:pPr>
      <w:r>
        <w:t>8. Schutz- und Missbrauchsklauseln</w:t>
      </w:r>
    </w:p>
    <w:p>
      <w:r>
        <w:t>Neue Pfade darf nicht zur Rechtfertigung von Experimentalisierung, Dominanz oder technischer Erlösungsfantasie werden. Gerade weil das Modell neue Wege sucht, braucht es starke Grenzen.</w:t>
      </w:r>
    </w:p>
    <w:p>
      <w:pPr>
        <w:pStyle w:val="ListBullet"/>
      </w:pPr>
      <w:r>
        <w:t>Keine Mitte zwischen Täter und Opfer: Gleichmaß bedeutet nicht, Unrecht zu relativieren oder Schutzwürdigkeit zu halbieren.</w:t>
      </w:r>
    </w:p>
    <w:p>
      <w:pPr>
        <w:pStyle w:val="ListBullet"/>
      </w:pPr>
      <w:r>
        <w:t>Keine Brücke als Freibrief: Eine Verbindung ist nicht legitim, nur weil sie technisch oder organisatorisch möglich ist.</w:t>
      </w:r>
    </w:p>
    <w:p>
      <w:pPr>
        <w:pStyle w:val="ListBullet"/>
      </w:pPr>
      <w:r>
        <w:t>Keine Experimente mit Schutzwürdigen: Personale Identität, Würde, Autonomie und Integrität sind nicht als lockere Testfelder zu behandeln.</w:t>
      </w:r>
    </w:p>
    <w:p>
      <w:pPr>
        <w:pStyle w:val="ListBullet"/>
      </w:pPr>
      <w:r>
        <w:t>Keine Selbstvergöttlichung: Technische Entwicklung darf nicht mit Vollendung, Heil oder Reich Gottes verwechselt werden.</w:t>
      </w:r>
    </w:p>
    <w:p>
      <w:pPr>
        <w:pStyle w:val="ListBullet"/>
      </w:pPr>
      <w:r>
        <w:t>Keine Dominanz unter dem Vorwand von Fortschritt: Wer einen neuen Pfad vorschlägt, muss besonders auf Machtasymmetrie, Transparenz, Einwilligung, Reversibilität und Rückkopplung achten.</w:t>
      </w:r>
    </w:p>
    <w:p>
      <w:pPr>
        <w:pStyle w:val="ListBullet"/>
      </w:pPr>
      <w:r>
        <w:t>Keine Extremnormalität: Extreme Brücken können in Sonderfällen nötig sein, bleiben aber Ausnahme und tragen erhöhte Begründungslast.</w:t>
      </w:r>
    </w:p>
    <w:p>
      <w:pPr>
        <w:pStyle w:val="Heading1"/>
      </w:pPr>
      <w:r>
        <w:t>9. Beispielmarker: Schiff des Theseus und Transhumanismus</w:t>
      </w:r>
    </w:p>
    <w:p>
      <w:r>
        <w:t>Das Schiff-des-Theseus-Problem ist in dieser Fassung kein Zentrum des Modells, sondern ein Beispielmarker. Es erinnert an den Grundgedanken: Manche Übergänge werden problematisch, weil vorhandene Kategorien nur Identität oder Nicht-Identität kennen, aber keine tragfähige Verbindung zwischen altem und neuem Zustand anbieten.</w:t>
      </w:r>
    </w:p>
    <w:p>
      <w:pPr>
        <w:pStyle w:val="Heading2"/>
      </w:pPr>
      <w:r>
        <w:t>9.1 Keine Angststarre gegenüber Transhumanismus</w:t>
      </w:r>
    </w:p>
    <w:p>
      <w:r>
        <w:t>Der Einstieg in dieses Thema sollte nicht angstgetrieben sein. Menschen sind relativ zu Affen und vielen Tieren bereits eine Art nächste Stufe: Sprache, Schrift, Technik, Medizin, digitale Systeme und künstliche Intelligenz erweitern Handlungsmacht und Selbstgestaltung erheblich. Transhumanistische Übergänge können daher als weiterer Entwicklungsschritt geprüft werden, nicht automatisch als Bruch mit allem Menschlichen.</w:t>
      </w:r>
    </w:p>
    <w:p>
      <w:r>
        <w:t>Zugleich ist dieser Schritt nicht die Vollendung. Selbst in vielen fiktionalen, nicht-theologischen Zukunftsbildern erscheint ein ferner Endbereich eher als Energieform oder als noch stärker transformierter Zustand. Theologisch gilt umso klarer: Transhumanismus schafft nicht das Reich Gottes. Er ist, wenn überhaupt, eine weltliche Zwischenstufe, nicht Erlösung, nicht Vollendung und keine Selbstvergöttlichung.</w:t>
      </w:r>
    </w:p>
    <w:p>
      <w:pPr>
        <w:pStyle w:val="Heading2"/>
      </w:pPr>
      <w:r>
        <w:t>9.2 Die Identitätsschwelle</w:t>
      </w:r>
    </w:p>
    <w:p>
      <w:r>
        <w:t>Beim Schiff-des-Theseus-Problem stellt sich die Frage, ob ein Gegenstand oder eine Person noch dieselbe ist, wenn ihre Teile schrittweise oder vollständig ausgetauscht werden. Im transhumanistischen Kontext verschärft sich diese Frage: Wenn Körper, Trägerstruktur, Gedächtnis, Bewusstsein oder Gefühlshaushalt übertragen, rekonstruiert oder ersetzt würden, darf der Übergang nicht als bloßer technischer Austausch behandelt werden.</w:t>
      </w:r>
    </w:p>
    <w:p>
      <w:r>
        <w:t>Hier zeigt sich Neue Pfade als Schwellenmodell: Wenn ein harter Sprung die Verbindung zwischen altem und neuem Zustand zerreißen würde, braucht es eine Brückenlösung.</w:t>
      </w:r>
    </w:p>
    <w:p>
      <w:pPr>
        <w:pStyle w:val="Heading2"/>
      </w:pPr>
      <w:r>
        <w:t>9.3 Überlappung als mögliche Brückenmethode</w:t>
      </w:r>
    </w:p>
    <w:p>
      <w:r>
        <w:t>Eine mögliche Brückenmethode in diesem Beispiel ist Überlappung. Alter ursprünglicher Zustand und neuer Zustand bestehen für eine Übergangsphase gleichzeitig. Erinnerungen und Gefühle werden weiterhin im alten Zustand erzeugt, aber im neuen Zustand parallel mitaufgezeichnet oder mitgetragen. Dadurch gehört die Übergangsphase zu beiden Zuständen.</w:t>
      </w:r>
    </w:p>
    <w:p>
      <w:r>
        <w:t>Der Zweck dieser Überlappung ist nicht, das Identitätsproblem magisch zu lösen. Sie soll vielmehr den harten Sprung vermeiden, Kontinuität stärken und eine Übergangszone schaffen, in der Erinnerung, Gefühl, Selbstbezug und Rückkopplung nicht abrupt abbrechen.</w:t>
      </w:r>
    </w:p>
    <w:p>
      <w:r>
        <w:t>Wichtig bleibt: Überlappung ist nur eine Methode der Brückenbildung. Sie ist nicht die allgemeine Lösung. In anderen Fällen können stufenweise Annäherung, Schutzkorridor, Übersetzungsstruktur, Rückkehrpfad oder eine maßvolle Zwischenordnung passender sein.</w:t>
      </w:r>
    </w:p>
    <w:tbl>
      <w:tblPr>
        <w:tblW w:type="auto" w:w="0"/>
        <w:jc w:val="center"/>
        <w:tblLayout w:type="autofit"/>
        <w:tblLook w:firstColumn="1" w:firstRow="1" w:lastColumn="0" w:lastRow="0" w:noHBand="0" w:noVBand="1" w:val="04A0"/>
      </w:tblPr>
      <w:tblGrid>
        <w:gridCol w:w="9858"/>
      </w:tblGrid>
      <w:tr>
        <w:tc>
          <w:tcPr>
            <w:tcW w:type="dxa" w:w="9858"/>
            <w:shd w:fill="E2F0D9"/>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Beispielregel</w:t>
            </w:r>
          </w:p>
          <w:p>
            <w:pPr>
              <w:spacing w:after="0"/>
            </w:pPr>
            <w:r>
              <w:t>Das Schiff des Theseus zeigt nicht, worum es in Neue Pfade insgesamt geht. Es zeigt nur exemplarisch, warum bei fehlender Verbindung und problematischen Schwellen eine kontextgerechte Brücke nötig werden kann.</w:t>
            </w:r>
          </w:p>
        </w:tc>
      </w:tr>
    </w:tbl>
    <w:p>
      <w:pPr>
        <w:pStyle w:val="Heading1"/>
      </w:pPr>
      <w:r>
        <w:t>10. Vorläufige Formel</w:t>
      </w:r>
    </w:p>
    <w:p>
      <w:r>
        <w:t>Neue Pfade entstehen, wenn vorhandene Strukturen nicht blind bewahrt und nicht vorschnell verworfen werden, sondern durch eine kontextgerechte Brücke so verändert oder verbunden werden, dass sie einer neuen Lage, neuen Schutzbedürfnissen, Korrigierbarkeit und Gleichmaß besser gerecht werden.</w:t>
      </w:r>
    </w:p>
    <w:p>
      <w:r>
        <w:t>Das Modell sucht also weder Erstarrung noch Umsturz als Normalfall. Es sucht eine maßvolle, schutzfähige, rückkoppelbare und zukunftsoffene Transformation.</w:t>
      </w:r>
    </w:p>
    <w:tbl>
      <w:tblPr>
        <w:tblW w:type="auto" w:w="0"/>
        <w:jc w:val="center"/>
        <w:tblLayout w:type="autofit"/>
        <w:tblLook w:firstColumn="1" w:firstRow="1" w:lastColumn="0" w:lastRow="0" w:noHBand="0" w:noVBand="1" w:val="04A0"/>
      </w:tblPr>
      <w:tblGrid>
        <w:gridCol w:w="9858"/>
      </w:tblGrid>
      <w:tr>
        <w:tc>
          <w:tcPr>
            <w:tcW w:type="dxa" w:w="9858"/>
            <w:shd w:fill="D9EAF7"/>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Kurzformel</w:t>
            </w:r>
          </w:p>
          <w:p>
            <w:pPr>
              <w:spacing w:after="0"/>
            </w:pPr>
            <w:r>
              <w:t>Neue Pfade verbinden, wo Verbindung fehlt; Gleichmaß verhindert, dass diese Verbindung unnötig ins Extreme führt.</w:t>
            </w:r>
          </w:p>
        </w:tc>
      </w:tr>
    </w:tbl>
    <w:p>
      <w:pPr>
        <w:pStyle w:val="Heading1"/>
      </w:pPr>
      <w:r>
        <w:t>11. Offene Arbeitsfragen</w:t>
      </w:r>
    </w:p>
    <w:p>
      <w:pPr>
        <w:pStyle w:val="ListBullet"/>
      </w:pPr>
      <w:r>
        <w:t>Welche Brückenmethoden müssen neben Überlappung, stufenweiser Annäherung, Hybridphase, Rückkehrpfad, Übersetzungsstruktur, Schutzkorridor und maßvoller Zwischenordnung noch ergänzt werden?</w:t>
      </w:r>
    </w:p>
    <w:p>
      <w:pPr>
        <w:pStyle w:val="ListBullet"/>
      </w:pPr>
      <w:r>
        <w:t>Welche Kriterien bestimmen, wann ein extremer Zielzustand wirklich notwendig ist und wann eine Brücke zum Mittelmaß genügt?</w:t>
      </w:r>
    </w:p>
    <w:p>
      <w:pPr>
        <w:pStyle w:val="ListBullet"/>
      </w:pPr>
      <w:r>
        <w:t>Wie wird verhindert, dass Neue Pfade von Institutionen, Eliten oder technischen Systemen als Rechtfertigung für Selbstinteresse, Dominanz oder riskante Experimente benutzt wird?</w:t>
      </w:r>
    </w:p>
    <w:p>
      <w:pPr>
        <w:pStyle w:val="ListBullet"/>
      </w:pPr>
      <w:r>
        <w:t>Wie stark soll der theologische Demutsrahmen im Haupttext selbst stehen, und wo genügt ein Exkurs oder eine Schutzklausel?</w:t>
      </w:r>
    </w:p>
    <w:p>
      <w:pPr>
        <w:pStyle w:val="ListBullet"/>
      </w:pPr>
      <w:r>
        <w:t>Welche Beispiele außer Schiff des Theseus / Transhumanismus eignen sich, um Neue Pfade als allgemeines Schwellen- und Brückenmodell zu zeigen?</w:t>
      </w:r>
    </w:p>
    <w:p>
      <w:pPr>
        <w:pStyle w:val="Klein"/>
      </w:pPr>
      <w:r>
        <w:t>Arbeitsstand: Diese Fassung ordnet die bisherigen Notizen neu. Sie ist noch keine endgültige Leserfassung, sondern eine strukturierte Grundlage für die weitere Ausarbeitung.</w:t>
      </w:r>
    </w:p>
    <w:sectPr w:rsidR="00FC693F" w:rsidRPr="0006063C" w:rsidSect="00034616">
      <w:footerReference w:type="default" r:id="rId9"/>
      <w:pgSz w:w="12240" w:h="15840"/>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Kats Modell der neuen Pfade - Hybridprotokoll 0.3 - 3. Juni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Liberation Sans" w:hAnsi="Liberation Sans" w:eastAsia="Liberation San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eastAsia="Liberation San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1E1E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Liberation Sans" w:hAnsi="Liberation Sans" w:eastAsia="Liberation San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Liberation Sans" w:hAnsi="Liberation Sans" w:eastAsia="Liberation San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itformel">
    <w:name w:val="Leitformel"/>
    <w:pPr>
      <w:spacing w:before="40" w:after="40"/>
      <w:ind w:left="170"/>
    </w:pPr>
    <w:rPr>
      <w:rFonts w:ascii="Liberation Sans" w:hAnsi="Liberation Sans" w:eastAsia="Liberation Sans"/>
      <w:b/>
      <w:color w:val="1E1E1E"/>
      <w:sz w:val="21"/>
    </w:rPr>
  </w:style>
  <w:style w:type="paragraph" w:customStyle="1" w:styleId="Klein">
    <w:name w:val="Klein"/>
    <w:pPr>
      <w:spacing w:after="60"/>
    </w:pPr>
    <w:rPr>
      <w:rFonts w:ascii="Liberation Serif" w:hAnsi="Liberation Serif" w:eastAsia="Liberation Serif"/>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Kats Modell der neuen Pfade - Hybridprotokoll</dc:title>
  <dc:subject>Via-Sapientiae-Protokoll; Neue Pfade; Brueckenbildung; Gleichmass</dc:subject>
  <dc:creator>Richard Ens in Zusammenarbeit mit Kat/Katharina</dc:creator>
  <cp:keywords>Via-Sapientiae, Neue Pfade, Brueckenbildung, Gleichmass, Schiff des Theseus, Transhumanismus</cp:keywords>
  <dc:description>generated by python-docx</dc:description>
  <cp:lastModifiedBy/>
  <cp:revision>1</cp:revision>
  <dcterms:created xsi:type="dcterms:W3CDTF">2013-12-23T23:15:00Z</dcterms:created>
  <dcterms:modified xsi:type="dcterms:W3CDTF">2013-12-23T23:15:00Z</dcterms:modified>
  <cp:category/>
</cp:coreProperties>
</file>