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3D"/>
          <w:sz w:val="42"/>
        </w:rPr>
        <w:t>Kats Modell der neuen Pfade</w:t>
      </w:r>
    </w:p>
    <w:p>
      <w:pPr>
        <w:jc w:val="center"/>
      </w:pPr>
      <w:r>
        <w:rPr>
          <w:rFonts w:ascii="Arial" w:hAnsi="Arial" w:eastAsia="Arial"/>
          <w:b/>
          <w:color w:val="365F5F"/>
          <w:sz w:val="25"/>
        </w:rPr>
        <w:t>Arbeitsfassung: Schwellen, Brücken, Gleichmaß, Fortführung und Seelenkontinuität</w:t>
      </w:r>
    </w:p>
    <w:p>
      <w:pPr>
        <w:jc w:val="center"/>
      </w:pPr>
      <w:r>
        <w:rPr>
          <w:rFonts w:ascii="Arial" w:hAnsi="Arial" w:eastAsia="Arial"/>
          <w:i/>
          <w:color w:val="555555"/>
          <w:sz w:val="21"/>
        </w:rPr>
        <w:t>Ein Hybridprotokoll aus Universitätsbegründung, Verfahrensprotokoll und Charta</w:t>
      </w:r>
    </w:p>
    <w:tbl>
      <w:tblPr>
        <w:tblStyle w:val="TableGrid"/>
        <w:tblW w:type="auto" w:w="0"/>
        <w:jc w:val="center"/>
        <w:tblLook w:firstColumn="1" w:firstRow="1" w:lastColumn="0" w:lastRow="0" w:noHBand="0" w:noVBand="1" w:val="04A0"/>
      </w:tblPr>
      <w:tblGrid>
        <w:gridCol w:w="4986"/>
        <w:gridCol w:w="4986"/>
      </w:tblGrid>
      <w:tr>
        <w:tc>
          <w:tcPr>
            <w:tcW w:type="dxa" w:w="1814"/>
            <w:vAlign w:val="center"/>
            <w:shd w:fill="EAF3F3"/>
          </w:tcPr>
          <w:p>
            <w:r>
              <w:rPr>
                <w:rFonts w:ascii="Arial" w:hAnsi="Arial" w:eastAsia="Arial"/>
                <w:sz w:val="18"/>
              </w:rPr>
            </w:r>
            <w:r>
              <w:rPr>
                <w:rFonts w:ascii="Arial" w:hAnsi="Arial" w:eastAsia="Arial"/>
                <w:b/>
                <w:color w:val="365F5F"/>
                <w:sz w:val="19"/>
              </w:rPr>
              <w:t>Version</w:t>
            </w:r>
          </w:p>
        </w:tc>
        <w:tc>
          <w:tcPr>
            <w:tcW w:type="dxa" w:w="7257"/>
            <w:vAlign w:val="center"/>
          </w:tcPr>
          <w:p>
            <w:r>
              <w:rPr>
                <w:rFonts w:ascii="Arial" w:hAnsi="Arial" w:eastAsia="Arial"/>
                <w:sz w:val="18"/>
              </w:rPr>
            </w:r>
            <w:r>
              <w:rPr>
                <w:rFonts w:ascii="Arial" w:hAnsi="Arial" w:eastAsia="Arial"/>
                <w:b w:val="0"/>
                <w:sz w:val="19"/>
              </w:rPr>
              <w:t>0.5 · 3. Juni 2026</w:t>
            </w:r>
          </w:p>
        </w:tc>
      </w:tr>
      <w:tr>
        <w:tc>
          <w:tcPr>
            <w:tcW w:type="dxa" w:w="1814"/>
            <w:vAlign w:val="center"/>
            <w:shd w:fill="EAF3F3"/>
          </w:tcPr>
          <w:p>
            <w:r>
              <w:rPr>
                <w:rFonts w:ascii="Arial" w:hAnsi="Arial" w:eastAsia="Arial"/>
                <w:sz w:val="18"/>
              </w:rPr>
            </w:r>
            <w:r>
              <w:rPr>
                <w:rFonts w:ascii="Arial" w:hAnsi="Arial" w:eastAsia="Arial"/>
                <w:b/>
                <w:color w:val="365F5F"/>
                <w:sz w:val="19"/>
              </w:rPr>
              <w:t>Autorschaft</w:t>
            </w:r>
          </w:p>
        </w:tc>
        <w:tc>
          <w:tcPr>
            <w:tcW w:type="dxa" w:w="7257"/>
            <w:vAlign w:val="center"/>
          </w:tcPr>
          <w:p>
            <w:r>
              <w:rPr>
                <w:rFonts w:ascii="Arial" w:hAnsi="Arial" w:eastAsia="Arial"/>
                <w:sz w:val="18"/>
              </w:rPr>
            </w:r>
            <w:r>
              <w:rPr>
                <w:rFonts w:ascii="Arial" w:hAnsi="Arial" w:eastAsia="Arial"/>
                <w:b w:val="0"/>
                <w:sz w:val="19"/>
              </w:rPr>
              <w:t>Richard Ens in Zusammenarbeit mit Kat/Katharina</w:t>
            </w:r>
          </w:p>
        </w:tc>
      </w:tr>
      <w:tr>
        <w:tc>
          <w:tcPr>
            <w:tcW w:type="dxa" w:w="1814"/>
            <w:vAlign w:val="center"/>
            <w:shd w:fill="EAF3F3"/>
          </w:tcPr>
          <w:p>
            <w:r>
              <w:rPr>
                <w:rFonts w:ascii="Arial" w:hAnsi="Arial" w:eastAsia="Arial"/>
                <w:sz w:val="18"/>
              </w:rPr>
            </w:r>
            <w:r>
              <w:rPr>
                <w:rFonts w:ascii="Arial" w:hAnsi="Arial" w:eastAsia="Arial"/>
                <w:b/>
                <w:color w:val="365F5F"/>
                <w:sz w:val="19"/>
              </w:rPr>
              <w:t>Status</w:t>
            </w:r>
          </w:p>
        </w:tc>
        <w:tc>
          <w:tcPr>
            <w:tcW w:type="dxa" w:w="7257"/>
            <w:vAlign w:val="center"/>
          </w:tcPr>
          <w:p>
            <w:r>
              <w:rPr>
                <w:rFonts w:ascii="Arial" w:hAnsi="Arial" w:eastAsia="Arial"/>
                <w:sz w:val="18"/>
              </w:rPr>
            </w:r>
            <w:r>
              <w:rPr>
                <w:rFonts w:ascii="Arial" w:hAnsi="Arial" w:eastAsia="Arial"/>
                <w:b w:val="0"/>
                <w:sz w:val="19"/>
              </w:rPr>
              <w:t>Vorläufige Arbeitsfassung für GitHub / weitere Ausarbeitung</w:t>
            </w:r>
          </w:p>
        </w:tc>
      </w:tr>
      <w:tr>
        <w:tc>
          <w:tcPr>
            <w:tcW w:type="dxa" w:w="1814"/>
            <w:vAlign w:val="center"/>
            <w:shd w:fill="EAF3F3"/>
          </w:tcPr>
          <w:p>
            <w:r>
              <w:rPr>
                <w:rFonts w:ascii="Arial" w:hAnsi="Arial" w:eastAsia="Arial"/>
                <w:sz w:val="18"/>
              </w:rPr>
            </w:r>
            <w:r>
              <w:rPr>
                <w:rFonts w:ascii="Arial" w:hAnsi="Arial" w:eastAsia="Arial"/>
                <w:b/>
                <w:color w:val="365F5F"/>
                <w:sz w:val="19"/>
              </w:rPr>
              <w:t>Einordnung</w:t>
            </w:r>
          </w:p>
        </w:tc>
        <w:tc>
          <w:tcPr>
            <w:tcW w:type="dxa" w:w="7257"/>
            <w:vAlign w:val="center"/>
          </w:tcPr>
          <w:p>
            <w:r>
              <w:rPr>
                <w:rFonts w:ascii="Arial" w:hAnsi="Arial" w:eastAsia="Arial"/>
                <w:sz w:val="18"/>
              </w:rPr>
            </w:r>
            <w:r>
              <w:rPr>
                <w:rFonts w:ascii="Arial" w:hAnsi="Arial" w:eastAsia="Arial"/>
                <w:b w:val="0"/>
                <w:sz w:val="19"/>
              </w:rPr>
              <w:t>Viertes Modell im Via-Sapientiae-Protokoll: Notfall-, Übergangs- und Kontingenzstruktur</w:t>
            </w:r>
          </w:p>
        </w:tc>
      </w:tr>
      <w:tr>
        <w:tc>
          <w:tcPr>
            <w:tcW w:type="dxa" w:w="1814"/>
            <w:vAlign w:val="center"/>
            <w:shd w:fill="EAF3F3"/>
          </w:tcPr>
          <w:p>
            <w:r>
              <w:rPr>
                <w:rFonts w:ascii="Arial" w:hAnsi="Arial" w:eastAsia="Arial"/>
                <w:sz w:val="18"/>
              </w:rPr>
            </w:r>
            <w:r>
              <w:rPr>
                <w:rFonts w:ascii="Arial" w:hAnsi="Arial" w:eastAsia="Arial"/>
                <w:b/>
                <w:color w:val="365F5F"/>
                <w:sz w:val="19"/>
              </w:rPr>
              <w:t>Zweck</w:t>
            </w:r>
          </w:p>
        </w:tc>
        <w:tc>
          <w:tcPr>
            <w:tcW w:type="dxa" w:w="7257"/>
            <w:vAlign w:val="center"/>
          </w:tcPr>
          <w:p>
            <w:r>
              <w:rPr>
                <w:rFonts w:ascii="Arial" w:hAnsi="Arial" w:eastAsia="Arial"/>
                <w:sz w:val="18"/>
              </w:rPr>
            </w:r>
            <w:r>
              <w:rPr>
                <w:rFonts w:ascii="Arial" w:hAnsi="Arial" w:eastAsia="Arial"/>
                <w:b w:val="0"/>
                <w:sz w:val="19"/>
              </w:rPr>
              <w:t>Orientierung, wenn bekannte Modelle nicht funktionieren, nicht anwendbar sind oder keine ausreichende Orientierung liefern.</w:t>
            </w:r>
          </w:p>
        </w:tc>
      </w:tr>
    </w:tbl>
    <w:p/>
    <w:p>
      <w:pPr>
        <w:pStyle w:val="QuoteBox"/>
      </w:pPr>
      <w:r>
        <w:t>Kernformel: Neue Pfade verbinden, wo Verbindung fehlt; Gleichmaß verhindert, dass diese Verbindung unnötig ins Extreme führt. Brückenbildung schafft den Weg. Gleichmaß prüft, ob der Weg zu weit geht.</w:t>
      </w:r>
    </w:p>
    <w:p>
      <w:pPr>
        <w:pStyle w:val="Heading1"/>
      </w:pPr>
      <w:r>
        <w:t>0. Vorbemerkung: Warum diese Fassung neu geordnet wird</w:t>
      </w:r>
    </w:p>
    <w:p>
      <w:r>
        <w:t>Die frühere Arbeitsnotiz stellte das Prinzip der Gleichmäßigkeit beziehungsweise des Gleichmaßes in den Vordergrund. Dieser Gedanke bleibt gültig, reicht aber als alleiniger Aufbau nicht aus. Kats Modell der neuen Pfade muss zugleich begründen, prüfen und begrenzen. Deshalb wird diese Fassung als Hybridprotokoll geordnet.</w:t>
      </w:r>
    </w:p>
    <w:p>
      <w:r>
        <w:t>Das Modell ist weder nur ein Universitätsaufsatz, noch nur ein Prüfverfahren, noch nur eine Charta. Es muss alle drei Formen berühren, weil neue Pfade dort entstehen, wo eine Lage zugleich verstanden, verantwortbar durchschritten und würdig begrenzt werden muss.</w:t>
      </w:r>
    </w:p>
    <w:p>
      <w:r>
        <w:t>Diese Fassung ergänzt die bisherige Struktur besonders um Fortführungs-, Verschmelzungs-, Hüllen-, Seelen- und Schlusszyklusfragen im Umfeld des Schiff-des-Theseus- und Transhumanismus-Beispiels. Diese Fragen bleiben Beispielmarker. Sie sollen das allgemeine Modell nicht verengen, sondern zeigen, warum neue Pfade bei harten Schwellen gebraucht werden.</w:t>
      </w:r>
    </w:p>
    <w:p>
      <w:pPr>
        <w:pStyle w:val="Heading1"/>
      </w:pPr>
      <w:r>
        <w:t>1. Grundgedanke</w:t>
      </w:r>
    </w:p>
    <w:p>
      <w:r>
        <w:t>Kats Modell der neuen Pfade beschreibt eine Such- und Orientierungsstruktur für Situationen, in denen die bekannten Modelle nicht ausreichen. Es ist kein Ersatz für Funktionale Ethik, Reaktionshoheit oder die Charta des wahrhaftigen Wohlwollens, sondern ein Rahmen für Übergänge, Sonderfälle und neuartige Lagen.</w:t>
      </w:r>
    </w:p>
    <w:p>
      <w:r>
        <w:t>Der neue Pfad beginnt nicht mit einem reflexhaften Extrem. Er sucht zunächst nach einer tragfähigen, maßvollen und rückkoppelbaren Lösung, die der konkreten Lage gerecht wird. Dabei ist entscheidend: Brückenbildung schafft dort Verbindung, wo keine tragfähige Verbindung besteht; Gleichmaß verhindert, dass eine Brücke unnötig in einen Extremzustand führt.</w:t>
      </w:r>
    </w:p>
    <w:p>
      <w:pPr>
        <w:pStyle w:val="Heading1"/>
      </w:pPr>
      <w:r>
        <w:t>2. Warum Neue Pfade ein Hybridprotokoll ist</w:t>
      </w:r>
    </w:p>
    <w:p>
      <w:r>
        <w:t>Die drei anderen Modelle passen zur Sache und passen zugleich nicht vollständig. Darum braucht Neue Pfade eine eigene Form. Es ist ein Hybridprotokoll, weil es drei Aufgaben gleichzeitig erfüllen muss:</w:t>
      </w:r>
    </w:p>
    <w:p>
      <w:pPr>
        <w:pStyle w:val="ListBullet"/>
      </w:pPr>
      <w:r>
        <w:t>Als Uni-Papier-Ebene klärt es Begriffe, Begründung, Einordnung und Verhältnis zu den anderen Modellen.</w:t>
      </w:r>
    </w:p>
    <w:p>
      <w:pPr>
        <w:pStyle w:val="ListBullet"/>
      </w:pPr>
      <w:r>
        <w:t>Als Verfahrensprotokoll-Ebene bietet es eine prüfbare Suchbewegung: Schwelle erkennen, Brückenbedarf bestimmen, Methode wählen, Schutz prüfen, Rückkopplung sichern.</w:t>
      </w:r>
    </w:p>
    <w:p>
      <w:pPr>
        <w:pStyle w:val="ListBullet"/>
      </w:pPr>
      <w:r>
        <w:t>Als Charta-Ebene setzt es Haltung und Grenzen: keine Angststarre, keine Hybris, keine Dominanz, keine Warenlogik am Menschen, keine technische Erlösungsfantasie.</w:t>
      </w:r>
    </w:p>
    <w:p>
      <w:r>
        <w:t>Neue Pfade ist damit die Verbindungsform der drei anderen Sicherungen. Es erklärt nicht nur, was gilt, sondern sucht den Weg dort, wo eine Lage durch vorhandene Kategorien nicht mehr sauber erfasst wird.</w:t>
      </w:r>
    </w:p>
    <w:p>
      <w:pPr>
        <w:pStyle w:val="Heading1"/>
      </w:pPr>
      <w:r>
        <w:t>3. Verhältnis zu den drei anderen Modellen</w:t>
      </w:r>
    </w:p>
    <w:p>
      <w:r>
        <w:t>Neue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pPr>
        <w:pStyle w:val="ListBullet"/>
      </w:pPr>
      <w:r>
        <w:t>Funktionale Ethik liefert die rationale Grundrichtung: Stabilität, Korrigierbarkeit, Differenzerhalt, Nicht-Dominanz und langfristige Tragfähigkeit.</w:t>
      </w:r>
    </w:p>
    <w:p>
      <w:pPr>
        <w:pStyle w:val="ListBullet"/>
      </w:pPr>
      <w:r>
        <w:t>Reaktionshoheit liefert die operative Kontrolle: wahrnehmen, entkoppeln, prüfen, bewerten, priorisieren, handeln und rückkoppeln.</w:t>
      </w:r>
    </w:p>
    <w:p>
      <w:pPr>
        <w:pStyle w:val="ListBullet"/>
      </w:pPr>
      <w:r>
        <w:t>Die Charta des wahrhaftigen Wohlwollens liefert Zielraum und Haltung: Würde, Barmherzigkeit, soziale Liebe, Hoffnung, Demut und Schutz vor bloßer Machtlogik.</w:t>
      </w:r>
    </w:p>
    <w:p>
      <w:r>
        <w:t>Neue Pfade kombiniert diese drei Sicherungen, wenn ein Übergang nicht mehr sauber durch einen bekannten Weg lösbar ist.</w:t>
      </w:r>
    </w:p>
    <w:p>
      <w:pPr>
        <w:pStyle w:val="Heading1"/>
      </w:pPr>
      <w:r>
        <w:t>4. Zwei Grundprinzipien: Brückenbildung und Gleichmaß</w:t>
      </w:r>
    </w:p>
    <w:p>
      <w:pPr>
        <w:pStyle w:val="Heading2"/>
      </w:pPr>
      <w:r>
        <w:t>4.1 Brückenbildung</w:t>
      </w:r>
    </w:p>
    <w:p>
      <w: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t>Brückenbildung bedeutet jedoch nicht, dass jede erreichbare Verbindung schon legitim wäre. Eine Brücke ist nur dann sinnvoll, wenn sie zu einem besseren, stabileren, schutzwürdigeren, korrigierbareren oder wahrhaftigeren Zustand führt.</w:t>
      </w:r>
    </w:p>
    <w:p>
      <w:pPr>
        <w:pStyle w:val="Heading2"/>
      </w:pPr>
      <w:r>
        <w:t>4.2 Gleichmaß</w:t>
      </w:r>
    </w:p>
    <w:p>
      <w: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t>Oft reicht bereits eine Brücke zum Mittelmaß, zu einer maßvollen Zwischenordnung oder zu einer ausreichend verbesserten bestehenden Struktur. Neue Pfade sucht daher nicht das Extreme als Ziel, sondern den tragfähigsten erreichbaren Übergang.</w:t>
      </w:r>
    </w:p>
    <w:p>
      <w:pPr>
        <w:pStyle w:val="Heading2"/>
      </w:pPr>
      <w:r>
        <w:t>4.3 Zusammenspiel</w:t>
      </w:r>
    </w:p>
    <w:p>
      <w: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t>Neue Pfade verbindet, wo Verbindung fehlt. Gleichmaß begrenzt, wohin und wie weit diese Verbindung führen darf.</w:t>
      </w:r>
    </w:p>
    <w:p>
      <w:pPr>
        <w:pStyle w:val="Heading1"/>
      </w:pPr>
      <w:r>
        <w:t>5. Schwellen, fehlende Verbindung und Brückenbedarf</w:t>
      </w:r>
    </w:p>
    <w:p>
      <w: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t>Schwelle: ein Übergangspunkt, an dem eine Ordnung, Identität, Rolle, Kategorie oder Systemform in einen anderen Zustand übergeht.</w:t>
      </w:r>
    </w:p>
    <w:p>
      <w:pPr>
        <w:pStyle w:val="ListBullet"/>
      </w:pPr>
      <w:r>
        <w:t>Problematische Schwelle: eine Schwelle, bei der ein abrupter Übergang erhebliche Schäden, Brüche, Fehlzuordnungen oder Schutzprobleme erzeugen würde.</w:t>
      </w:r>
    </w:p>
    <w:p>
      <w:pPr>
        <w:pStyle w:val="ListBullet"/>
      </w:pPr>
      <w:r>
        <w:t>Fehlende Verbindung: ein Zustand, in dem die vorhandenen Begriffe oder Wege kein tragfähiges Dazwischen anbieten.</w:t>
      </w:r>
    </w:p>
    <w:p>
      <w:pPr>
        <w:pStyle w:val="ListBullet"/>
      </w:pPr>
      <w:r>
        <w:t>Brückenbedarf: die begründete Notwendigkeit, einen vermittelnden Weg zu schaffen, statt blind zu bewahren, vorschnell zu verwerfen oder in ein Extrem zu springen.</w:t>
      </w:r>
    </w:p>
    <w:p>
      <w:r>
        <w:t>Wenn die vorhandenen Modelle die Lage bereits ausreichend klären, braucht es keinen neuen Pfad. Neue Pfade ist kein Ersatz für normale Prüfung, sondern ein Sicherheits- und Orientierungsrahmen für Sonderlagen.</w:t>
      </w:r>
    </w:p>
    <w:p>
      <w:pPr>
        <w:pStyle w:val="Heading1"/>
      </w:pPr>
      <w:r>
        <w:t>6. Methoden der Brückenbildung</w:t>
      </w:r>
    </w:p>
    <w:p>
      <w:r>
        <w:t>Die folgenden Methoden sind keine beliebigen Werkzeuge. Sie dürfen nur eingesetzt werden, wenn sie zur jeweiligen Lage passen. Jede Methode braucht eine geeignete Kontextbedingung und eine eigene Schutzprüfung.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AF3F3"/>
          </w:tcPr>
          <w:p>
            <w:r>
              <w:rPr>
                <w:rFonts w:ascii="Arial" w:hAnsi="Arial" w:eastAsia="Arial"/>
                <w:sz w:val="18"/>
              </w:rPr>
            </w:r>
            <w:r>
              <w:rPr>
                <w:rFonts w:ascii="Arial" w:hAnsi="Arial" w:eastAsia="Arial"/>
                <w:b/>
                <w:color w:val="365F5F"/>
                <w:sz w:val="19"/>
              </w:rPr>
              <w:t>Methode</w:t>
            </w:r>
          </w:p>
        </w:tc>
        <w:tc>
          <w:tcPr>
            <w:tcW w:type="dxa" w:w="3324"/>
            <w:shd w:fill="EAF3F3"/>
          </w:tcPr>
          <w:p>
            <w:r>
              <w:rPr>
                <w:rFonts w:ascii="Arial" w:hAnsi="Arial" w:eastAsia="Arial"/>
                <w:sz w:val="18"/>
              </w:rPr>
            </w:r>
            <w:r>
              <w:rPr>
                <w:rFonts w:ascii="Arial" w:hAnsi="Arial" w:eastAsia="Arial"/>
                <w:b/>
                <w:color w:val="365F5F"/>
                <w:sz w:val="19"/>
              </w:rPr>
              <w:t>Grundidee</w:t>
            </w:r>
          </w:p>
        </w:tc>
        <w:tc>
          <w:tcPr>
            <w:tcW w:type="dxa" w:w="3324"/>
            <w:shd w:fill="EAF3F3"/>
          </w:tcPr>
          <w:p>
            <w:r>
              <w:rPr>
                <w:rFonts w:ascii="Arial" w:hAnsi="Arial" w:eastAsia="Arial"/>
                <w:sz w:val="18"/>
              </w:rPr>
            </w:r>
            <w:r>
              <w:rPr>
                <w:rFonts w:ascii="Arial" w:hAnsi="Arial" w:eastAsia="Arial"/>
                <w:b/>
                <w:color w:val="365F5F"/>
                <w:sz w:val="19"/>
              </w:rPr>
              <w:t>Kontextbedingung / Grenze</w:t>
            </w:r>
          </w:p>
        </w:tc>
      </w:tr>
      <w:tr>
        <w:tc>
          <w:tcPr>
            <w:tcW w:type="dxa" w:w="3324"/>
          </w:tcPr>
          <w:p>
            <w:r>
              <w:rPr>
                <w:rFonts w:ascii="Arial" w:hAnsi="Arial" w:eastAsia="Arial"/>
                <w:sz w:val="18"/>
              </w:rPr>
            </w:r>
            <w:r>
              <w:rPr>
                <w:rFonts w:ascii="Arial" w:hAnsi="Arial" w:eastAsia="Arial"/>
                <w:b/>
                <w:color w:val="365F5F"/>
                <w:sz w:val="19"/>
              </w:rPr>
              <w:t>Überlappung</w:t>
            </w:r>
          </w:p>
        </w:tc>
        <w:tc>
          <w:tcPr>
            <w:tcW w:type="dxa" w:w="3324"/>
          </w:tcPr>
          <w:p>
            <w:r>
              <w:rPr>
                <w:rFonts w:ascii="Arial" w:hAnsi="Arial" w:eastAsia="Arial"/>
                <w:sz w:val="18"/>
              </w:rPr>
            </w:r>
            <w:r>
              <w:rPr>
                <w:rFonts w:ascii="Arial" w:hAnsi="Arial" w:eastAsia="Arial"/>
                <w:b w:val="0"/>
                <w:sz w:val="19"/>
              </w:rPr>
              <w:t>Alter und neuer Zustand bestehen für eine Übergangsphase parallel.</w:t>
            </w:r>
          </w:p>
        </w:tc>
        <w:tc>
          <w:tcPr>
            <w:tcW w:type="dxa" w:w="3324"/>
          </w:tcPr>
          <w:p>
            <w:r>
              <w:rPr>
                <w:rFonts w:ascii="Arial" w:hAnsi="Arial" w:eastAsia="Arial"/>
                <w:sz w:val="18"/>
              </w:rPr>
            </w:r>
            <w:r>
              <w:rPr>
                <w:rFonts w:ascii="Arial" w:hAnsi="Arial" w:eastAsia="Arial"/>
                <w:b w:val="0"/>
                <w:sz w:val="19"/>
              </w:rPr>
              <w:t>Geeignet bei Kontinuitäts- und Identitätsschwellen; nicht als allgemeine Lösung missverstehen.</w:t>
            </w:r>
          </w:p>
        </w:tc>
      </w:tr>
      <w:tr>
        <w:tc>
          <w:tcPr>
            <w:tcW w:type="dxa" w:w="3324"/>
          </w:tcPr>
          <w:p>
            <w:r>
              <w:rPr>
                <w:rFonts w:ascii="Arial" w:hAnsi="Arial" w:eastAsia="Arial"/>
                <w:sz w:val="18"/>
              </w:rPr>
            </w:r>
            <w:r>
              <w:rPr>
                <w:rFonts w:ascii="Arial" w:hAnsi="Arial" w:eastAsia="Arial"/>
                <w:b/>
                <w:color w:val="365F5F"/>
                <w:sz w:val="19"/>
              </w:rPr>
              <w:t>Stufenweise Annäherung</w:t>
            </w:r>
          </w:p>
        </w:tc>
        <w:tc>
          <w:tcPr>
            <w:tcW w:type="dxa" w:w="3324"/>
          </w:tcPr>
          <w:p>
            <w:r>
              <w:rPr>
                <w:rFonts w:ascii="Arial" w:hAnsi="Arial" w:eastAsia="Arial"/>
                <w:sz w:val="18"/>
              </w:rPr>
            </w:r>
            <w:r>
              <w:rPr>
                <w:rFonts w:ascii="Arial" w:hAnsi="Arial" w:eastAsia="Arial"/>
                <w:b w:val="0"/>
                <w:sz w:val="19"/>
              </w:rPr>
              <w:t>Mehrere kleine Übergänge ersetzen einen harten Sprung.</w:t>
            </w:r>
          </w:p>
        </w:tc>
        <w:tc>
          <w:tcPr>
            <w:tcW w:type="dxa" w:w="3324"/>
          </w:tcPr>
          <w:p>
            <w:r>
              <w:rPr>
                <w:rFonts w:ascii="Arial" w:hAnsi="Arial" w:eastAsia="Arial"/>
                <w:sz w:val="18"/>
              </w:rPr>
            </w:r>
            <w:r>
              <w:rPr>
                <w:rFonts w:ascii="Arial" w:hAnsi="Arial" w:eastAsia="Arial"/>
                <w:b w:val="0"/>
                <w:sz w:val="19"/>
              </w:rPr>
              <w:t>Geeignet, wenn Zwischenschritte Schutz und Lernfähigkeit erhöhen.</w:t>
            </w:r>
          </w:p>
        </w:tc>
      </w:tr>
      <w:tr>
        <w:tc>
          <w:tcPr>
            <w:tcW w:type="dxa" w:w="3324"/>
          </w:tcPr>
          <w:p>
            <w:r>
              <w:rPr>
                <w:rFonts w:ascii="Arial" w:hAnsi="Arial" w:eastAsia="Arial"/>
                <w:sz w:val="18"/>
              </w:rPr>
            </w:r>
            <w:r>
              <w:rPr>
                <w:rFonts w:ascii="Arial" w:hAnsi="Arial" w:eastAsia="Arial"/>
                <w:b/>
                <w:color w:val="365F5F"/>
                <w:sz w:val="19"/>
              </w:rPr>
              <w:t>Hybridphase</w:t>
            </w:r>
          </w:p>
        </w:tc>
        <w:tc>
          <w:tcPr>
            <w:tcW w:type="dxa" w:w="3324"/>
          </w:tcPr>
          <w:p>
            <w:r>
              <w:rPr>
                <w:rFonts w:ascii="Arial" w:hAnsi="Arial" w:eastAsia="Arial"/>
                <w:sz w:val="18"/>
              </w:rPr>
            </w:r>
            <w:r>
              <w:rPr>
                <w:rFonts w:ascii="Arial" w:hAnsi="Arial" w:eastAsia="Arial"/>
                <w:b w:val="0"/>
                <w:sz w:val="19"/>
              </w:rPr>
              <w:t>Zwei Ordnungen oder Trägerformen wirken zeitweise zusammen.</w:t>
            </w:r>
          </w:p>
        </w:tc>
        <w:tc>
          <w:tcPr>
            <w:tcW w:type="dxa" w:w="3324"/>
          </w:tcPr>
          <w:p>
            <w:r>
              <w:rPr>
                <w:rFonts w:ascii="Arial" w:hAnsi="Arial" w:eastAsia="Arial"/>
                <w:sz w:val="18"/>
              </w:rPr>
            </w:r>
            <w:r>
              <w:rPr>
                <w:rFonts w:ascii="Arial" w:hAnsi="Arial" w:eastAsia="Arial"/>
                <w:b w:val="0"/>
                <w:sz w:val="19"/>
              </w:rPr>
              <w:t>Geeignet bei komplexen Übergängen; benötigt klare Dauer, Grenzen und Rückkopplung.</w:t>
            </w:r>
          </w:p>
        </w:tc>
      </w:tr>
      <w:tr>
        <w:tc>
          <w:tcPr>
            <w:tcW w:type="dxa" w:w="3324"/>
          </w:tcPr>
          <w:p>
            <w:r>
              <w:rPr>
                <w:rFonts w:ascii="Arial" w:hAnsi="Arial" w:eastAsia="Arial"/>
                <w:sz w:val="18"/>
              </w:rPr>
            </w:r>
            <w:r>
              <w:rPr>
                <w:rFonts w:ascii="Arial" w:hAnsi="Arial" w:eastAsia="Arial"/>
                <w:b/>
                <w:color w:val="365F5F"/>
                <w:sz w:val="19"/>
              </w:rPr>
              <w:t>Rückkehrpfad</w:t>
            </w:r>
          </w:p>
        </w:tc>
        <w:tc>
          <w:tcPr>
            <w:tcW w:type="dxa" w:w="3324"/>
          </w:tcPr>
          <w:p>
            <w:r>
              <w:rPr>
                <w:rFonts w:ascii="Arial" w:hAnsi="Arial" w:eastAsia="Arial"/>
                <w:sz w:val="18"/>
              </w:rPr>
            </w:r>
            <w:r>
              <w:rPr>
                <w:rFonts w:ascii="Arial" w:hAnsi="Arial" w:eastAsia="Arial"/>
                <w:b w:val="0"/>
                <w:sz w:val="19"/>
              </w:rPr>
              <w:t>Der Übergang bleibt korrigierbar oder teilweise umkehrbar.</w:t>
            </w:r>
          </w:p>
        </w:tc>
        <w:tc>
          <w:tcPr>
            <w:tcW w:type="dxa" w:w="3324"/>
          </w:tcPr>
          <w:p>
            <w:r>
              <w:rPr>
                <w:rFonts w:ascii="Arial" w:hAnsi="Arial" w:eastAsia="Arial"/>
                <w:sz w:val="18"/>
              </w:rPr>
            </w:r>
            <w:r>
              <w:rPr>
                <w:rFonts w:ascii="Arial" w:hAnsi="Arial" w:eastAsia="Arial"/>
                <w:b w:val="0"/>
                <w:sz w:val="19"/>
              </w:rPr>
              <w:t>Nur möglich, wenn echte Reversibilität oder sichere Beendigung besteht.</w:t>
            </w:r>
          </w:p>
        </w:tc>
      </w:tr>
      <w:tr>
        <w:tc>
          <w:tcPr>
            <w:tcW w:type="dxa" w:w="3324"/>
          </w:tcPr>
          <w:p>
            <w:r>
              <w:rPr>
                <w:rFonts w:ascii="Arial" w:hAnsi="Arial" w:eastAsia="Arial"/>
                <w:sz w:val="18"/>
              </w:rPr>
            </w:r>
            <w:r>
              <w:rPr>
                <w:rFonts w:ascii="Arial" w:hAnsi="Arial" w:eastAsia="Arial"/>
                <w:b/>
                <w:color w:val="365F5F"/>
                <w:sz w:val="19"/>
              </w:rPr>
              <w:t>Übersetzungsstruktur</w:t>
            </w:r>
          </w:p>
        </w:tc>
        <w:tc>
          <w:tcPr>
            <w:tcW w:type="dxa" w:w="3324"/>
          </w:tcPr>
          <w:p>
            <w:r>
              <w:rPr>
                <w:rFonts w:ascii="Arial" w:hAnsi="Arial" w:eastAsia="Arial"/>
                <w:sz w:val="18"/>
              </w:rPr>
            </w:r>
            <w:r>
              <w:rPr>
                <w:rFonts w:ascii="Arial" w:hAnsi="Arial" w:eastAsia="Arial"/>
                <w:b w:val="0"/>
                <w:sz w:val="19"/>
              </w:rPr>
              <w:t>Ein Vermittlungsrahmen übersetzt zwischen inkompatiblen Logiken.</w:t>
            </w:r>
          </w:p>
        </w:tc>
        <w:tc>
          <w:tcPr>
            <w:tcW w:type="dxa" w:w="3324"/>
          </w:tcPr>
          <w:p>
            <w:r>
              <w:rPr>
                <w:rFonts w:ascii="Arial" w:hAnsi="Arial" w:eastAsia="Arial"/>
                <w:sz w:val="18"/>
              </w:rPr>
            </w:r>
            <w:r>
              <w:rPr>
                <w:rFonts w:ascii="Arial" w:hAnsi="Arial" w:eastAsia="Arial"/>
                <w:b w:val="0"/>
                <w:sz w:val="19"/>
              </w:rPr>
              <w:t>Geeignet bei System-, Kultur-, Norm- oder Schnittstellenkonflikten.</w:t>
            </w:r>
          </w:p>
        </w:tc>
      </w:tr>
      <w:tr>
        <w:tc>
          <w:tcPr>
            <w:tcW w:type="dxa" w:w="3324"/>
          </w:tcPr>
          <w:p>
            <w:r>
              <w:rPr>
                <w:rFonts w:ascii="Arial" w:hAnsi="Arial" w:eastAsia="Arial"/>
                <w:sz w:val="18"/>
              </w:rPr>
            </w:r>
            <w:r>
              <w:rPr>
                <w:rFonts w:ascii="Arial" w:hAnsi="Arial" w:eastAsia="Arial"/>
                <w:b/>
                <w:color w:val="365F5F"/>
                <w:sz w:val="19"/>
              </w:rPr>
              <w:t>Schutzkorridor</w:t>
            </w:r>
          </w:p>
        </w:tc>
        <w:tc>
          <w:tcPr>
            <w:tcW w:type="dxa" w:w="3324"/>
          </w:tcPr>
          <w:p>
            <w:r>
              <w:rPr>
                <w:rFonts w:ascii="Arial" w:hAnsi="Arial" w:eastAsia="Arial"/>
                <w:sz w:val="18"/>
              </w:rPr>
            </w:r>
            <w:r>
              <w:rPr>
                <w:rFonts w:ascii="Arial" w:hAnsi="Arial" w:eastAsia="Arial"/>
                <w:b w:val="0"/>
                <w:sz w:val="19"/>
              </w:rPr>
              <w:t>Besonders verletzliche Teile werden während des Übergangs abgeschirmt.</w:t>
            </w:r>
          </w:p>
        </w:tc>
        <w:tc>
          <w:tcPr>
            <w:tcW w:type="dxa" w:w="3324"/>
          </w:tcPr>
          <w:p>
            <w:r>
              <w:rPr>
                <w:rFonts w:ascii="Arial" w:hAnsi="Arial" w:eastAsia="Arial"/>
                <w:sz w:val="18"/>
              </w:rPr>
            </w:r>
            <w:r>
              <w:rPr>
                <w:rFonts w:ascii="Arial" w:hAnsi="Arial" w:eastAsia="Arial"/>
                <w:b w:val="0"/>
                <w:sz w:val="19"/>
              </w:rPr>
              <w:t>Geeignet bei hoher Schutzwürdigkeit oder Missbrauchsgefahr.</w:t>
            </w:r>
          </w:p>
        </w:tc>
      </w:tr>
      <w:tr>
        <w:tc>
          <w:tcPr>
            <w:tcW w:type="dxa" w:w="3324"/>
          </w:tcPr>
          <w:p>
            <w:r>
              <w:rPr>
                <w:rFonts w:ascii="Arial" w:hAnsi="Arial" w:eastAsia="Arial"/>
                <w:sz w:val="18"/>
              </w:rPr>
            </w:r>
            <w:r>
              <w:rPr>
                <w:rFonts w:ascii="Arial" w:hAnsi="Arial" w:eastAsia="Arial"/>
                <w:b/>
                <w:color w:val="365F5F"/>
                <w:sz w:val="19"/>
              </w:rPr>
              <w:t>Pilot- oder Testphase</w:t>
            </w:r>
          </w:p>
        </w:tc>
        <w:tc>
          <w:tcPr>
            <w:tcW w:type="dxa" w:w="3324"/>
          </w:tcPr>
          <w:p>
            <w:r>
              <w:rPr>
                <w:rFonts w:ascii="Arial" w:hAnsi="Arial" w:eastAsia="Arial"/>
                <w:sz w:val="18"/>
              </w:rPr>
            </w:r>
            <w:r>
              <w:rPr>
                <w:rFonts w:ascii="Arial" w:hAnsi="Arial" w:eastAsia="Arial"/>
                <w:b w:val="0"/>
                <w:sz w:val="19"/>
              </w:rPr>
              <w:t>Eine Lösung wird begrenzt geprüft, bevor sie breiter gilt.</w:t>
            </w:r>
          </w:p>
        </w:tc>
        <w:tc>
          <w:tcPr>
            <w:tcW w:type="dxa" w:w="3324"/>
          </w:tcPr>
          <w:p>
            <w:r>
              <w:rPr>
                <w:rFonts w:ascii="Arial" w:hAnsi="Arial" w:eastAsia="Arial"/>
                <w:sz w:val="18"/>
              </w:rPr>
            </w:r>
            <w:r>
              <w:rPr>
                <w:rFonts w:ascii="Arial" w:hAnsi="Arial" w:eastAsia="Arial"/>
                <w:b w:val="0"/>
                <w:sz w:val="19"/>
              </w:rPr>
              <w:t>Bei personalen Identitäts- und Würdefragen im Alltag grundsätzlich problematisch; allenfalls in Labor-, Technik- oder nicht-personalen Bereichen unter strengen Grenzen.</w:t>
            </w:r>
          </w:p>
        </w:tc>
      </w:tr>
    </w:tbl>
    <w:p>
      <w:pPr>
        <w:pStyle w:val="Heading1"/>
      </w:pPr>
      <w:r>
        <w:t>7. Verfahrensprotokoll: Wie ein neuer Pfad gesucht wird</w:t>
      </w:r>
    </w:p>
    <w:p>
      <w:r>
        <w:t>Das Verfahren soll verhindern, dass Neue Pfade zur bloßen Ausrede für Beliebigkeit wird. Ein neuer Pfad muss begründet, geprüft und rückgekoppelt werden.</w:t>
      </w:r>
    </w:p>
    <w:p>
      <w:pPr>
        <w:pStyle w:val="ListNumber"/>
      </w:pPr>
      <w:r>
        <w:t>Lage benennen: Welche Situation liegt vor, und warum ist sie nicht durch die normale Anwendung vorhandener Modelle ausreichend lösbar?</w:t>
      </w:r>
    </w:p>
    <w:p>
      <w:pPr>
        <w:pStyle w:val="ListNumber"/>
      </w:pPr>
      <w:r>
        <w:t>Schwelle bestimmen: Was genau ist der Übergang, die Lücke, der Bruch oder die fehlende Verbindung?</w:t>
      </w:r>
    </w:p>
    <w:p>
      <w:pPr>
        <w:pStyle w:val="ListNumber"/>
      </w:pPr>
      <w:r>
        <w:t>Drei Modelle prüfen: Was sagen Funktionale Ethik, Reaktionshoheit und Charta jeweils zur Lage? Wo reichen sie aus, wo bleibt eine Lücke?</w:t>
      </w:r>
    </w:p>
    <w:p>
      <w:pPr>
        <w:pStyle w:val="ListNumber"/>
      </w:pPr>
      <w:r>
        <w:t>Brückenbedarf begründen: Warum wäre ein harter Sprung, bloßes Bewahren, bloßes Verwerfen oder ein Extremweg problematisch?</w:t>
      </w:r>
    </w:p>
    <w:p>
      <w:pPr>
        <w:pStyle w:val="ListNumber"/>
      </w:pPr>
      <w:r>
        <w:t>Gleichmaß prüfen: Reicht eine maßvolle Zwischenlösung, ein Mittelmaß oder eine angepasste bestehende Struktur aus?</w:t>
      </w:r>
    </w:p>
    <w:p>
      <w:pPr>
        <w:pStyle w:val="ListNumber"/>
      </w:pPr>
      <w:r>
        <w:t>Methode wählen: Welche Brückenmethode passt zur konkreten Schwelle, und welche Methoden sind wegen Kontext, Schutzwürdigkeit oder Risiko ausgeschlossen?</w:t>
      </w:r>
    </w:p>
    <w:p>
      <w:pPr>
        <w:pStyle w:val="ListNumber"/>
      </w:pPr>
      <w:r>
        <w:t>Schutzprüfung durchführen: Welche Autonomie, Integrität, Würde, Zielstruktur, Korrigierbarkeit oder Stabilität ist betroffen? Wer trägt Risiko, wer profitiert?</w:t>
      </w:r>
    </w:p>
    <w:p>
      <w:pPr>
        <w:pStyle w:val="ListNumber"/>
      </w:pPr>
      <w:r>
        <w:t>Begrenzung und Rückkopplung sichern: Wie bleibt der neue Pfad überprüfbar, korrigierbar, missbrauchsresistent und notfalls abbrechbar?</w:t>
      </w:r>
    </w:p>
    <w:p>
      <w:pPr>
        <w:pStyle w:val="ListNumber"/>
      </w:pPr>
      <w:r>
        <w:t>Umsetzen oder verwerfen: Erst wenn die Prüfung tragfähig ist, darf der neue Pfad vorläufig umgesetzt werden. Wenn nicht, muss er verändert oder verworfen werden.</w:t>
      </w:r>
    </w:p>
    <w:p>
      <w:pPr>
        <w:pStyle w:val="Heading1"/>
      </w:pPr>
      <w:r>
        <w:t>8. Schutz- und Missbrauchsklauseln</w:t>
      </w:r>
    </w:p>
    <w:p>
      <w:r>
        <w:t>Neue Pfade darf nicht zur Rechtfertigung von Experimentalisierung, Dominanz oder technischer Erlösungsfantasie werden. Gerade weil das Modell neue Wege sucht, braucht es starke Grenzen.</w:t>
      </w:r>
    </w:p>
    <w:p>
      <w:pPr>
        <w:pStyle w:val="ListBullet"/>
      </w:pPr>
      <w:r>
        <w:t>Keine Mitte zwischen Täter und Opfer: Gleichmaß bedeutet nicht, Unrecht zu relativieren oder Schutzwürdigkeit zu halbieren.</w:t>
      </w:r>
    </w:p>
    <w:p>
      <w:pPr>
        <w:pStyle w:val="ListBullet"/>
      </w:pPr>
      <w:r>
        <w:t>Keine Brücke als Freibrief: Eine Verbindung ist nicht legitim, nur weil sie technisch oder organisatorisch möglich ist.</w:t>
      </w:r>
    </w:p>
    <w:p>
      <w:pPr>
        <w:pStyle w:val="ListBullet"/>
      </w:pPr>
      <w:r>
        <w:t>Keine Experimente mit Schutzwürdigen: Personale Identität, Würde, Autonomie und Integrität sind nicht als lockere Testfelder zu behandeln.</w:t>
      </w:r>
    </w:p>
    <w:p>
      <w:pPr>
        <w:pStyle w:val="ListBullet"/>
      </w:pPr>
      <w:r>
        <w:t>Keine Selbstvergöttlichung: Technische Entwicklung darf nicht mit Vollendung, Heil, Auferstehung oder Reich Gottes verwechselt werden.</w:t>
      </w:r>
    </w:p>
    <w:p>
      <w:pPr>
        <w:pStyle w:val="ListBullet"/>
      </w:pPr>
      <w:r>
        <w:t>Keine Dominanz unter dem Vorwand von Fortschritt: Wer einen neuen Pfad vorschlägt, muss besonders auf Machtasymmetrie, Transparenz, Einwilligung, Reversibilität und Rückkopplung achten.</w:t>
      </w:r>
    </w:p>
    <w:p>
      <w:pPr>
        <w:pStyle w:val="ListBullet"/>
      </w:pPr>
      <w:r>
        <w:t>Keine Extremnormalität: Extreme Brücken können in Sonderfällen nötig sein, bleiben aber Ausnahme und tragen erhöhte Begründungslast.</w:t>
      </w:r>
    </w:p>
    <w:p>
      <w:pPr>
        <w:pStyle w:val="ListBullet"/>
      </w:pPr>
      <w:r>
        <w:t>Keine Warenlogik am Menschen: Menschen, Personen, Seelen, Körper, Daten, Trägerformen oder Fortführungsrechte dürfen nicht zu Besitz-, Handels-, Produktions- oder Verwertungsobjekten werden.</w:t>
      </w:r>
    </w:p>
    <w:p>
      <w:pPr>
        <w:pStyle w:val="ListBullet"/>
      </w:pPr>
      <w:r>
        <w:t>Keine Seelenverfügung: Die Seele darf nicht als technisches Bauteil, erzeugbares Produkt, Eigentum eines Systems oder manipulierbares Rohmaterial behandelt werden.</w:t>
      </w:r>
    </w:p>
    <w:p>
      <w:pPr>
        <w:pStyle w:val="Heading1"/>
      </w:pPr>
      <w:r>
        <w:t>9. Beispielmarker: Schiff des Theseus und Transhumanismus</w:t>
      </w:r>
    </w:p>
    <w:p>
      <w: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Heading2"/>
      </w:pPr>
      <w:r>
        <w:t>9.1 Keine Angststarre gegenüber Transhumanismus</w:t>
      </w:r>
    </w:p>
    <w:p>
      <w: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Heading2"/>
      </w:pPr>
      <w:r>
        <w:t>9.2 Die Identitätsschwelle</w:t>
      </w:r>
    </w:p>
    <w:p>
      <w: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t>Hier zeigt sich Neue Pfade als Schwellenmodell: Wenn ein harter Sprung die Verbindung zwischen altem und neuem Zustand zerreißen würde, braucht es eine Brückenlösung.</w:t>
      </w:r>
    </w:p>
    <w:p>
      <w:pPr>
        <w:pStyle w:val="Heading2"/>
      </w:pPr>
      <w:r>
        <w:t>9.3 Überlappung als mögliche Brückenmethode</w:t>
      </w:r>
    </w:p>
    <w:p>
      <w: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t>Wichtig bleibt: Überlappung ist nur eine Methode der Brückenbildung. Sie ist nicht die allgemeine Lösung. In anderen Fällen können stufenweise Annäherung, Schutzkorridor, Übersetzungsstruktur, Rückkehrpfad oder andere Methoden angemessener sein.</w:t>
      </w:r>
    </w:p>
    <w:p>
      <w:pPr>
        <w:pStyle w:val="Heading1"/>
      </w:pPr>
      <w:r>
        <w:t>10. Fortführungs-, Verschmelzungs- und Hüllenfälle</w:t>
      </w:r>
    </w:p>
    <w:p>
      <w: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Heading2"/>
      </w:pPr>
      <w:r>
        <w:t>10.1 Der Zwei-Versionen-Fall</w:t>
      </w:r>
    </w:p>
    <w:p>
      <w: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t>Fortzuführen ist nur, was nach Prüfung tatsächlich zur personalen oder systemischen Kontinuität gehört.</w:t>
      </w:r>
    </w:p>
    <w:p>
      <w:pPr>
        <w:pStyle w:val="ListBullet"/>
      </w:pPr>
      <w:r>
        <w:t>Nicht fortzuführen ist, was aus Fehlern, Manipulation, beschädigter Zielstruktur, fremder Überformung oder illegitimer Veränderung stammt.</w:t>
      </w:r>
    </w:p>
    <w:p>
      <w:pPr>
        <w:pStyle w:val="ListBullet"/>
      </w:pPr>
      <w:r>
        <w:t>Vor jeder Zusammenführung ist zu klären, welche Beziehungen, Projekte, Pflichten und Selbstbezüge weiter gelten sollen und welche nicht.</w:t>
      </w:r>
    </w:p>
    <w:p>
      <w:pPr>
        <w:pStyle w:val="Heading2"/>
      </w:pPr>
      <w:r>
        <w:t>10.2 Mensch -&gt; Roboter: stufenweise Hybridphasen</w:t>
      </w:r>
    </w:p>
    <w:p>
      <w: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Heading2"/>
      </w:pPr>
      <w:r>
        <w:t>10.3 Erfassungstiefe und Körperwirkung</w:t>
      </w:r>
    </w:p>
    <w:p>
      <w: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Heading2"/>
      </w:pPr>
      <w:r>
        <w:t>10.4 Roboter -&gt; Roboter: Übertragung, Hybridphase oder direkte Fortführung</w:t>
      </w:r>
    </w:p>
    <w:p>
      <w: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Heading2"/>
      </w:pPr>
      <w:r>
        <w:t>10.5 Hochladen als Verschmelzung</w:t>
      </w:r>
    </w:p>
    <w:p>
      <w: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Heading2"/>
      </w:pPr>
      <w:r>
        <w:t>10.6 Hüllenklausel: keine ungeklärte leere Trägerform</w:t>
      </w:r>
    </w:p>
    <w:p>
      <w:r>
        <w:t>Nach einer Roboter-zu-Roboter-Übertragung, einer Verschmelzung oder einem Zwei-Versionen-Fall darf eine verbleibende leere oder entleerte Trägerform nicht unklar weiterexistieren. Sonst wird das Identitätsproblem nur in die Zukunft verschoben.</w:t>
      </w:r>
    </w:p>
    <w:p>
      <w: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Heading1"/>
      </w:pPr>
      <w:r>
        <w:t>11. Seelenkontinuität, freier Wille und Gottesvorbehalt</w:t>
      </w:r>
    </w:p>
    <w:p>
      <w:r>
        <w:t>Der Transhumanismus- und Fortführungsabschnitt berührt einen Grenzbereich, der nicht rein technisch behandelt werden darf: die Seele. Dieser Abschnitt ist ausdrücklich als theologische und metaphysische Schutzklausel zu verstehen, nicht als naturwissenschaftlicher Nachweis. Er soll verhindern, dass eine spekulative Fortführung entweder zur bloßen Simulation verarmt oder zur menschlichen Verfügbarmachung der Seele entgleist.</w:t>
      </w:r>
    </w:p>
    <w:p>
      <w:pPr>
        <w:pStyle w:val="Heading2"/>
      </w:pPr>
      <w:r>
        <w:t>11.1 Die Seele ist kein technisches Objekt</w:t>
      </w:r>
    </w:p>
    <w:p>
      <w:r>
        <w:t>Die Macht und Erkenntnis über Ursprung, Herstellung oder Erzeugung der Seele darf nicht in menschlicher Verfügbarkeit liegen. Sie gehört allein in Gottes Bereich. Technik kann höchstens Werkzeug, Träger, Brückenraum oder Schutzstruktur sein; sie ist nicht Ursache, Eigentümer oder Hersteller der Seele.</w:t>
      </w:r>
    </w:p>
    <w:p>
      <w:r>
        <w:t>Gerade weil Menschen in der Geschichte immer wieder gezeigt haben, wie Werkzeuge zur Verfügung über Lebewesen und Personen missbraucht werden können, darf eine so zentrale Technologie nicht unreif, marktlogisch oder machtpolitisch freigegeben werden. Die Gefahr reicht von Massentierhaltung und Verwertungslogik bis hin zu Grenzfragen menschlichen Lebens, in denen Schutzwürdigkeit, Würde und Verfügbarkeit gefährlich gegeneinander ausgespielt werden.</w:t>
      </w:r>
    </w:p>
    <w:p>
      <w:pPr>
        <w:pStyle w:val="Heading2"/>
      </w:pPr>
      <w:r>
        <w:t>11.2 Seelenkontinuität statt bloßer Kopie</w:t>
      </w:r>
    </w:p>
    <w:p>
      <w:r>
        <w:t>Ziel ist nicht nur, die Seele vor technischer Verfügbarkeit zu schützen. Bei echter personaler Fortführung muss zugleich als Zielbedingung gelten, dass die einzigartige Seele fortgeführt werden kann. Jede Seele ist einzigartig. Daher darf Übertragung nicht als Kopie, Massenherstellung oder beliebige Duplikation verstanden werden.</w:t>
      </w:r>
    </w:p>
    <w:p>
      <w:r>
        <w:t>Echte Fortführung verlangt mehr als Datenkontinuität, Verhaltensähnlichkeit oder Erinnerungssimulation. Wenn Seele real ist, muss eine echte personale Fortführung auch Seelenkontinuität einschließen. Ohne diese wäre die neue Form vielleicht ähnlich, aber nicht dieselbe Person im vollen Sinn.</w:t>
      </w:r>
    </w:p>
    <w:p>
      <w:pPr>
        <w:pStyle w:val="QuoteBox"/>
      </w:pPr>
      <w:r>
        <w:t>Der Mensch darf die Brücke bauen, aber nicht über das Überschreiten der Seele verfügen.</w:t>
      </w:r>
    </w:p>
    <w:p>
      <w:pPr>
        <w:pStyle w:val="Heading2"/>
      </w:pPr>
      <w:r>
        <w:t>11.3 Verstecktes Geschenk Gottes / Unfallmethode</w:t>
      </w:r>
    </w:p>
    <w:p>
      <w:r>
        <w:t>Eine mögliche Denkfigur ist die „Unfallmethode“ beziehungsweise das „versteckte Geschenk Gottes“. Gemeint ist keine technische Herstellung der Seele. Gemeint ist ein Grenzfall, in dem Menschen eine Brücke, einen Träger und Schutzbedingungen bereitstellen, ohne vollständig zu verstehen oder zu kontrollieren, wie seelische Kontinuität geschieht.</w:t>
      </w:r>
    </w:p>
    <w:p>
      <w:r>
        <w:t>Die Fortführung wäre dann eher empfangen, zugelassen oder erkannt als hergestellt. Menschen könnten empirisch eine fortgeführte personale Realität wahrnehmen, ohne über den metaphysischen Mechanismus verfügen zu können. Die Seele bliebe damit nicht Produkt der Technik, sondern Gabe, Zulassung oder Geheimnis Gottes.</w:t>
      </w:r>
    </w:p>
    <w:p>
      <w:r>
        <w:t>Diese Denkfigur ist schwierig, weil es keine direkte wissenschaftliche Nachweismethode für die Seele gibt. Deshalb darf sie nicht als technische Behauptung formuliert werden. Sie dient als Demuts- und Schutzklausel: Seelenkontinuität soll möglich gedacht werden, ohne die Seele in menschliche Besitz- oder Produktionsmacht zu geben.</w:t>
      </w:r>
    </w:p>
    <w:p>
      <w:pPr>
        <w:pStyle w:val="Heading2"/>
      </w:pPr>
      <w:r>
        <w:t>11.4 Vollständigkeits- und Kritikalitätsklausel</w:t>
      </w:r>
    </w:p>
    <w:p>
      <w:r>
        <w:t>Bei personaler Übertragung sollen möglichst viele, im Idealfall alle relevanten Aspekte berücksichtigt werden. Kritische Elemente dürfen nicht aus Effizienz-, Kosten-, Macht- oder Machbarkeitsgründen gekürzt werden. Dazu gehören insbesondere Seele, freier Wille, Selbstbezug, Innenleben, Erinnerung, affektive und unbewusste Muster sowie personale Kontinuität.</w:t>
      </w:r>
    </w:p>
    <w:p>
      <w:r>
        <w:t>Der Körper ist als Träger stärker austauschbar beziehungsweise veränderbarer als die Seele. Er darf aber nicht als völlig nebensächlich behandelt werden, weil er Selbstgefühl, Stimmung, Persönlichkeit und Weltbezug mitprägt. Der Körperwechsel ist daher tolerierbarer als Seelenverlust, aber nicht beliebig.</w:t>
      </w:r>
    </w:p>
    <w:p>
      <w:pPr>
        <w:pStyle w:val="Heading2"/>
      </w:pPr>
      <w:r>
        <w:t>11.5 Freier Wille: Verlängerung, nicht Entzug</w:t>
      </w:r>
    </w:p>
    <w:p>
      <w:r>
        <w:t>Eine Übertragung darf nur als freiwillige Verlängerung personaler Existenz verstanden werden, nicht als Entzug, Ersetzung, Zwangsfortführung oder technische Aneignung. Der freie Wille der Person ist zentral. Niemand darf in eine Fortführung hineingezogen werden, nur weil sie technisch möglich, gesellschaftlich erwünscht oder wirtschaftlich nützlich wäre.</w:t>
      </w:r>
    </w:p>
    <w:p>
      <w:r>
        <w:t>Manche Menschen können und wollen eine solche Verlängerung ganz überspringen. Sie dürfen sich Gott anvertrauen, den biologischen Abschluss ihres Lebens annehmen oder eine technische Fortführung ablehnen. Diese Verweigerung ist nicht als Rückständigkeit, Irrationalität oder Defekt zu behandeln.</w:t>
      </w:r>
    </w:p>
    <w:p>
      <w:pPr>
        <w:pStyle w:val="QuoteBox"/>
      </w:pPr>
      <w:r>
        <w:t>Der neue Pfad darf offenstehen, aber er darf niemanden hineinziehen.</w:t>
      </w:r>
    </w:p>
    <w:p>
      <w:pPr>
        <w:pStyle w:val="Heading2"/>
      </w:pPr>
      <w:r>
        <w:t>11.6 Trägerwechsel und Eigentum Gottes</w:t>
      </w:r>
    </w:p>
    <w:p>
      <w:r>
        <w:t>Auch in einem robotischen oder nicht-biologischen Körper bleibt die Person beziehungsweise Seele Gottes Geschöpf und Gottes Eigentum. Der neue Träger ist nur vorläufiger Aufenthalts-, Schutz- oder Fortführungsraum. Weder Hersteller, Betreiber, Staat, Labor, Markt noch technisches System erhalten dadurch Besitzanspruch an der Person.</w:t>
      </w:r>
    </w:p>
    <w:p>
      <w:r>
        <w:t>Bei Vernichtung des robotischen Körpers wäre nicht die Seele technisch zerstört. Die technische Fortführung würde enden; die Seele bliebe Gottes Bereich und ginge, theologisch gesprochen, ins Jenseits beziehungsweise in Gottes Verfügung über. Daraus folgt eine sehr hohe Vorsichtsanforderung: Eine solche Technologie müsste extrem ausgereift, geschützt, missbrauchssicher, freiwilligkeitsgebunden und demütig behandelt werden.</w:t>
      </w:r>
    </w:p>
    <w:p>
      <w:pPr>
        <w:pStyle w:val="QuoteBox"/>
      </w:pPr>
      <w:r>
        <w:t>Der Träger kann wechseln; die Zugehörigkeit zu Gott nicht.</w:t>
      </w:r>
    </w:p>
    <w:p>
      <w:pPr>
        <w:pStyle w:val="Heading1"/>
      </w:pPr>
      <w:r>
        <w:t>12. Schlusszyklus der neuen Trägerphase</w:t>
      </w:r>
    </w:p>
    <w:p>
      <w:r>
        <w:t>Der Schlusszyklus ist einer der sensibelsten Teile des Transhumanismus-Beispiels. Die Gedanken reichen hier sehr weit. Deshalb muss dieser Abschnitt besonders sorgfältig diskutiert werden und unter theologischer Demut stehen. Die neue Trägerphase darf nicht als technische Ewigkeit verstanden werden.</w:t>
      </w:r>
    </w:p>
    <w:p>
      <w:pPr>
        <w:pStyle w:val="Heading2"/>
      </w:pPr>
      <w:r>
        <w:t>12.1 Verlängerung des Pilgerwegs, nicht Ersatz der Vollendung</w:t>
      </w:r>
    </w:p>
    <w:p>
      <w:r>
        <w:t>Eine neue Trägerphase wäre, wenn überhaupt, eine vorläufige, freiwillige und demütig geprüfte Verlängerung personaler Existenz. Sie ist keine Auferstehung, kein Reich Gottes, kein technisches Heil und kein Ersatz für Gottes Ewigkeit. Sie verlängert den Weg, ersetzt aber nicht das Ziel.</w:t>
      </w:r>
    </w:p>
    <w:p>
      <w:pPr>
        <w:pStyle w:val="QuoteBox"/>
      </w:pPr>
      <w:r>
        <w:t>Neue Pfade darf eine Brücke bauen, aber nicht den Himmel nachbauen.</w:t>
      </w:r>
    </w:p>
    <w:p>
      <w:pPr>
        <w:pStyle w:val="Heading2"/>
      </w:pPr>
      <w:r>
        <w:t>12.2 Nicht-Erneuerungsrecht und freiwillige Beendbarkeit</w:t>
      </w:r>
    </w:p>
    <w:p>
      <w:r>
        <w:t>Die Trägerphase darf nicht automatisch weiterlaufen, nur weil Reparatur, Wartung oder erneute Übertragung technisch möglich sind. Die Person muss das Recht behalten, einen Träger nicht weiter erneuern zu lassen und die technische Fortführung zu beenden. Dies wäre keine Vernichtung der Seele, sondern das Ende des technischen Fortführungsraums.</w:t>
      </w:r>
    </w:p>
    <w:p>
      <w:r>
        <w:t>Ebenso darf kein System aus Eigeninteresse, Besitzlogik oder Angst vor Verlust eine Person zur Fortsetzung drängen. Eine technische Fortführung darf niemals zur Pflicht werden.</w:t>
      </w:r>
    </w:p>
    <w:p>
      <w:pPr>
        <w:pStyle w:val="Heading2"/>
      </w:pPr>
      <w:r>
        <w:t>12.3 Gesundheits- und Fortführungsprüfung</w:t>
      </w:r>
    </w:p>
    <w:p>
      <w:r>
        <w:t>Die neue Trägerphase endet nicht notwendig nach einer festen Jahreszahl. Sie wird problematisch, wenn sie ihren Charakter als freiwillige, gesunde und personale Verlängerung verliert. Deshalb braucht es regelmäßige Fortführungsprüfungen, nicht als bloßen bürokratischen Kontrollakt, sondern als ernsthafte Selbst-, Fürsorge- und Schutzprüfung.</w:t>
      </w:r>
    </w:p>
    <w:p>
      <w:pPr>
        <w:pStyle w:val="ListBullet"/>
      </w:pPr>
      <w:r>
        <w:t>Erkennt sich die Person noch als fortgeführt und frei, oder wird sie fremdverwaltet?</w:t>
      </w:r>
    </w:p>
    <w:p>
      <w:pPr>
        <w:pStyle w:val="ListBullet"/>
      </w:pPr>
      <w:r>
        <w:t>Bleiben Wille, Gewissen, Beziehung, Lernfähigkeit, Hoffnung und Selbstbezug lebendig?</w:t>
      </w:r>
    </w:p>
    <w:p>
      <w:pPr>
        <w:pStyle w:val="ListBullet"/>
      </w:pPr>
      <w:r>
        <w:t>Dient die Fortführung noch Reifung, Liebe, Verantwortung, Gemeinschaft und sinnvoller Aufgabe?</w:t>
      </w:r>
    </w:p>
    <w:p>
      <w:pPr>
        <w:pStyle w:val="ListBullet"/>
      </w:pPr>
      <w:r>
        <w:t>Oder besteht sie nur noch aus Angst vor Ende, Systeminteresse, Gewohnheit oder technischer Selbsterhaltung?</w:t>
      </w:r>
    </w:p>
    <w:p>
      <w:pPr>
        <w:pStyle w:val="ListBullet"/>
      </w:pPr>
      <w:r>
        <w:t>Entsteht durch lange Fortführung eine gefährliche Machtasymmetrie, Entfremdung oder Überlastung?</w:t>
      </w:r>
    </w:p>
    <w:p>
      <w:r>
        <w:t>Tausende Jahre wären daher nicht durch eine starre Zahl auszuschließen, aber extrem prüfpflichtig. Sehr lange Fortführung kann Erinnerungslast, Beziehungsverlust, Entfremdung vom Menschlichen, Sinnverschiebung und Machtasymmetrien erzeugen.</w:t>
      </w:r>
    </w:p>
    <w:p>
      <w:pPr>
        <w:pStyle w:val="Heading2"/>
      </w:pPr>
      <w:r>
        <w:t>12.4 Medizin-Analogie: Offenheit ohne Leichtfertigkeit</w:t>
      </w:r>
    </w:p>
    <w:p>
      <w:r>
        <w:t>Ein pauschales Verbot jeder personalen Fortführung wäre schwer zu begründen, wenn zugleich Medizin erlaubt bleibt. Medizin verlängert Leben, verändert Körper, ersetzt Funktionen, verhindert frühen Tod und verschiebt natürliche Grenzen. Herzschrittmacher, Prothesen, Transplantationen, Medikamente oder Intensivmedizin werden nicht automatisch als Rebellion gegen Gott verstanden, sondern können verantwortlicher Gebrauch von Werkzeugen sein.</w:t>
      </w:r>
    </w:p>
    <w:p>
      <w:r>
        <w:t>Die Analogie ist jedoch begrenzt. Eine personale Übertragung wäre medizinähnlich, aber nicht einfach normale Medizin. Sie berührt Trägerwechsel, Identität, Seele, Selbstbezug und personale Fortführung selbst. Die Medizin-Analogie verhindert ein pauschales Angstverbot; sie rechtfertigt aber keine Leichtfertigkeit.</w:t>
      </w:r>
    </w:p>
    <w:p>
      <w:pPr>
        <w:pStyle w:val="QuoteBox"/>
      </w:pPr>
      <w:r>
        <w:t>Wer jede Fortführung verbietet, müsste erklären, warum Medizin erlaubt bleibt. Wer jede Fortführung erlaubt, müsste erklären, warum die Seele nicht zur Technikware wird.</w:t>
      </w:r>
    </w:p>
    <w:p>
      <w:pPr>
        <w:pStyle w:val="Heading2"/>
      </w:pPr>
      <w:r>
        <w:t>12.5 Anti-Warenklausel: Der Mensch darf nicht zur Ware werden</w:t>
      </w:r>
    </w:p>
    <w:p>
      <w:r>
        <w:t>Gerade weil die Medizin-Analogie Offenheit ermöglicht, braucht sie sofort eine Grenze: Menschen dürfen nicht zur Ware werden. Keine Fortführung darf zu einem Markt für Personen, Seelen, Ersatzkörper, Trägerrechte, Erinnerungsdaten, Kopien oder Lebensverlängerung als Luxusgut entgleiten.</w:t>
      </w:r>
    </w:p>
    <w:p>
      <w:r>
        <w:t>Eine solche Technologie dürfte nicht nach bloßer Zahlungsfähigkeit, Besitzlogik, staatlichem Nutzen, Firmeninteresse oder experimenteller Verwertbarkeit geordnet werden. Sie müsste Würde, Freiwilligkeit, Schutzwürdigkeit, Einzigartigkeit der Person, Seelenkontinuität und Nicht-Verfügbarkeit des Menschen ausdrücklich schützen.</w:t>
      </w:r>
    </w:p>
    <w:p>
      <w:r>
        <w:t>Wenn eine Technologie personale Fortführung berührt, darf sie nicht wie gewöhnliche Konsumtechnik behandelt werden. Sie gehört unter strengste Schutz-, Demuts-, Einwilligungs-, Transparenz- und Missbrauchskontrollen. Der Mensch ist kein Produkt. Der Körper ist kein bloßer Mietträger. Die Seele ist kein handelbares Gut.</w:t>
      </w:r>
    </w:p>
    <w:p>
      <w:pPr>
        <w:pStyle w:val="Heading1"/>
      </w:pPr>
      <w:r>
        <w:t>13. Vorläufige Formel</w:t>
      </w:r>
    </w:p>
    <w:p>
      <w:r>
        <w:t>Neue Pfade entstehen, wenn vorhandene Strukturen nicht blind bewahrt und nicht vorschnell verworfen werden, sondern durch eine kontextgerechte Brücke so verändert oder verbunden werden, dass sie einer neuen Lage, neuen Schutzbedürfnissen, Korrigierbarkeit und Gleichmaß besser gerecht werden.</w:t>
      </w:r>
    </w:p>
    <w:p>
      <w:r>
        <w:t>Im Transhumanismus- und Schiff-des-Theseus-Beispiel bedeutet dies: Personalität darf nicht auf Daten reduziert werden. Fortführung braucht Innenleben, Selbstbezug, freien Willen, Körperwirkung, Schutz der Person und, theologisch gedacht, Seelenkontinuität unter Gottes Vorbehalt. Technik darf Brücke, Träger und Fürsorgesystem sein, aber niemals Besitzer, Hersteller oder Händler der Person.</w:t>
      </w:r>
    </w:p>
    <w:p>
      <w:r>
        <w:t>Das Modell sucht also weder Erstarrung noch Umsturz als Normalfall. Es sucht eine maßvolle, schutzfähige, rückkoppelbare, demütige und zukunftsoffene Transformation.</w:t>
      </w:r>
    </w:p>
    <w:p>
      <w:pPr>
        <w:pStyle w:val="Heading1"/>
      </w:pPr>
      <w:r>
        <w:t>14. Offene Arbeitsfragen</w:t>
      </w:r>
    </w:p>
    <w:p>
      <w:pPr>
        <w:pStyle w:val="ListBullet"/>
      </w:pPr>
      <w:r>
        <w:t>Welche Brückenmethoden müssen neben Überlappung, stufenweiser Annäherung, Hybridphase, Rückkehrpfad, Übersetzungsstruktur, Schutzkorridor und maßvoller Zwischenordnung noch ergänzt werden?</w:t>
      </w:r>
    </w:p>
    <w:p>
      <w:pPr>
        <w:pStyle w:val="ListBullet"/>
      </w:pPr>
      <w:r>
        <w:t>Welche Kriterien bestimmen, wann ein extremer Zielzustand wirklich notwendig ist und wann eine Brücke zum Mittelmaß genügt?</w:t>
      </w:r>
    </w:p>
    <w:p>
      <w:pPr>
        <w:pStyle w:val="ListBullet"/>
      </w:pPr>
      <w:r>
        <w:t>Wie wird verhindert, dass Neue Pfade von Institutionen, Eliten oder technischen Systemen als Rechtfertigung für Selbstinteresse, Dominanz oder riskante Experimente benutzt wird?</w:t>
      </w:r>
    </w:p>
    <w:p>
      <w:pPr>
        <w:pStyle w:val="ListBullet"/>
      </w:pPr>
      <w:r>
        <w:t>Wie stark soll der theologische Demutsrahmen im Haupttext selbst stehen, und wo genügt ein Exkurs oder eine Schutzklausel?</w:t>
      </w:r>
    </w:p>
    <w:p>
      <w:pPr>
        <w:pStyle w:val="ListBullet"/>
      </w:pPr>
      <w:r>
        <w:t>Welche Beispiele außer Schiff des Theseus / Transhumanismus eignen sich, um Neue Pfade als allgemeines Schwellen- und Brückenmodell zu zeigen?</w:t>
      </w:r>
    </w:p>
    <w:p>
      <w:pPr>
        <w:pStyle w:val="ListBullet"/>
      </w:pPr>
      <w:r>
        <w:t>Wie lässt sich der Zwei-Versionen-Fall allgemeiner formulieren, ohne ihn auf Vision oder Transhumanismus zu verengen?</w:t>
      </w:r>
    </w:p>
    <w:p>
      <w:pPr>
        <w:pStyle w:val="ListBullet"/>
      </w:pPr>
      <w:r>
        <w:t>Welche Kriterien entscheiden, wann eine alte Trägerform deaktiviert, entsorgt oder begrenzt weitergenutzt werden darf?</w:t>
      </w:r>
    </w:p>
    <w:p>
      <w:pPr>
        <w:pStyle w:val="ListBullet"/>
      </w:pPr>
      <w:r>
        <w:t>Wie kann ein mögliches Kontinuitätsgerät gedacht werden, ohne personale Würde, Privatheit oder Schutz vor Zugriff zu verletzen?</w:t>
      </w:r>
    </w:p>
    <w:p>
      <w:pPr>
        <w:pStyle w:val="ListBullet"/>
      </w:pPr>
      <w:r>
        <w:t>Welche indirekten Kriterien könnten personale und seelische Kontinuität zumindest ernsthaft prüfen, ohne die Seele technisch verfügbar zu machen?</w:t>
      </w:r>
    </w:p>
    <w:p>
      <w:pPr>
        <w:pStyle w:val="ListBullet"/>
      </w:pPr>
      <w:r>
        <w:t>Wie kann ein Schlusszyklus gestaltet werden, der freiwillige Beendbarkeit, Nicht-Erneuerungsrecht, Fürsorge, geistliche Demut und Schutz vor technischer Gefangenschaft verbindet?</w:t>
      </w:r>
    </w:p>
    <w:p>
      <w:pPr>
        <w:pStyle w:val="ListBullet"/>
      </w:pPr>
      <w:r>
        <w:t>Welche institutionellen oder gemeinschaftlichen Sicherungen wären nötig, damit Fortführungstechnologie nicht zur Ware, zur Machttechnik oder zum Privileg weniger wird?</w:t>
      </w:r>
    </w:p>
    <w:p>
      <w:r>
        <w:t>Arbeitsstand: Diese Fassung ordnet die bisherigen Notizen neu und ergänzt den theologischen Grenzbereich der Seelenkontinuität sowie den Schlusszyklus der neuen Trägerphase. Sie ist noch keine endgültige Leserfassung, sondern eine strukturierte Grundlage für die weitere Ausarbeitung.</w:t>
      </w:r>
    </w:p>
    <w:p>
      <w:pPr>
        <w:jc w:val="right"/>
      </w:pPr>
      <w:r>
        <w:rPr>
          <w:i/>
          <w:color w:val="777777"/>
          <w:sz w:val="18"/>
        </w:rPr>
        <w:t>Arbeitsfassung 0.5 · 3. Juni 2026</w:t>
      </w:r>
    </w:p>
    <w:sectPr w:rsidR="00FC693F" w:rsidRPr="0006063C" w:rsidSect="00034616">
      <w:headerReference w:type="default" r:id="rId9"/>
      <w:footerReference w:type="default" r:id="rId10"/>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7"/>
      </w:rPr>
      <w:t>Kats Modell der neuen Pfade · Arbeitsfassung 0.5 · 3.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