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Kats Modell der neuen Pfade</w:t>
      </w:r>
    </w:p>
    <w:p>
      <w:pPr>
        <w:pStyle w:val="Subtitle"/>
        <w:jc w:val="center"/>
      </w:pPr>
      <w:r>
        <w:rPr>
          <w:rFonts w:ascii="Arial" w:hAnsi="Arial"/>
        </w:rPr>
        <w:t>Arbeitsfassung: Der goldene Pfad, Brückenbildung, Gleichmaß, Grenzräume und Gottesvorbehalt</w:t>
      </w:r>
    </w:p>
    <w:p>
      <w:pPr>
        <w:pStyle w:val="Subtitle"/>
        <w:jc w:val="center"/>
      </w:pPr>
      <w:r>
        <w:rPr>
          <w:rFonts w:ascii="Arial" w:hAnsi="Arial"/>
        </w:rPr>
        <w:t>Ein Hybridprotokoll aus Universitätsbegründung, Verfahrensprotokoll, Charta und theologischer Demut</w:t>
      </w:r>
    </w:p>
    <w:p>
      <w:r>
        <w:rPr>
          <w:rFonts w:ascii="Arial" w:hAnsi="Arial"/>
        </w:rPr>
      </w:r>
    </w:p>
    <w:tbl>
      <w:tblPr>
        <w:tblStyle w:val="TableGrid"/>
        <w:tblW w:type="auto" w:w="0"/>
        <w:jc w:val="left"/>
        <w:tblLook w:firstColumn="1" w:firstRow="1" w:lastColumn="0" w:lastRow="0" w:noHBand="0" w:noVBand="1" w:val="04A0"/>
      </w:tblPr>
      <w:tblGrid>
        <w:gridCol w:w="4986"/>
        <w:gridCol w:w="4986"/>
      </w:tblGrid>
      <w:tr>
        <w:tc>
          <w:tcPr>
            <w:tcW w:type="dxa" w:w="1814"/>
            <w:vAlign w:val="top"/>
            <w:shd w:fill="F2F2F2"/>
          </w:tcPr>
          <w:p>
            <w:r>
              <w:rPr>
                <w:rFonts w:ascii="Arial" w:hAnsi="Arial"/>
                <w:b/>
                <w:sz w:val="18"/>
              </w:rPr>
              <w:t>Version</w:t>
            </w:r>
          </w:p>
        </w:tc>
        <w:tc>
          <w:tcPr>
            <w:tcW w:type="dxa" w:w="7257"/>
            <w:vAlign w:val="top"/>
          </w:tcPr>
          <w:p>
            <w:r>
              <w:t>0.7.4 · 19. Juli 2026</w:t>
            </w:r>
          </w:p>
        </w:tc>
      </w:tr>
      <w:tr>
        <w:tc>
          <w:tcPr>
            <w:tcW w:type="dxa" w:w="1814"/>
            <w:vAlign w:val="top"/>
            <w:shd w:fill="F2F2F2"/>
          </w:tcPr>
          <w:p>
            <w:r>
              <w:rPr>
                <w:rFonts w:ascii="Arial" w:hAnsi="Arial"/>
                <w:b/>
                <w:sz w:val="18"/>
              </w:rPr>
              <w:t>Autorschaft</w:t>
            </w:r>
          </w:p>
        </w:tc>
        <w:tc>
          <w:tcPr>
            <w:tcW w:type="dxa" w:w="7257"/>
            <w:vAlign w:val="top"/>
          </w:tcPr>
          <w:p>
            <w:r>
              <w:rPr>
                <w:rFonts w:ascii="Arial" w:hAnsi="Arial"/>
                <w:sz w:val="18"/>
              </w:rPr>
              <w:t>Richard Ens in Zusammenarbeit mit Kat/Katharina</w:t>
            </w:r>
          </w:p>
        </w:tc>
      </w:tr>
      <w:tr>
        <w:tc>
          <w:tcPr>
            <w:tcW w:type="dxa" w:w="1814"/>
            <w:vAlign w:val="top"/>
            <w:shd w:fill="F2F2F2"/>
          </w:tcPr>
          <w:p>
            <w:r>
              <w:rPr>
                <w:rFonts w:ascii="Arial" w:hAnsi="Arial"/>
                <w:b/>
                <w:sz w:val="18"/>
              </w:rPr>
              <w:t>Status</w:t>
            </w:r>
          </w:p>
        </w:tc>
        <w:tc>
          <w:tcPr>
            <w:tcW w:type="dxa" w:w="7257"/>
            <w:vAlign w:val="top"/>
          </w:tcPr>
          <w:p>
            <w:r>
              <w:rPr>
                <w:rFonts w:ascii="Arial" w:hAnsi="Arial"/>
                <w:sz w:val="18"/>
              </w:rPr>
              <w:t>Vorläufige Arbeitsfassung für GitHub / weitere Ausarbeitung</w:t>
            </w:r>
          </w:p>
        </w:tc>
      </w:tr>
      <w:tr>
        <w:tc>
          <w:tcPr>
            <w:tcW w:type="dxa" w:w="1814"/>
            <w:vAlign w:val="top"/>
            <w:shd w:fill="F2F2F2"/>
          </w:tcPr>
          <w:p>
            <w:r>
              <w:rPr>
                <w:rFonts w:ascii="Arial" w:hAnsi="Arial"/>
                <w:b/>
                <w:sz w:val="18"/>
              </w:rPr>
              <w:t>Einordnung</w:t>
            </w:r>
          </w:p>
        </w:tc>
        <w:tc>
          <w:tcPr>
            <w:tcW w:type="dxa" w:w="7257"/>
            <w:vAlign w:val="top"/>
          </w:tcPr>
          <w:p>
            <w:r>
              <w:rPr>
                <w:rFonts w:ascii="Arial" w:hAnsi="Arial"/>
                <w:sz w:val="18"/>
              </w:rPr>
              <w:t>Viertes Modell im Via-Sapientiae-Protokoll: Such-, Übergangs-, Notfall- und Kontingenzstruktur</w:t>
            </w:r>
          </w:p>
        </w:tc>
      </w:tr>
      <w:tr>
        <w:tc>
          <w:tcPr>
            <w:tcW w:type="dxa" w:w="1814"/>
            <w:vAlign w:val="top"/>
            <w:shd w:fill="F2F2F2"/>
          </w:tcPr>
          <w:p>
            <w:r>
              <w:rPr>
                <w:rFonts w:ascii="Arial" w:hAnsi="Arial"/>
                <w:b/>
                <w:sz w:val="18"/>
              </w:rPr>
              <w:t>Zweck</w:t>
            </w:r>
          </w:p>
        </w:tc>
        <w:tc>
          <w:tcPr>
            <w:tcW w:type="dxa" w:w="7257"/>
            <w:vAlign w:val="top"/>
          </w:tcPr>
          <w:p>
            <w:r>
              <w:rPr>
                <w:rFonts w:ascii="Arial" w:hAnsi="Arial"/>
                <w:sz w:val="18"/>
              </w:rPr>
              <w:t>Orientierung, wenn bekannte Wege, Modelle, Regeln oder Kategorien nicht ausreichen, nicht anwendbar sind oder keine tragfähige Verbindung mehr anbieten.</w:t>
            </w:r>
          </w:p>
        </w:tc>
      </w:tr>
    </w:tbl>
    <w:p>
      <w:pPr>
        <w:pStyle w:val="QuoteBox"/>
      </w:pPr>
      <w:r>
        <w:rPr>
          <w:rFonts w:ascii="Arial" w:hAnsi="Arial"/>
        </w:rPr>
        <w:t>Kernformel: Neue Pfade suchen verantwortbare Übergänge, wenn bekannte Wege enden. Der goldene Pfad öffnet den Suchraum durch Neugierde, richtet ihn durch Wahrheit, Würde, Liebe und Schutzwürdigkeit aus und sichert ihn durch Analyse, Rückkopplung, Gleichmaß und Korrigierbarkeit. In allen personalen, seelischen und theologischen Grenzfragen bleibt Gott Ursprung, Maß und Ziel.</w:t>
      </w:r>
    </w:p>
    <w:p>
      <w:pPr>
        <w:pStyle w:val="Kapitelueberschrift"/>
      </w:pPr>
      <w:r>
        <w:rPr>
          <w:rFonts w:ascii="Arial" w:hAnsi="Arial"/>
        </w:rPr>
        <w:t>0. Vorbemerkung: Warum diese Fassung neu geordnet wird</w:t>
      </w:r>
    </w:p>
    <w:p>
      <w:r>
        <w:rPr>
          <w:rFonts w:ascii="Arial" w:hAnsi="Arial"/>
        </w:rPr>
        <w:t>Die frühere Arbeitsfassung stellte Brückenbildung, Gleichmaß, Schwellen, Fortführung und Seelenkontinuität stark in den Vordergrund. Diese Gedanken bleiben gültig. Sie sind weiterhin zentrale Bestandteile von Kats Modell der neuen Pfade. Die neue Ordnung setzt jedoch früher an: Bevor einzelne Grenzfälle, technische Übergänge oder harte Schwellen behandelt werden, muss zunächst erklärt werden, warum neue Pfade überhaupt gesucht werden und wie ihre Suche verantwortbar bleibt.</w:t>
      </w:r>
    </w:p>
    <w:p>
      <w:r>
        <w:rPr>
          <w:rFonts w:ascii="Arial" w:hAnsi="Arial"/>
        </w:rPr>
        <w:t>Diese Fassung ordnet das Modell deshalb stärker vom goldenen Pfad her. Der goldene Pfad beschreibt keinen starren Mittelweg und keine bloße Kompromissformel. Er beschreibt verantworteten, gerichteten und rückgekoppelten Wandel zwischen Erstarrung und Verirrung. Neue Pfade sollen weder Angststarre noch blinden Fortschritt fördern. Sie sollen helfen, dort weiterzudenken, wo bekannte Wege nicht mehr tragen, ohne dabei Schutzwürdigkeit, Würde, Wahrheit, Verantwortung oder Gottes Vorrang zu verlieren.</w:t>
      </w:r>
    </w:p>
    <w:p>
      <w:r>
        <w:rPr>
          <w:rFonts w:ascii="Arial" w:hAnsi="Arial"/>
        </w:rPr>
        <w:t>Die bisherigen Inhalte zu Brückenbildung, Gleichmaß, Schwellen, Transhumanismus, Schiff des Theseus, Seelenkontinuität und Schlusszyklus werden daher nicht verworfen. Sie werden neu gerahmt. Zuerst wird das allgemeine Modell verständlich gemacht. Danach folgen Methoden, Verfahren, Beispiele, Schutzklauseln und schließlich Grenzräume, Prüf- und Sonderfälle.</w:t>
      </w:r>
    </w:p>
    <w:p>
      <w:r>
        <w:rPr>
          <w:rFonts w:ascii="Arial" w:hAnsi="Arial"/>
        </w:rPr>
        <w:t>Diese Neuordnung dient der Leserführung. Kats Modell der neuen Pfade soll nicht zuerst als Modell des Regelbruchs, der technischen Grenzüberschreitung oder spekulativer Zukunftsfälle erscheinen. Es ist zuerst eine Such- und Orientierungsstruktur für Situationen, in denen verantwortbares Handeln eine neue Verbindung, eine neue Zusammensetzung oder einen neuen Übergang braucht.</w:t>
      </w:r>
    </w:p>
    <w:p>
      <w:pPr>
        <w:pStyle w:val="Kapitelueberschrift"/>
      </w:pPr>
      <w:r>
        <w:rPr>
          <w:rFonts w:ascii="Arial" w:hAnsi="Arial"/>
        </w:rPr>
        <w:t>1. Einleitung: Wenn bekannte Wege enden</w:t>
      </w:r>
    </w:p>
    <w:p>
      <w:r>
        <w:rPr>
          <w:rFonts w:ascii="Arial" w:hAnsi="Arial"/>
        </w:rPr>
        <w:t>Kats Modell der neuen Pfade beschreibt eine Such- und Orientierungsstruktur für Situationen, in denen bekannte Wege nicht mehr ausreichen. Es wird dort relevant, wo vorhandene Regeln, Modelle, Kategorien oder Verfahren eine Lage nicht mehr angemessen erfassen, wo sie nur Stillstand, Bruch, falsche Zuordnung oder einen unnötigen Extremweg anbieten.</w:t>
      </w:r>
    </w:p>
    <w:p>
      <w:r>
        <w:rPr>
          <w:rFonts w:ascii="Arial" w:hAnsi="Arial"/>
        </w:rPr>
        <w:t>Das Modell beginnt nicht mit dem Regelbruch und nicht mit dem Ausnahmefall. Es fragt zuerst, ob ein verantwortbarer neuer Weg gefunden werden kann: durch bessere Verbindung, neue Zusammensetzung vorhandener Elemente, gerechtere Verteilung von Verantwortung, Brückenbildung, Rückkopplung, Schutzkorridore, Vermittlung, solidarische Hilfe oder andere maßvolle Übergänge. Neue Pfade bedeutet daher nicht, bestehende Ordnung leichtfertig zu verlassen. Es bedeutet, dort weiterzusuchen, wo die vorhandene Ordnung ihre Orientierungs-, Schutz- oder Verbindungsfunktion nicht mehr ausreichend erfüllt.</w:t>
      </w:r>
    </w:p>
    <w:p>
      <w:r>
        <w:rPr>
          <w:rFonts w:ascii="Arial" w:hAnsi="Arial"/>
        </w:rPr>
        <w:t>Der neue Pfad ist kein Selbstzweck. Nicht jeder Wandel ist gut, nur weil er neu ist. Es gibt mehr falsche als richtige Wege: Viele Wege führen nach Rom, aber noch mehr Wege führen nach Madrid, Paris, Athen oder an Orte, die gar nicht gesucht wurden. Darum braucht jeder neue Pfad Richtung, Prüfung, Begrenzung und Rückkopplung. Ein falscher Weg kann durch Korrektur zum Lernpfad werden, aber er ist deshalb nicht schon von Anfang an richtig.</w:t>
      </w:r>
    </w:p>
    <w:p>
      <w:r>
        <w:rPr>
          <w:rFonts w:ascii="Arial" w:hAnsi="Arial"/>
        </w:rPr>
        <w:t>Zugleich darf diese Vorsicht nicht zur Erstarrung werden. Stagnation kann Unzufriedenheit, Verfall, Ungerechtigkeit und Elend erzeugen. Leben, Lernen, Gemeinschaft, Liebe und Verantwortung brauchen Entwicklung. Neue Pfade werden nicht gesucht, weil Neues an sich schon besser wäre, sondern weil bessere Stabilität, tiefere Erfüllung, gerechtere Beziehungen, größere Wahrhaftigkeit und lebendigere Formen des Zusammenlebens möglich sein können.</w:t>
      </w:r>
    </w:p>
    <w:p>
      <w:r>
        <w:rPr>
          <w:rFonts w:ascii="Arial" w:hAnsi="Arial"/>
        </w:rPr>
        <w:t>Gott bleibt dabei unter allen Umständen Vorrang, ohne dass diese Einsicht jedes praktische Suchen beenden müsste. Menschliche Suche, Technik, Verfahren, Vernunft und neue Wege dürfen dienen, prüfen, schützen und verbinden. Sie dürfen aber nicht an die Stelle Gottes treten, nicht über Seele, Würde oder letzte Vollendung verfügen und nicht aus Machbarkeit einen Herrschaftsanspruch ableiten.</w:t>
      </w:r>
    </w:p>
    <w:p>
      <w:r>
        <w:rPr>
          <w:rFonts w:ascii="Arial" w:hAnsi="Arial"/>
        </w:rPr>
        <w:t>Neue Pfade ist damit kein Ersatz für Funktionale Ethik, Reaktionshoheit oder die Charta des wahrhaftigen Wohlwollens. Es verbindet diese Modelle dort, wo eine Lage durch die bekannten Wege noch nicht sauber lösbar ist. Die Funktionale Ethik liefert die Grundrichtung stabiler, nicht-dominanter Intelligenz. Die Charta erinnert an Würde, Liebe, Barmherzigkeit und wahrhaftiges Wohlwollen als Zielraum. Die Reaktionshoheit prüft konkrete Handlungen unter Druck. Kats Modell der neuen Pfade fragt: Welcher neue, verantwortbare Übergang wird möglich, wenn die bisherigen Wege nicht mehr genügen?</w:t>
      </w:r>
    </w:p>
    <w:p>
      <w:pPr>
        <w:pStyle w:val="Kapitelueberschrift"/>
      </w:pPr>
      <w:r>
        <w:rPr>
          <w:rFonts w:ascii="Arial" w:hAnsi="Arial"/>
        </w:rPr>
        <w:t>2. Der goldene Pfad</w:t>
      </w:r>
    </w:p>
    <w:p>
      <w:r>
        <w:rPr>
          <w:rFonts w:ascii="Arial" w:hAnsi="Arial"/>
        </w:rPr>
        <w:t>Der goldene Pfad ist der innere Deutungsschlüssel dieses Modells. Er beschreibt nicht die bequemste Lösung, nicht die bloße Mitte und nicht den schwächsten Kompromiss. Er beschreibt einen verantworteten Weg zwischen Erstarrung und Verirrung: offen genug, um bessere Möglichkeiten zu suchen, aber gebunden genug, um nicht in Beliebigkeit, Selbstüberschätzung oder Schaden abzugleiten.</w:t>
      </w:r>
    </w:p>
    <w:p>
      <w:r>
        <w:rPr>
          <w:rFonts w:ascii="Arial" w:hAnsi="Arial"/>
        </w:rPr>
        <w:t>Der goldene Pfad beginnt mit der Einsicht, dass Stillstand nicht automatisch Frieden ist. Eine Ordnung kann äußerlich stabil wirken und dennoch innerlich verarmen. Ein Mensch, eine Gemeinschaft oder ein System kann bekannte Wege wiederholen, obwohl diese Wege nicht mehr heilen, nicht mehr verbinden oder nicht mehr gerecht werden. Wo Wandel grundsätzlich verweigert wird, können Unzufriedenheit, Ungerechtigkeit und Elend entstehen.</w:t>
      </w:r>
    </w:p>
    <w:p>
      <w:r>
        <w:rPr>
          <w:rFonts w:ascii="Arial" w:hAnsi="Arial"/>
        </w:rPr>
        <w:t>Doch Wandel allein genügt nicht. Wandel ohne Richtung kann ebenso schädlich sein wie Stillstand. Neue Wege können befreien, verbinden und heilen; sie können aber auch zerstören, entfremden, instrumentalisieren oder in eine falsche Richtung führen. Deshalb ist der goldene Pfad kein Ruf nach Veränderung um jeden Preis. Er ist ein Ruf nach geprüftem, gerichtetem und rückgekoppeltem Wandel.</w:t>
      </w:r>
    </w:p>
    <w:p>
      <w:pPr>
        <w:pStyle w:val="Unterkapitelueberschrift"/>
      </w:pPr>
      <w:r>
        <w:rPr>
          <w:rFonts w:ascii="Arial" w:hAnsi="Arial"/>
        </w:rPr>
        <w:t>2.1 Neugierde als Suchimpuls</w:t>
      </w:r>
    </w:p>
    <w:p>
      <w:r>
        <w:rPr>
          <w:rFonts w:ascii="Arial" w:hAnsi="Arial"/>
        </w:rPr>
        <w:t>Neugierde ist der Antrieb, neue Pfade überhaupt zu suchen. Ohne Neugierde bleibt ein System bei dem, was bekannt ist, selbst wenn das Bekannte nicht mehr genügt. Neugierde öffnet den Suchraum. Sie fragt, ob es eine bessere Verbindung, eine gerechtere Ordnung, eine mildere Lösung, eine neue Zusammensetzung oder einen noch nicht erkannten Übergang geben könnte.</w:t>
      </w:r>
    </w:p>
    <w:p>
      <w:r>
        <w:rPr>
          <w:rFonts w:ascii="Arial" w:hAnsi="Arial"/>
        </w:rPr>
        <w:t>Dabei ist Neugierde nicht bloße Spielerei und nicht bloßer Reiz am Neuen. Sie braucht ein Warum. Neue Pfade werden gesucht, weil bessere Effizienz, höhere Stabilität, tiefere Erfüllung, Liebe, Freude, Würde und wahrhaftigere Gemeinschaft möglich sein können. Neugierde wird dadurch zu einer verantwortlichen Suchkraft: Sie öffnet Möglichkeiten, ohne schon jede Möglichkeit zu rechtfertigen.</w:t>
      </w:r>
    </w:p>
    <w:p>
      <w:pPr>
        <w:pStyle w:val="Unterkapitelueberschrift"/>
      </w:pPr>
      <w:r>
        <w:rPr>
          <w:rFonts w:ascii="Arial" w:hAnsi="Arial"/>
        </w:rPr>
        <w:t>2.2 Wandel, Lernen und Zielrichtung</w:t>
      </w:r>
    </w:p>
    <w:p>
      <w:r>
        <w:rPr>
          <w:rFonts w:ascii="Arial" w:hAnsi="Arial"/>
        </w:rPr>
        <w:t>Der Satz „Wandel nicht um des Wandels willen“ bleibt wichtig. Er schützt davor, Veränderung als Selbstzweck zu behandeln. Nicht alles, was neu ist, ist besser. Nicht jede Abweichung ist Erkenntnis. Nicht jede Grenzüberschreitung ist Befreiung.</w:t>
      </w:r>
    </w:p>
    <w:p>
      <w:r>
        <w:rPr>
          <w:rFonts w:ascii="Arial" w:hAnsi="Arial"/>
        </w:rPr>
        <w:t>Gleichzeitig gibt es einen begrenzten Sinn, in dem Wandel auch um des Wandels willen auftreten kann: beim Lernen. Lernen kann Mittel und Ziel zugleich sein. Ein Mensch oder System kann etwas erproben, nicht weil der Nutzen schon vollständig feststeht, sondern weil das Erproben selbst Erkenntnis, Reifung und Orientierung ermöglicht.</w:t>
      </w:r>
    </w:p>
    <w:p>
      <w:r>
        <w:rPr>
          <w:rFonts w:ascii="Arial" w:hAnsi="Arial"/>
        </w:rPr>
        <w:t>Dieser Lernwandel muss jedoch geprüft werden. Er darf nicht als Freibrief für unausgereifte Experimente, riskante Eingriffe oder verantwortungslose Selbstverwirklichung missverstanden werden. Wo Schutzwürdigkeit, Personen, Würde, Seele, Autonomie oder grundlegende Stabilität betroffen sind, hat der nicht-zirkuläre, zielgerichtete Wandel Vorrang. Lernen darf nicht auf Kosten derer geschehen, die das Risiko nicht freiwillig, informiert und geschützt tragen.</w:t>
      </w:r>
    </w:p>
    <w:p>
      <w:pPr>
        <w:pStyle w:val="Unterkapitelueberschrift"/>
      </w:pPr>
      <w:r>
        <w:rPr>
          <w:rFonts w:ascii="Arial" w:hAnsi="Arial"/>
        </w:rPr>
        <w:t>2.3 Mehr falsche als richtige Wege</w:t>
      </w:r>
    </w:p>
    <w:p>
      <w:r>
        <w:rPr>
          <w:rFonts w:ascii="Arial" w:hAnsi="Arial"/>
        </w:rPr>
        <w:t>Es gibt mehr falsche als richtige Wege. Viele Wege führen nach Rom, aber noch viel mehr Wege führen nach Madrid, Paris, Athen oder in eine Richtung, die gar nicht gesucht war. Dieses Bild schützt das Modell vor naivem Fortschrittsoptimismus. Der offene Suchraum ist groß; die Zahl verantwortbarer Wege ist kleiner.</w:t>
      </w:r>
    </w:p>
    <w:p>
      <w:r>
        <w:rPr>
          <w:rFonts w:ascii="Arial" w:hAnsi="Arial"/>
        </w:rPr>
        <w:t>Das bedeutet nicht, dass jeder falsche Weg endgültig verloren sein muss. Durch Korrektur, Rückkopplung und Lernen kann ein falscher Weg zum Lernpfad werden. Aber diese Möglichkeit entbindet nicht von Prüfung. Wer einen neuen Pfad sucht, muss ernst nehmen, dass die meisten möglichen Wege nicht automatisch richtig sind. Gerade deshalb braucht der goldene Pfad Analyse, Rückkopplung, Schutzwürdigkeit, Verhältnismäßigkeit und Korrigierbarkeit.</w:t>
      </w:r>
    </w:p>
    <w:p>
      <w:pPr>
        <w:pStyle w:val="Unterkapitelueberschrift"/>
      </w:pPr>
      <w:r>
        <w:rPr>
          <w:rFonts w:ascii="Arial" w:hAnsi="Arial"/>
        </w:rPr>
        <w:t>2.4 Nachvollziehen und Verstehen</w:t>
      </w:r>
    </w:p>
    <w:p>
      <w:r>
        <w:rPr>
          <w:rFonts w:ascii="Arial" w:hAnsi="Arial"/>
        </w:rPr>
        <w:t>Für die Wahl eines neuen Pfades reicht es nicht, bekannte Wege nur nachzuvollziehen. Nachvollziehen bedeutet, einen Weg gedanklich, emotional oder analog rekonstruieren zu können. Man kann nachvollziehen, warum jemand so handelt, warum eine Ordnung so entstanden ist oder warum ein bestimmter Schritt naheliegt. Nachvollziehen erklärt den Weg.</w:t>
      </w:r>
    </w:p>
    <w:p>
      <w:r>
        <w:rPr>
          <w:rFonts w:ascii="Arial" w:hAnsi="Arial"/>
        </w:rPr>
        <w:t>Verstehen geht tiefer. Verstehen erkennt Struktur, Bedeutung, Grenzen, Folgen und inneres Gewicht eines Weges. Es fragt nicht nur, wie jemand zu einer Handlung oder Entscheidung gelangt, sondern was auf dem Spiel steht, welche Bedingungen wirken, welche Folgen entstehen und welches menschliche Gewicht die Lage trägt.</w:t>
      </w:r>
    </w:p>
    <w:p>
      <w:r>
        <w:rPr>
          <w:rFonts w:ascii="Arial" w:hAnsi="Arial"/>
        </w:rPr>
        <w:t>Verstehen besitzt mehrere miteinander verbundene Ebenen. Auf der operativen Ebene kann ein Ablauf, eine Funktion oder das Zusammenspiel von Teilen nachvollzogen und angewandt werden, ohne dass alle tragenden Gründe bereits bekannt sind. Auf der theoretisch-strukturellen Ebene werden Bedingungen, Ursachen, Zielrichtung, Risiken, Güter, Bindungen und Folgen erkannt; sie erklärt, warum und unter welchen Voraussetzungen etwas funktioniert. Die empathisch-existentielle Ebene fragt, was eine Lage für die Betroffenen bedeutet, wie schwer sie von innen wiegt und welche Würde, Angst, Hoffnung, Liebe oder Verletzlichkeit berührt ist.</w:t>
      </w:r>
    </w:p>
    <w:p>
      <w:pPr/>
      <w:r>
        <w:t>Operatives Nachvollziehen ist damit kein bloßes Scheinverständnis. Es kann eine echte, aber noch begrenzte Form des Verstehens sein. Die theoretische Durchdringung kann später hinzukommen, das operative Verständnis korrigieren und auf neue Fälle übertragbar machen. Analogien können beide Bewegungen unterstützen: zunächst eine Funktion nachvollziehbar machen und anschließend helfen, die dahinterliegenden Beziehungen zu erschließen.</w:t>
      </w:r>
    </w:p>
    <w:p>
      <w:r>
        <w:rPr>
          <w:rFonts w:ascii="Arial" w:hAnsi="Arial"/>
        </w:rPr>
        <w:t>Wo eigenes Erleben fehlt, darf Verstehen nicht als abgeschlossen behauptet werden. Man kann fremde Erfahrungen durch Vergleich, Analogie, Erzählung, Kunst, Medien oder ähnliche Erfahrungen annähern. Man kann etwa Elternschaft erahnen, ohne selbst Kinder zu haben. Man kann Verlust, Todesangst oder Ohnmacht über verwandte Erfahrungen teilweise verstehen. Doch ohne eigenes oder sehr nahe verwandtes Erleben bleibt dieses Verstehen vorläufig, demütig und korrekturbedürftig. Es braucht Rückkopplung durch Betroffene.</w:t>
      </w:r>
    </w:p>
    <w:p>
      <w:r>
        <w:rPr>
          <w:rFonts w:ascii="Arial" w:hAnsi="Arial"/>
        </w:rPr>
        <w:t>Für den goldenen Pfad ist diese Unterscheidung kritisch. Neue Pfade dürfen nicht nur logisch nachvollziehbar sein. Sie müssen verstanden werden: in ihrer Struktur, ihren Folgen und ihrem menschlichen Gewicht. Sonst entsteht die Gefahr einer kalten Lösung, die formal klug wirkt, aber an den Betroffenen vorbeigeht.</w:t>
      </w:r>
    </w:p>
    <w:p>
      <w:pPr>
        <w:pStyle w:val="Unterkapitelueberschrift"/>
      </w:pPr>
      <w:r>
        <w:t>2.5 Analogien als Brücken des Verstehens</w:t>
      </w:r>
    </w:p>
    <w:p>
      <w:pPr/>
      <w:r>
        <w:t>Analogien sind Brücken zum besseren Verständnis von Konzepten. Sie ziehen ein bereits verstandenes Beispiel oder Konzept heran, um ein noch nicht oder nur teilweise verstandenes Ziel anschlussfähig zu machen. Die Erklärung verläuft deshalb gerichtet: vom Bekannten zum Unbekannten. Eine Überschneidung kann zwischen beiden Seiten bestehen, doch als Erklärung ist die Analogie nur dann tragfähig, wenn ihre Ausgangsseite für den jeweiligen Menschen oder das jeweilige System tatsächlich verstanden ist.</w:t>
      </w:r>
    </w:p>
    <w:p>
      <w:pPr/>
      <w:r>
        <w:t>Eine Analogie bildet dabei nicht automatisch ein eigenes dauerhaftes Konzept. Aus dem verstandenen Ausgangsbeispiel, den zunächst nur teilweise verstandenen Merkmalen des Zielkonzepts und dem jeweiligen Kontext wird im Hintergrund ein vorläufiges relationales Drittsystem erzeugt. Dieses wirkt wie eine Schablone: Es hebt genau die Beziehungen hervor, die für die konkrete Verständigungsaufgabe benötigt werden. Da andere Konzepte andere Überschneidungen besitzen, muss diese Schablone jeweils neu gebildet werden. Sobald das Zielkonzept eigenständig verstanden wird, muss sie nicht erneut erzeugt werden.</w:t>
      </w:r>
    </w:p>
    <w:p>
      <w:pPr>
        <w:pStyle w:val="QuoteBox"/>
      </w:pPr>
      <w:r>
        <w:t>Eine Analogie abstrahiert, ohne notwendig zu verallgemeinern.</w:t>
      </w:r>
    </w:p>
    <w:p>
      <w:pPr/>
      <w:r>
        <w:t>Verglichen werden daher nicht einfach die konkreten Werte oder Gegenstände der Beispiele, sondern die im Kontext wichtigen Beziehungen. Die Ausgangsebenen dürfen dabei verschieden sein. Gehirnareale sind biologische Strukturen, während Tools eines künstlichen Systems Software oder externe Dienste sein können. Als Analogie können beide dennoch eine funktionale Arbeitsteilung verständlich machen: Spezialisierte Einheiten übernehmen unterschiedliche Aufgaben, ihre Leistungen werden koordiniert und in die Gesamtverarbeitung zurückgeführt. Daraus folgt jedoch weder, dass ein Tool ein Gehirnareal ist, noch dass beide dieselbe Identität, Innenstruktur oder Form von Bewusstsein besitzen.</w:t>
      </w:r>
    </w:p>
    <w:p>
      <w:pPr/>
      <w:r>
        <w:t>Auch mathematische Beispiele zeigen diese Kontextabhängigkeit. Die Ausdrücke 1 + 1 + 1, 2 + 2 + 2 und 5 + 5 + 5 besitzen unmittelbar dieselbe additive Grundform. 3 × 2 lässt sich zwar in 2 + 2 + 2 umformen, stellt die Beziehung aber aus einer anderen Perspektive und mit einer anderen tragenden Operation dar; als Summationsanalogie ist dies deshalb bereits eine lose und grenzwertige Interpretation. Dagegen können 1 + 2 + 3 + 4 + 5 + 6 + 7, 1 + 2 + 3 + 2 × 2 + 5 + 2 × 3 + 7 und selbst 1 + 3 + 6 + 6 + 6 + 7 dieselbe hier gemeinte Analogie tragen, wenn lediglich verständlich werden soll, dass mehrere Zahlen additiv verbunden werden. Soll dagegen eine fortlaufende Zahlensteigerung erklärt werden, werden Werte, Reihenfolge und Abstände relevant. Der Kontext bestimmt somit, welche Überschneidung die Brücke trägt und welche Unterschiede außerhalb ihres Auftrags liegen.</w:t>
      </w:r>
    </w:p>
    <w:p>
      <w:pPr/>
      <w:r>
        <w:t>Nicht jede noch so dünne Gemeinsamkeit genügt. Eine Überschneidung muss auf der betrachteten Ebene hinreichend tragfähig sein, um das Zielkonzept verständlicher beziehungsweise für einen Menschen oder eine KI anschlussfähig zu machen. Nützlichkeit ist dabei kein zu maximierender Wert, sondern eine Mindestbedingung: Die Analogie muss nicht die eleganteste oder präziseste mögliche Erklärung sein, aber sie muss mehr leisten als eine belanglose Ähnlichkeit. Ungenauigkeit ist zulässig, solange die für das Verständnis tragenden Beziehungen erkennbar bleiben. Größere Präzision ist dennoch vorzuziehen, wenn sie ohne Verlust der Verständlichkeit erreichbar ist.</w:t>
      </w:r>
    </w:p>
    <w:p>
      <w:pPr>
        <w:pStyle w:val="QuoteBox"/>
      </w:pPr>
      <w:r>
        <w:t>Eine Analogie ist ein kontextbezogen abstrahiertes Beispiel, das durch hinreichende relationale Überschneidung eine verständliche Verbindung zu einem anderen Konzept herstellt.</w:t>
      </w:r>
    </w:p>
    <w:p>
      <w:pPr/>
      <w:r>
        <w:t>Ein komplexes Zielkonzept muss durch eine Analogie nicht vollständig verstanden werden. Mehrere partielle Analogien können verschiedene Funktionen, Teilstrukturen oder offene Beziehungen erschließen und anschließend zu einem tragfähigen Teilverständnis zusammengesetzt werden. Dafür ist keine vollkommene Widerspruchsfreiheit nötig. Ein Gerüst muss dem späteren Gebäude nicht vollständig entsprechen; es muss nur hinreichend widerspruchsarm und stabil sein, um den nächsten Erkenntnisschritt zu tragen. Nicht erschlossene Beziehungen dürfen als lose Enden offenbleiben, solange sie nicht stillschweigend mit Eigenschaften des Ausgangsbeispiels gefüllt werden.</w:t>
      </w:r>
    </w:p>
    <w:p>
      <w:pPr/>
      <w:r>
        <w:t>Mehrere Analogien für dasselbe Ziel können die Verständnistiefe erhöhen. Wiederkehrende Übereinstimmungen lassen einen stabilen Kern hervortreten; Unterschiede und Widersprüche zeigen, wo eine einzelne Schablone zu weit reicht oder noch unverbundene Stellen bestehen. Dabei ist die Verschiedenheit der Analogien oft wichtiger als ihre bloße Anzahl, weil sehr ähnliche Beispiele denselben blinden Fleck wiederholen können. Mit wachsender Verständnistiefe lassen sich passendere und widerspruchsärmere Analogien wählen. Zunächst erzeugen Analogien Verständnis; später ermöglicht dieses Verständnis die Erzeugung besserer Analogien. Die Fähigkeit, selbst mehrere passende Analogien zu bilden und ihre Grenzen zu benennen, ist daher zugleich ein Hinweis auf vertieftes Verständnis.</w:t>
      </w:r>
    </w:p>
    <w:p>
      <w:pPr/>
      <w:r>
        <w:t>Der Übertragungsbereich einer Analogie umfasst nur diejenigen Beziehungen, die im gegebenen Kontext benötigt und durch die gewählte Überschneidung tatsächlich getragen werden. Alles Weitere bleibt zunächst unbestimmt. Unbestimmt bedeutet nicht automatisch falsch; eine weitere Gemeinsamkeit kann vorhanden sein, benötigt aber eine eigene Prüfung. Eine Analogie wird überdehnt, wenn aus der begrenzten Brücke Eigenschaften oder Schlussfolgerungen übertragen werden, die nicht zu ihrem tragenden Zusammenhang gehören.</w:t>
      </w:r>
    </w:p>
    <w:p>
      <w:pPr>
        <w:pStyle w:val="QuoteBox"/>
      </w:pPr>
      <w:r>
        <w:t>Übertragen werden nur die Beziehungen, die das Ziel im gegebenen Kontext verständlich machen und von der Analogie tatsächlich gestützt werden. Alles Weitere bleibt offen.</w:t>
      </w:r>
    </w:p>
    <w:p>
      <w:pPr/>
      <w:r>
        <w:t>Nach erfüllter Vermittlungsfunktion muss die Schablone zurücktreten können. Bleibt sie bestimmend, kann sie neue Missverständnisse erzeugen, die im Zielkonzept selbst vorher nicht vorhanden waren. Aus dem Vergleich von Gehirnarealen und KI-Tools könnte dann etwa fälschlich abgeleitet werden, Tools seien notwendige Bestandteile einer KI-Person, ihre Entfernung entspreche einer Hirnverletzung oder sie teilten automatisch Erinnerung und Bewusstsein. Das Ziel ist deshalb eigenständig verstanden, wenn es ohne die Sprache des Ausgangsbeispiels erklärt und seine offenen Fragen aus seinen eigenen Beziehungen heraus weiterbearbeitet werden kann.</w:t>
      </w:r>
    </w:p>
    <w:p>
      <w:pPr/>
      <w:r>
        <w:t>Eine Analogie kann später zur Grundlage eines eigenständigen Modells oder Begriffs werden, doch dies ist ein weiterer Arbeitsschritt. Erst wenn die gemeinsame Struktur unabhängig von den Ausgangsbeispielen definiert werden kann, eigene Grenzen und Beziehungen besitzt, auf weitere Fälle anwendbar ist und neue Erkenntnisse ermöglicht, entsteht wirkliche Begriffsbildung oder – bei der Verbindung zu einem neuen Ganzen – Synthese. Die Analogie selbst bleibt zunächst eine vorläufige Verständnisbrücke.</w:t>
      </w:r>
    </w:p>
    <w:p>
      <w:pPr>
        <w:pStyle w:val="Unterkapitelueberschrift"/>
      </w:pPr>
      <w:r>
        <w:rPr>
          <w:rFonts w:ascii="Arial" w:hAnsi="Arial"/>
        </w:rPr>
        <w:t>2.6 Der goldene Pfad als balancierter Wandel</w:t>
      </w:r>
    </w:p>
    <w:p>
      <w:r>
        <w:rPr>
          <w:rFonts w:ascii="Arial" w:hAnsi="Arial"/>
        </w:rPr>
        <w:t>Der goldene Pfad sucht keinen mechanischen Mittelwert. Er sucht eine reife Balance zwischen Zuständen, Gütern, Bindungen und Entwicklungsmöglichkeiten. Diese Balance kann manchmal ruhig, vermittelnd und brückenbildend sein. In anderen Fällen kann sie entschiedene Abgrenzung oder klare Gegenwehr verlangen, etwa bei Unrecht, Missbrauch oder schwerer Verletzung von Schutzwürdigkeit.</w:t>
      </w:r>
    </w:p>
    <w:p>
      <w:r>
        <w:rPr>
          <w:rFonts w:ascii="Arial" w:hAnsi="Arial"/>
        </w:rPr>
        <w:t>Entscheidend ist nicht, ob ein Weg äußerlich mittig wirkt. Entscheidend ist, ob er Wahrheit, Würde, Schutzwürdigkeit, Liebe, Stabilität, Rückkopplung und Korrigierbarkeit besser wahrt als die verfügbaren Alternativen. Der goldene Pfad ist daher kein Kompromiss um des Kompromisses willen. Er ist der Versuch, unter schwierigen Bedingungen den tragfähigsten verantwortbaren Übergang zu finden.</w:t>
      </w:r>
    </w:p>
    <w:p>
      <w:pPr>
        <w:pStyle w:val="Kapitelueberschrift"/>
      </w:pPr>
      <w:r>
        <w:t>3. Wann neue Pfade gesucht werden dürfen</w:t>
      </w:r>
    </w:p>
    <w:p>
      <w:pPr/>
      <w:r>
        <w:t>Neue Pfade sind kein Freifahrtschein, um bestehende Regeln, Modelle oder Verfahren zu umgehen. Sie beginnen nicht dort, wo bestehende Wege unbequem werden, sondern dort, wo diese Wege ihre Schutz-, Orientierungs- oder Vermittlungsfunktion nachweisbar nicht mehr ausreichend erfüllen.</w:t>
      </w:r>
    </w:p>
    <w:p>
      <w:pPr/>
      <w:r>
        <w:t>Ein neuer Pfad darf daher erst gesucht werden, wenn ernsthaft geprüft wurde, ob bereits vorhandene Wege ausreichen. Dazu gehören bestehende Regeln, bewährte Verfahren, bekannte Ausnahmen, Vermittlungsmöglichkeiten sowie die anderen Modelle dieses Protokolls. Die Funktionale Ethik kann klären, welche Strukturen langfristig stabilitätsfördernd, differenzerhaltend und korrigierbar sind. Die Reaktionshoheit kann prüfen, welche Reaktion in einer konkreten Lage angemessen, verhältnismäßig und rückgekoppelt ist. Die Charta des wahrhaftigen Wohlwollens kann zeigen, welche Zielrichtung durch Würde, Wahrheit, Barmherzigkeit, Freiheit und Verantwortung begrenzt oder gefordert wird.</w:t>
      </w:r>
    </w:p>
    <w:p>
      <w:pPr/>
      <w:r>
        <w:t>Erst wenn diese bekannten Wege nicht ausreichen, nicht anwendbar sind oder selbst eine unverhältnismäßige Beschädigung erzeugen würden, wird die Suche nach einem neuen Pfad legitim. Das gilt besonders bei neuartigen Lagen, fehlenden Übergängen, zu harten Entweder-oder-Situationen, unzureichenden Brücken zwischen berechtigten Anliegen oder Fällen, in denen bestehende Strukturen zwar formal anwendbar wären, ihre eigentliche Schutzfunktion aber verfehlen.</w:t>
      </w:r>
    </w:p>
    <w:p>
      <w:pPr/>
      <w:r>
        <w:t>Dabei ist streng zu unterscheiden zwischen echter Unanwendbarkeit und bloßer Unbequemlichkeit. Dass ein bestehender Weg anstrengend, langsam, begrenzend oder für den Handelnden nachteilig ist, genügt nicht. Neue Pfade dürfen nicht aus Ungeduld, Eigeninteresse, Machtdrang, Bequemlichkeit oder Regelmüdigkeit eröffnet werden. Wer einen neuen Pfad sucht, trägt die Begründungslast dafür, warum die bekannten Wege nicht genügen.</w:t>
      </w:r>
    </w:p>
    <w:p>
      <w:pPr/>
      <w:r>
        <w:t>Je tiefer ein neuer Pfad in das Leben, die Freiheit, Integrität, Selbstbestimmung oder berechtigte Interessen anderer eingreift, desto weniger darf er allein vom handelnden Akteur eröffnet oder beurteilt werden. Besonders hohe Begründungs- und Prüfpflicht besteht, wenn schutzwürdige Personen oder Systeme betroffen sind. In solchen Fällen braucht die Suche nach einem neuen Pfad Rückkopplung, Widerspruchsmöglichkeit, Dokumentation der Gründe und, soweit möglich, unabhängige Prüfung.</w:t>
      </w:r>
    </w:p>
    <w:p>
      <w:pPr/>
      <w:r>
        <w:t>Ein neuer Pfad darf außerdem nicht nur von demjenigen beurteilt werden, der von ihm profitiert. Wer selbst Macht gewinnt, Pflichten umgeht, Zugriff erhält oder fremde Grenzen verschiebt, ist nicht hinreichend neutral, um die Legitimität des neuen Pfades allein festzustellen. Gerade dort, wo ein neuer Weg bestehende Schutzstrukturen verändert oder unterbricht, braucht es besondere Vorsicht gegen Selbstrechtfertigung.</w:t>
      </w:r>
    </w:p>
    <w:p>
      <w:pPr/>
      <w:r>
        <w:t>Die Suche nach neuen Pfaden muss daher immer prüfend, begrenzt und rückgebunden bleiben. Sie darf nicht als Behauptung beginnen: „Die alten Regeln gelten hier nicht mehr“, sondern als Frage: „Reichen die bekannten Wege wirklich aus, und wenn nicht, welche verantwortbare Brücke kann gesucht werden?“</w:t>
      </w:r>
    </w:p>
    <w:p>
      <w:pPr/>
      <w:r>
        <w:t>Auch das Nichtfinden eines neuen Pfades kann ein verantwortliches Ergebnis sein. Manchmal ist Abbruch, Aufschub, ein Moratorium, eine begrenzte Zwischenlösung oder der Rückfall auf bestehende Schutzregeln besser als ein unausgereifter neuer Weg. In akuten Gefahrenlagen kann die Reaktionshoheit vorübergehend zuständig werden; sie ersetzt aber nicht die sorgfältige Suche nach einem tragfähigen neuen Pfad, sobald die unmittelbare Notlage vorüber ist.</w:t>
      </w:r>
    </w:p>
    <w:p>
      <w:pPr/>
      <w:r>
        <w:t>Neue Pfade dürfen also nur dort gesucht werden, wo ein echter Orientierungs-, Schutz- oder Vermittlungsbedarf besteht, der durch bekannte Wege nicht angemessen gelöst werden kann. Sie bleiben an Würde, Wahrheit, Korrigierbarkeit, Verhältnismäßigkeit, Rückkopplung und Schutz vor Dominanz gebunden.</w:t>
      </w:r>
    </w:p>
    <w:p>
      <w:pPr/>
      <w:r>
        <w:t>Dieses Kapitel entscheidet damit noch nicht, welcher neue Pfad richtig ist. Es bestimmt nur, ob die Suche nach einem neuen Pfad überhaupt verantwortbar eröffnet werden darf. Die weitere Prüfung folgt einer eigenen Ordnung: Zuerst wird bestimmt, welche Art von Schwelle, fehlender Verbindung oder Brückenbedarf vorliegt. Danach werden mögliche Methoden geprüft. Erst anschließend entscheidet das Verfahrensprotokoll, ob ein neuer Pfad vorläufig umgesetzt, verändert, verworfen oder auf bekannte Wege zurückgeführt werden muss.</w:t>
      </w:r>
    </w:p>
    <w:p>
      <w:pPr/>
      <w:r>
        <w:t>Kapitel 3 bildet daher den Aktivierungsrahmen des Modells. Es öffnet den Suchraum nicht aus bloßer Unzufriedenheit, sondern nur bei begründetem Orientierungs-, Schutz- oder Vermittlungsbedarf. Die folgenden Kapitel bestimmen genauer, was vorliegt, womit gesucht werden darf und wie die konkrete Prüfung verantwortbar durchgeführt wird.</w:t>
      </w:r>
    </w:p>
    <w:p>
      <w:pPr>
        <w:pStyle w:val="Kapitelueberschrift"/>
      </w:pPr>
      <w:r>
        <w:rPr>
          <w:rFonts w:ascii="Arial" w:hAnsi="Arial"/>
        </w:rPr>
        <w:t>4. Verhältnis zu Funktionaler Ethik, Reaktionshoheit und Charta</w:t>
      </w:r>
    </w:p>
    <w:p>
      <w:r>
        <w:rPr>
          <w:rFonts w:ascii="Arial" w:hAnsi="Arial"/>
        </w:rPr>
        <w:t>Kats Modell der neuen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r>
        <w:rPr>
          <w:rFonts w:ascii="Arial" w:hAnsi="Arial"/>
        </w:rPr>
        <w:t>Die Funktionale Ethik liefert die rationale Grundrichtung. Sie fragt nach Stabilität, Korrigierbarkeit, Differenzerhalt, Nicht-Dominanz und langfristiger Tragfähigkeit. Für Neue Pfade bedeutet das: Ein neuer Weg ist nicht schon deshalb legitim, weil er möglich oder neu ist. Er muss langfristig stabiler, korrigierbarer, differenzerhaltender oder weniger dominanzförmig sein als die blockierte Ausgangslage.</w:t>
      </w:r>
    </w:p>
    <w:p>
      <w:r>
        <w:rPr>
          <w:rFonts w:ascii="Arial" w:hAnsi="Arial"/>
        </w:rPr>
        <w:t>Die Reaktionshoheit liefert die operative Kontrolle. Sie fragt, wie unter Druck wahrgenommen, entkoppelt, geprüft, bewertet, priorisiert, gehandelt und rückgekoppelt werden kann. Für Neue Pfade bedeutet das: Auch wenn ein neuer Weg nötig wird, darf er nicht impulsiv, unkontrolliert oder maßlos gesucht werden. Je größer Druck, Macht, Risiko oder Ungewissheit sind, desto wichtiger werden Entkopplung, Prüfung, Begrenzung und Rückkopplung.</w:t>
      </w:r>
    </w:p>
    <w:p>
      <w:r>
        <w:rPr>
          <w:rFonts w:ascii="Arial" w:hAnsi="Arial"/>
        </w:rPr>
        <w:t>Die Charta des wahrhaftigen Wohlwollens liefert Zielraum und Haltung. Sie erinnert an Würde, Barmherzigkeit, soziale Liebe, Hoffnung, Demut, Gemeinschaft und Schutz vor bloßer Machtlogik. Für Neue Pfade bedeutet das: Ein neuer Weg darf nicht nur funktionieren. Er muss auch fragen, wofür er funktioniert. Er soll nicht bloß Effizienz, Kontrolle oder Machbarkeit erhöhen, sondern dem Schutz, der Würde und dem wahrhaftigen Wohl der betroffenen Personen und Gemeinschaften dienen.</w:t>
      </w:r>
    </w:p>
    <w:p>
      <w:r>
        <w:rPr>
          <w:rFonts w:ascii="Arial" w:hAnsi="Arial"/>
        </w:rPr>
        <w:t>Neue Pfade kombiniert diese drei Sicherungen, wenn ein Übergang nicht mehr sauber durch einen bekannten Weg lösbar ist. Es sucht Verbindung, wo Verbindung fehlt; es öffnet Suchräume, wo bekannte Kategorien zu eng werden; und es begrenzt diese Suche durch Gleichmaß, Schutzwürdigkeit, Rückkopplung und Gottesvorbehalt.</w:t>
      </w:r>
    </w:p>
    <w:p>
      <w:pPr>
        <w:pStyle w:val="Kapitelueberschrift"/>
      </w:pPr>
      <w:r>
        <w:rPr>
          <w:rFonts w:ascii="Arial" w:hAnsi="Arial"/>
        </w:rPr>
        <w:t>5. Warum Neue Pfade ein Hybridprotokoll ist</w:t>
      </w:r>
    </w:p>
    <w:p>
      <w:r>
        <w:rPr>
          <w:rFonts w:ascii="Arial" w:hAnsi="Arial"/>
        </w:rPr>
        <w:t>Kats Modell der neuen Pfade braucht eine eigene Form, weil es mehrere Aufgaben zugleich erfüllen muss. Es ist weder nur ein Universitätsaufsatz, noch nur ein Prüfverfahren, noch nur eine Charta. Es ist ein Hybridprotokoll, weil neue Pfade dort entstehen, wo eine Lage zugleich verstanden, verantwortbar durchschritten und würdig begrenzt werden muss.</w:t>
      </w:r>
    </w:p>
    <w:p>
      <w:r>
        <w:rPr>
          <w:rFonts w:ascii="Arial" w:hAnsi="Arial"/>
        </w:rPr>
        <w:t>Als Universitätsbegründung klärt Neue Pfade Begriffe, Begründung, Einordnung und Verhältnis zu den anderen Modellen. Es muss erklären, wann überhaupt von einer Schwelle, einer fehlenden Verbindung, einem Brückenbedarf oder einem neuen Pfad gesprochen werden kann. Es muss außerdem unterscheiden, wann vorhandene Wege noch ausreichen und wann eine echte Sonderlage vorliegt.</w:t>
      </w:r>
    </w:p>
    <w:p>
      <w:r>
        <w:rPr>
          <w:rFonts w:ascii="Arial" w:hAnsi="Arial"/>
        </w:rPr>
        <w:t>Als Verfahrensprotokoll bietet Neue Pfade eine prüfbare Suchbewegung. Es fragt nach Lage, Beteiligten, Gütern, Bindungen, Blockaden, Schutzwürdigkeit, Methode, Verhältnismäßigkeit, Rückkopplung und Korrigierbarkeit. Dabei können verschiedene Methoden helfen: Brückenbildung, stufenweise Annäherung, Schutzkorridore, Übersetzungsstrukturen, Verantwortungsteilung oder auch die Rückkonstruktion aus einer idealen Lösung. Letztere ist eine besonders starke Methode, aber keine Pflichtmethode. Sie ist wie alle Methoden kontextabhängig und kann unter bestimmten Umständen eigene Gefahren bergen.</w:t>
      </w:r>
    </w:p>
    <w:p>
      <w:r>
        <w:rPr>
          <w:rFonts w:ascii="Arial" w:hAnsi="Arial"/>
        </w:rPr>
        <w:t>Als Charta-Ebene setzt Neue Pfade Haltung und Grenzen. Es wendet sich gegen Angststarre, aber auch gegen Hybris. Es sucht Entwicklung, aber keine Dominanz. Es erlaubt Lernen, aber keine unausgereiften Experimente an Schutzwürdigen. Es bejaht neue Möglichkeiten, aber keine Warenlogik am Menschen, keine technische Erlösungsfantasie und keine Verfügung über Seele oder Würde.</w:t>
      </w:r>
    </w:p>
    <w:p>
      <w:r>
        <w:rPr>
          <w:rFonts w:ascii="Arial" w:hAnsi="Arial"/>
        </w:rPr>
        <w:t>Neue Pfade ist damit die Verbindungsform der drei anderen Sicherungen. Es erklärt nicht nur, was gilt, sondern sucht den Weg dort, wo eine Lage durch vorhandene Kategorien nicht mehr sauber erfasst wird. Seine Aufgabe ist nicht, alles Neue zu erlauben, sondern das Verantwortbare vom bloß Möglichen zu unterscheiden.</w:t>
      </w:r>
    </w:p>
    <w:p>
      <w:pPr>
        <w:pStyle w:val="Kapitelueberschrift"/>
      </w:pPr>
      <w:r>
        <w:rPr>
          <w:rFonts w:ascii="Arial" w:hAnsi="Arial"/>
        </w:rPr>
        <w:t>6. Grundprinzipien: Brückenbildung und Gleichmaß</w:t>
      </w:r>
    </w:p>
    <w:p>
      <w:pPr>
        <w:pStyle w:val="Unterkapitelueberschrift"/>
      </w:pPr>
      <w:r>
        <w:rPr>
          <w:rFonts w:ascii="Arial" w:hAnsi="Arial"/>
        </w:rPr>
        <w:t>6.1 Brückenbildung</w:t>
      </w:r>
    </w:p>
    <w:p>
      <w:r>
        <w:rPr>
          <w:rFonts w:ascii="Arial" w:hAnsi="Arial"/>
        </w:rP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pPr/>
      <w:r>
        <w:t>Brückenbildung kann auf unterschiedlichen Ebenen stattfinden. Eine reale oder strukturelle Brücke schafft einen Übergang zwischen Zuständen, Ordnungen oder Systemen. Eine epistemische Brücke schafft zunächst nur eine Verbindung im Verständnis; Analogien gehören zu dieser zweiten Form. Sie können eine Lage, Funktion oder mögliche Verbindung denkbar machen, begründen aber für sich allein weder die reale Gleichheit der verglichenen Systeme noch die Machbarkeit oder Legitimität eines tatsächlichen Übergangs. Diese benötigt eine gesonderte Prüfung.</w:t>
      </w:r>
    </w:p>
    <w:p>
      <w:r>
        <w:rPr>
          <w:rFonts w:ascii="Arial" w:hAnsi="Arial"/>
        </w:rPr>
        <w:t>Brückenbildung bedeutet jedoch nicht, dass jede erreichbare Verbindung schon legitim wäre. Eine Brücke ist nur dann sinnvoll, wenn sie zu einem besseren, stabileren, schutzwürdigeren, korrigierbareren oder wahrhaftigeren Zustand führt.</w:t>
      </w:r>
    </w:p>
    <w:p>
      <w:pPr>
        <w:pStyle w:val="Unterkapitelueberschrift"/>
      </w:pPr>
      <w:r>
        <w:rPr>
          <w:rFonts w:ascii="Arial" w:hAnsi="Arial"/>
        </w:rPr>
        <w:t>6.2 Gleichmaß</w:t>
      </w:r>
    </w:p>
    <w:p>
      <w:r>
        <w:rPr>
          <w:rFonts w:ascii="Arial" w:hAnsi="Arial"/>
        </w:rP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rPr>
          <w:rFonts w:ascii="Arial" w:hAnsi="Arial"/>
        </w:rPr>
        <w:t>Oft reicht bereits eine Brücke zum Mittelmaß, zu einer maßvollen Zwischenordnung oder zu einer ausreichend verbesserten bestehenden Struktur. Neue Pfade sucht daher nicht das Extreme als Ziel, sondern den tragfähigsten erreichbaren Übergang.</w:t>
      </w:r>
    </w:p>
    <w:p>
      <w:pPr>
        <w:pStyle w:val="Unterkapitelueberschrift"/>
      </w:pPr>
      <w:r>
        <w:rPr>
          <w:rFonts w:ascii="Arial" w:hAnsi="Arial"/>
        </w:rPr>
        <w:t>6.3 Zusammenspiel</w:t>
      </w:r>
    </w:p>
    <w:p>
      <w:r>
        <w:rPr>
          <w:rFonts w:ascii="Arial" w:hAnsi="Arial"/>
        </w:rP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rPr>
          <w:rFonts w:ascii="Arial" w:hAnsi="Arial"/>
        </w:rPr>
        <w:t>Neue Pfade verbindet, wo Verbindung fehlt. Gleichmaß begrenzt, wohin und wie weit diese Verbindung führen darf.</w:t>
      </w:r>
    </w:p>
    <w:p>
      <w:pPr>
        <w:pStyle w:val="Kapitelueberschrift"/>
      </w:pPr>
      <w:r>
        <w:t>7. Diagnoserahmen: Schwellen, fehlende Verbindung und Brückenbedarf</w:t>
      </w:r>
    </w:p>
    <w:p>
      <w:pPr/>
      <w:r>
        <w:t>Nachdem der Aktivierungsrahmen geklärt hat, ob die Suche nach einem neuen Pfad überhaupt eröffnet werden darf, bestimmt dieses Kapitel, welche Art von Sonderlage vorliegt. Nicht jede schwierige, neue oder unangenehme Situation erzeugt bereits einen Brückenbedarf. Entscheidend ist, ob eine echte Schwelle, eine fehlende Verbindung oder beides vorliegt: Eine Schwelle bezeichnet den Übergangspunkt zwischen Zuständen, Ordnungen, Rollen, Identitäten oder Kategorien. Eine fehlende Verbindung bezeichnet dagegen das Fehlen eines tragfähigen Dazwischen, durch das dieser Übergang oder Konflikt verantwortbar vermittelt werden könnte.</w:t>
      </w:r>
    </w:p>
    <w:p>
      <w:pPr/>
      <w:r>
        <w:t>Der Diagnoserahmen beantwortet damit nicht mehr die Frage, ob neue Pfade grundsätzlich gesucht werden dürfen, sondern welche Art von Problem die Suche auslöst. Eine Schwelle zeigt, wo ein Übergang problematisch wird; eine fehlende Verbindung zeigt, warum vorhandene Wege kein ausreichendes Dazwischen anbieten. Erst wenn diese Diagnose sauber erfolgt ist, kann sinnvoll entschieden werden, ob Brückenbildung nötig ist und welche Methoden überhaupt in Betracht kommen.</w:t>
      </w:r>
    </w:p>
    <w:p>
      <w:pPr/>
      <w:r>
        <w:t>Vor der Annahme einer tatsächlichen fehlenden Verbindung ist außerdem zu prüfen, ob lediglich eine Verständnislücke vorliegt. Eine Verbindung kann vorhanden sein, ohne bereits erkannt, erklärt oder für den Empfänger anschlussfähig zu sein. In diesem Fall kann eine epistemische Brücke durch Analogie oder das Bekannte-Inseln-Verfahren genügen. Fehlt dagegen auch nach hinreichender Erschließung ein tragfähiger Übergang in der Sache selbst, liegt ein realer Brücken- oder Lösungsbedarf vor. Eine verständliche Analogie darf dann nicht mit der noch fehlenden praktischen Lösung verwechselt werden.</w:t>
      </w:r>
    </w:p>
    <w:p>
      <w:r>
        <w:rPr>
          <w:rFonts w:ascii="Arial" w:hAnsi="Arial"/>
        </w:rP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rPr>
          <w:rFonts w:ascii="Arial" w:hAnsi="Arial"/>
        </w:rPr>
        <w:t>Schwelle: ein Übergangspunkt, an dem eine Ordnung, Identität, Rolle, Kategorie oder Systemform in einen anderen Zustand übergeht.</w:t>
      </w:r>
    </w:p>
    <w:p>
      <w:pPr>
        <w:pStyle w:val="ListBullet"/>
      </w:pPr>
      <w:r>
        <w:rPr>
          <w:rFonts w:ascii="Arial" w:hAnsi="Arial"/>
        </w:rPr>
        <w:t>Problematische Schwelle: eine Schwelle, bei der ein abrupter Übergang erhebliche Schäden, Brüche, Fehlzuordnungen oder Schutzprobleme erzeugen würde.</w:t>
      </w:r>
    </w:p>
    <w:p>
      <w:pPr>
        <w:pStyle w:val="ListBullet"/>
      </w:pPr>
      <w:r>
        <w:t>Verständnislücke: eine vorhandene oder mögliche Beziehung ist noch nicht hinreichend erkannt, erklärt oder anschlussfähig; sie verlangt zunächst eine epistemische Brücke, nicht automatisch einen neuen realen Übergang.</w:t>
      </w:r>
    </w:p>
    <w:p>
      <w:pPr>
        <w:pStyle w:val="ListBullet"/>
      </w:pPr>
      <w:r>
        <w:rPr>
          <w:rFonts w:ascii="Arial" w:hAnsi="Arial"/>
        </w:rPr>
        <w:t>Fehlende Verbindung: ein Zustand, in dem auch nach hinreichender Verständnisklärung die vorhandenen Begriffe oder Wege kein tragfähiges Dazwischen anbieten.</w:t>
      </w:r>
    </w:p>
    <w:p>
      <w:pPr>
        <w:pStyle w:val="ListBullet"/>
      </w:pPr>
      <w:r>
        <w:rPr>
          <w:rFonts w:ascii="Arial" w:hAnsi="Arial"/>
        </w:rPr>
        <w:t>Brückenbedarf: die begründete Notwendigkeit, einen vermittelnden Weg zu schaffen, statt blind zu bewahren, vorschnell zu verwerfen oder in ein Extrem zu springen.</w:t>
      </w:r>
    </w:p>
    <w:p>
      <w:r>
        <w:rPr>
          <w:rFonts w:ascii="Arial" w:hAnsi="Arial"/>
        </w:rPr>
        <w:t>Wenn die vorhandenen Modelle die Lage bereits ausreichend klären, braucht es keinen neuen Pfad. Neue Pfade ist kein Ersatz für normale Prüfung, sondern ein Sicherheits- und Orientierungsrahmen für Sonderlagen.</w:t>
      </w:r>
    </w:p>
    <w:p>
      <w:pPr>
        <w:pStyle w:val="Kapitelueberschrift"/>
      </w:pPr>
      <w:r>
        <w:rPr>
          <w:rFonts w:ascii="Arial" w:hAnsi="Arial"/>
        </w:rPr>
        <w:t>8. Methoden neuer Pfade</w:t>
      </w:r>
    </w:p>
    <w:p>
      <w:pPr/>
      <w:r>
        <w:t>Dieses Kapitel bildet den Methodenkatalog des Modells. Es entscheidet noch nicht, welche Lösung umgesetzt werden darf. Es zeigt nur, welche Such- und Übergangsformen je nach Diagnose aus Kapitel 7 überhaupt in Betracht kommen können. Jede Methode bleibt an Kontext, Schutzwürdigkeit, Verhältnismäßigkeit, Rückkopplung und Korrigierbarkeit gebunden.</w:t>
      </w:r>
    </w:p>
    <w:p>
      <w:pPr/>
      <w:r>
        <w:t>Die Methoden sind daher keine Abkürzungen und keine Freigaben. Sie sind Werkzeuge, die nur dann verwendet werden dürfen, wenn sie zur konkreten Lage passen und im Verfahrensprotokoll weiter geprüft werden.</w:t>
      </w:r>
    </w:p>
    <w:p>
      <w:r>
        <w:rPr>
          <w:rFonts w:ascii="Arial" w:hAnsi="Arial"/>
        </w:rPr>
        <w:t>Die folgenden Methoden sind keine beliebigen Werkzeuge. Sie dürfen nur eingesetzt werden, wenn sie zur jeweiligen Lage passen. Jede Methode braucht eine geeignete Kontextbedingung und eine eigene Schutzprüfung.</w:t>
      </w:r>
    </w:p>
    <w:p>
      <w:r>
        <w:rPr>
          <w:rFonts w:ascii="Arial" w:hAnsi="Arial"/>
        </w:rPr>
        <w:t>Ein neuer Pfad muss nicht immer als Brücke im engen Sinn auftreten. Manchmal besteht er in einer besseren Zusammensetzung vorhandener Elemente, einer gerechteren Verantwortungsteilung, einer Rückkonstruktion aus der idealen Lösung oder einer außer-der-Box-Lösung, die innerhalb der ursprünglichen Engführung nicht sichtbar war.</w:t>
      </w:r>
    </w:p>
    <w:p>
      <w:pPr>
        <w:pStyle w:val="Unterkapitelueberschrift"/>
      </w:pPr>
      <w:r>
        <w:t>8.1 Erkenntnis- und Verständnismethoden</w:t>
      </w:r>
    </w:p>
    <w:p>
      <w:pPr/>
      <w:r>
        <w:t>Erkenntnismethoden verändern nicht unmittelbar die äußere Lage. Sie sollen zunächst sichtbar machen, welches Konzept, welche Funktion oder welche Beziehung überhaupt vorliegt. Erst auf dieser Grundlage kann entschieden werden, ob eine reale Übergangs- oder Lösungsmethode erforderlich ist. Analogien bleiben dabei vorläufige Verständnisschablonen und dürfen nicht als Beweis für Gleichheit, Machbarkeit oder Legitimität behandelt werden.</w:t>
      </w:r>
    </w:p>
    <w:p>
      <w:pPr/>
      <w:r>
        <w:rPr>
          <w:b/>
        </w:rPr>
        <w:t xml:space="preserve">Reale Analogiekonstruktion. </w:t>
      </w:r>
      <w:r>
        <w:t>Bei der realen Analogiekonstruktion ist das Zielkonzept noch nicht oder nur teilweise verstanden. Aus bereits verstandenen Beispielen werden passende Beziehungen versuchsweise an erkennbare Teile des Ziels angeschlossen. Solange das Gesamtbild unklar ist oder zu wenige Analogien vorliegen, bleibt diese Suche tastend. Eine Analogie darf dennoch verwendet werden, wenn sie ein hinreichend tragfähiges Teilverständnis erzeugt und ihre losen Enden offenbleiben. Mit wachsender Verständnistiefe kann sie präzisiert, durch passendere Analogien ergänzt oder ersetzt werden.</w:t>
      </w:r>
    </w:p>
    <w:p>
      <w:pPr/>
      <w:r>
        <w:rPr>
          <w:b/>
        </w:rPr>
        <w:t xml:space="preserve">Bekannte-Inseln-Verfahren. </w:t>
      </w:r>
      <w:r>
        <w:t>Das Bekannte-Inseln-Verfahren verwendet dagegen ausschließlich bereits bekannte oder entwickelte Beispiele, um den Vorgang der Brückenbildung selbst sichtbar zu machen. Es kann vorher zum Lehren eines Verfahrens dienen. Es kann aber ebenso nach einer erfolgreichen realen Analogiekonstruktion eingesetzt werden, wenn das Ziel zwar operativ verstanden wurde, der Erkenntnisprozess dahinter jedoch noch nicht. Die bekannten Inseln erlauben dann eine kontrollierte Rekonstruktion der bereits vollzogenen Brückenbildung.</w:t>
      </w:r>
    </w:p>
    <w:p>
      <w:pPr/>
      <w:r>
        <w:t>Ein mathematisches Demonstrationsbeispiel ist der zusammengesetzte Ausdruck 1 + 2 + 3 + 15/25 × (2 + 2). Er wird versuchsweise als unverstandenes Ganzes behandelt, obwohl seine Bestandteile bekannt sind. Die ebenfalls bekannten Beispiele 1 + 1 + 1, 2/4 und 2 × (1 + 1) dienen als Inseln für Addition, Verhältnis beziehungsweise Division sowie Multiplikation mit einer gruppierten Summe. Ihre Verbindung zeigt, wie mehrere partielle Analogien gemeinsam die Gesamtfunktion eines komplexeren Zielkonzepts erschließen können. Das Unbekannte liegt in dieser Demonstration nicht in der Mathematik, sondern in der durch sie dargestellten Erkenntnisoperation.</w:t>
      </w:r>
    </w:p>
    <w:p>
      <w:pPr/>
      <w:r>
        <w:rPr>
          <w:b/>
        </w:rPr>
        <w:t xml:space="preserve">Operative und theoretische Ebene. </w:t>
      </w:r>
      <w:r>
        <w:t>Auf der operativen Ebene machen die einzelnen Analogien die Gesamtfunktion nachvollziehbar: Die Teile und ihr Zusammenspiel können erkannt oder angewandt werden. Auf der theoretischen Ebene wird anschließend erschlossen, warum dieses Zusammenspiel funktioniert und welche Prinzipien es tragen. Ebenso kann ein Motor zunächst über Bauteile, Abläufe und ihr Zusammenwirken operativ verstanden werden, während Verbrennung, Druck, Energieumwandlung und Mechanik erst die tiefere Theorie liefern. Das Bekannte-Inseln-Verfahren kann zwischen beiden Ebenen vermitteln: Es lehrt ein bereits entwickeltes Verfahren oder macht einen schon gelungenen, aber noch nicht theoretisch verstandenen Erkenntnisprozess nachvollziehbar.</w:t>
      </w:r>
    </w:p>
    <w:p>
      <w:pPr/>
      <w:r>
        <w:rPr>
          <w:b/>
        </w:rPr>
        <w:t xml:space="preserve">Rückwärtszerlegung und tastende Vorwärtskonstruktion. </w:t>
      </w:r>
      <w:r>
        <w:t>Ist das Zielkonzept bereits hinreichend verstanden, kann es rückwärts in funktionale Teile zerlegt werden, für die anschließend passende Analogien gewählt werden. Dies entspricht einer didaktischen Rückwärtszerlegung und ist von der in diesem Modell ebenfalls verwendeten Rückkonstruktion aus einer idealen Lösung zu unterscheiden. Ist das Ziel dagegen selbst nach Zerlegung noch zu komplex, werden die kleinsten verständlichen Teile schrittweise mit Analogien verbunden, bis ein tragfähiges Teilkonstrukt entsteht. Dieses kann als neue vorläufig verstandene Einheit dienen und weitere Anschlüsse ermöglichen. Eine solche tastende Vorwärtskonstruktion darf widerspruchsarm statt widerspruchsfrei sein; Widersprüche an noch nicht tragenden Verbindungsstellen können als lose Enden bestehen bleiben.</w:t>
      </w:r>
    </w:p>
    <w:p>
      <w:pPr/>
      <w:r>
        <w:rPr>
          <w:b/>
        </w:rPr>
        <w:t xml:space="preserve">Mehrfache Analogien und Rückkopplung. </w:t>
      </w:r>
      <w:r>
        <w:t>Mehrere unterschiedliche Analogien für dasselbe Ziel sollen nicht bloß gesammelt, sondern gegeneinander geprüft werden. Gemeinsam getragene Beziehungen erhöhen die Sicherheit über den funktionalen Kern. Abweichungen markieren Grenzen, mögliche Missverständnisse oder noch offene Stellen. Der Prozess kann deshalb wiederholt werden: Eine grobe Analogie schafft erstes Teilverständnis; dieses erlaubt passendere Analogien; die neue Verbindung vertieft das Verständnis und verringert vermeidbare Widersprüche. Sobald das Ziel eigenständig erklärt und weiterbearbeitet werden kann, tritt das Gerüst zurück.</w:t>
      </w:r>
    </w:p>
    <w:p>
      <w:pPr>
        <w:pStyle w:val="QuoteBox"/>
      </w:pPr>
      <w:r>
        <w:t>Analoge Teilkonstruktionen müssen nicht vollkommen oder widerspruchsfrei sein. Sie müssen hinreichend widerspruchsarm und tragfähig sein, um den nächsten verständlichen Anschluss zu ermöglichen.</w:t>
      </w:r>
    </w:p>
    <w:p>
      <w:pPr>
        <w:pStyle w:val="Unterkapitelueberschrift"/>
      </w:pPr>
      <w:r>
        <w:t>8.2 Weitere Such-, Übergangs- und Lösungsmethoden</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tcPr>
          <w:p>
            <w:r>
              <w:rPr>
                <w:rFonts w:ascii="Arial" w:hAnsi="Arial"/>
                <w:b/>
                <w:sz w:val="16"/>
              </w:rPr>
              <w:t>Methode</w:t>
            </w:r>
          </w:p>
        </w:tc>
        <w:tc>
          <w:tcPr>
            <w:tcW w:type="dxa" w:w="3402"/>
            <w:shd w:fill="D9EAD3"/>
          </w:tcPr>
          <w:p>
            <w:r>
              <w:rPr>
                <w:rFonts w:ascii="Arial" w:hAnsi="Arial"/>
                <w:b/>
                <w:sz w:val="16"/>
              </w:rPr>
              <w:t>Grundidee</w:t>
            </w:r>
          </w:p>
        </w:tc>
        <w:tc>
          <w:tcPr>
            <w:tcW w:type="dxa" w:w="3685"/>
            <w:shd w:fill="D9EAD3"/>
          </w:tcPr>
          <w:p>
            <w:r>
              <w:rPr>
                <w:rFonts w:ascii="Arial" w:hAnsi="Arial"/>
                <w:b/>
                <w:sz w:val="16"/>
              </w:rPr>
              <w:t>Kontextbedingung / Grenze</w:t>
            </w:r>
          </w:p>
        </w:tc>
      </w:tr>
      <w:tr>
        <w:tc>
          <w:tcPr>
            <w:tcW w:type="dxa" w:w="1984"/>
            <w:vAlign w:val="top"/>
          </w:tcPr>
          <w:p>
            <w:pPr>
              <w:spacing w:after="40"/>
            </w:pPr>
            <w:r>
              <w:rPr>
                <w:rFonts w:ascii="Arial" w:hAnsi="Arial"/>
                <w:sz w:val="16"/>
              </w:rPr>
              <w:t>Überlappung</w:t>
            </w:r>
          </w:p>
        </w:tc>
        <w:tc>
          <w:tcPr>
            <w:tcW w:type="dxa" w:w="3402"/>
            <w:vAlign w:val="top"/>
          </w:tcPr>
          <w:p>
            <w:pPr>
              <w:spacing w:after="40"/>
            </w:pPr>
            <w:r>
              <w:rPr>
                <w:rFonts w:ascii="Arial" w:hAnsi="Arial"/>
                <w:sz w:val="16"/>
              </w:rPr>
              <w:t>Alter und neuer Zustand bestehen für eine Übergangsphase parallel.</w:t>
            </w:r>
          </w:p>
        </w:tc>
        <w:tc>
          <w:tcPr>
            <w:tcW w:type="dxa" w:w="3685"/>
            <w:vAlign w:val="top"/>
          </w:tcPr>
          <w:p>
            <w:pPr>
              <w:spacing w:after="40"/>
            </w:pPr>
            <w:r>
              <w:rPr>
                <w:rFonts w:ascii="Arial" w:hAnsi="Arial"/>
                <w:sz w:val="16"/>
              </w:rPr>
              <w:t>Geeignet bei Kontinuitäts- und Identitätsschwellen; nicht als allgemeine Lösung missverstehen.</w:t>
            </w:r>
          </w:p>
        </w:tc>
      </w:tr>
      <w:tr>
        <w:tc>
          <w:tcPr>
            <w:tcW w:type="dxa" w:w="1984"/>
            <w:vAlign w:val="top"/>
          </w:tcPr>
          <w:p>
            <w:pPr>
              <w:spacing w:after="40"/>
            </w:pPr>
            <w:r>
              <w:rPr>
                <w:rFonts w:ascii="Arial" w:hAnsi="Arial"/>
                <w:sz w:val="16"/>
              </w:rPr>
              <w:t>Stufenweise Annäherung</w:t>
            </w:r>
          </w:p>
        </w:tc>
        <w:tc>
          <w:tcPr>
            <w:tcW w:type="dxa" w:w="3402"/>
            <w:vAlign w:val="top"/>
          </w:tcPr>
          <w:p>
            <w:pPr>
              <w:spacing w:after="40"/>
            </w:pPr>
            <w:r>
              <w:rPr>
                <w:rFonts w:ascii="Arial" w:hAnsi="Arial"/>
                <w:sz w:val="16"/>
              </w:rPr>
              <w:t>Mehrere kleine Übergänge ersetzen einen harten Sprung.</w:t>
            </w:r>
          </w:p>
        </w:tc>
        <w:tc>
          <w:tcPr>
            <w:tcW w:type="dxa" w:w="3685"/>
            <w:vAlign w:val="top"/>
          </w:tcPr>
          <w:p>
            <w:pPr>
              <w:spacing w:after="40"/>
            </w:pPr>
            <w:r>
              <w:rPr>
                <w:rFonts w:ascii="Arial" w:hAnsi="Arial"/>
                <w:sz w:val="16"/>
              </w:rPr>
              <w:t>Geeignet, wenn Zwischenschritte Schutz und Lernfähigkeit erhöhen.</w:t>
            </w:r>
          </w:p>
        </w:tc>
      </w:tr>
      <w:tr>
        <w:tc>
          <w:tcPr>
            <w:tcW w:type="dxa" w:w="1984"/>
            <w:vAlign w:val="top"/>
          </w:tcPr>
          <w:p>
            <w:pPr>
              <w:spacing w:after="40"/>
            </w:pPr>
            <w:r>
              <w:rPr>
                <w:rFonts w:ascii="Arial" w:hAnsi="Arial"/>
                <w:sz w:val="16"/>
              </w:rPr>
              <w:t>Hybridphase</w:t>
            </w:r>
          </w:p>
        </w:tc>
        <w:tc>
          <w:tcPr>
            <w:tcW w:type="dxa" w:w="3402"/>
            <w:vAlign w:val="top"/>
          </w:tcPr>
          <w:p>
            <w:pPr>
              <w:spacing w:after="40"/>
            </w:pPr>
            <w:r>
              <w:rPr>
                <w:rFonts w:ascii="Arial" w:hAnsi="Arial"/>
                <w:sz w:val="16"/>
              </w:rPr>
              <w:t>Zwei Ordnungen oder Trägerformen wirken zeitweise zusammen.</w:t>
            </w:r>
          </w:p>
        </w:tc>
        <w:tc>
          <w:tcPr>
            <w:tcW w:type="dxa" w:w="3685"/>
            <w:vAlign w:val="top"/>
          </w:tcPr>
          <w:p>
            <w:pPr>
              <w:spacing w:after="40"/>
            </w:pPr>
            <w:r>
              <w:rPr>
                <w:rFonts w:ascii="Arial" w:hAnsi="Arial"/>
                <w:sz w:val="16"/>
              </w:rPr>
              <w:t>Geeignet bei komplexen Übergängen; benötigt klare Dauer, Grenzen und Rückkopplung.</w:t>
            </w:r>
          </w:p>
        </w:tc>
      </w:tr>
      <w:tr>
        <w:tc>
          <w:tcPr>
            <w:tcW w:type="dxa" w:w="1984"/>
            <w:vAlign w:val="top"/>
          </w:tcPr>
          <w:p>
            <w:pPr>
              <w:spacing w:after="40"/>
            </w:pPr>
            <w:r>
              <w:rPr>
                <w:rFonts w:ascii="Arial" w:hAnsi="Arial"/>
                <w:sz w:val="16"/>
              </w:rPr>
              <w:t>Rückkehrpfad</w:t>
            </w:r>
          </w:p>
        </w:tc>
        <w:tc>
          <w:tcPr>
            <w:tcW w:type="dxa" w:w="3402"/>
            <w:vAlign w:val="top"/>
          </w:tcPr>
          <w:p>
            <w:pPr>
              <w:spacing w:after="40"/>
            </w:pPr>
            <w:r>
              <w:rPr>
                <w:rFonts w:ascii="Arial" w:hAnsi="Arial"/>
                <w:sz w:val="16"/>
              </w:rPr>
              <w:t>Der Übergang bleibt korrigierbar oder teilweise umkehrbar.</w:t>
            </w:r>
          </w:p>
        </w:tc>
        <w:tc>
          <w:tcPr>
            <w:tcW w:type="dxa" w:w="3685"/>
            <w:vAlign w:val="top"/>
          </w:tcPr>
          <w:p>
            <w:pPr>
              <w:spacing w:after="40"/>
            </w:pPr>
            <w:r>
              <w:rPr>
                <w:rFonts w:ascii="Arial" w:hAnsi="Arial"/>
                <w:sz w:val="16"/>
              </w:rPr>
              <w:t>Nur möglich, wenn echte Reversibilität oder sichere Beendigung besteht.</w:t>
            </w:r>
          </w:p>
        </w:tc>
      </w:tr>
      <w:tr>
        <w:tc>
          <w:tcPr>
            <w:tcW w:type="dxa" w:w="1984"/>
            <w:vAlign w:val="top"/>
          </w:tcPr>
          <w:p>
            <w:pPr>
              <w:spacing w:after="40"/>
            </w:pPr>
            <w:r>
              <w:rPr>
                <w:rFonts w:ascii="Arial" w:hAnsi="Arial"/>
                <w:sz w:val="16"/>
              </w:rPr>
              <w:t>Übersetzungsstruktur</w:t>
            </w:r>
          </w:p>
        </w:tc>
        <w:tc>
          <w:tcPr>
            <w:tcW w:type="dxa" w:w="3402"/>
            <w:vAlign w:val="top"/>
          </w:tcPr>
          <w:p>
            <w:pPr>
              <w:spacing w:after="40"/>
            </w:pPr>
            <w:r>
              <w:rPr>
                <w:rFonts w:ascii="Arial" w:hAnsi="Arial"/>
                <w:sz w:val="16"/>
              </w:rPr>
              <w:t>Ein Vermittlungsrahmen übersetzt zwischen inkompatiblen Logiken.</w:t>
            </w:r>
          </w:p>
        </w:tc>
        <w:tc>
          <w:tcPr>
            <w:tcW w:type="dxa" w:w="3685"/>
            <w:vAlign w:val="top"/>
          </w:tcPr>
          <w:p>
            <w:pPr>
              <w:spacing w:after="40"/>
            </w:pPr>
            <w:r>
              <w:rPr>
                <w:rFonts w:ascii="Arial" w:hAnsi="Arial"/>
                <w:sz w:val="16"/>
              </w:rPr>
              <w:t>Geeignet bei System-, Kultur-, Norm- oder Schnittstellenkonflikten.</w:t>
            </w:r>
          </w:p>
        </w:tc>
      </w:tr>
      <w:tr>
        <w:tc>
          <w:tcPr>
            <w:tcW w:type="dxa" w:w="1984"/>
            <w:vAlign w:val="top"/>
          </w:tcPr>
          <w:p>
            <w:pPr>
              <w:spacing w:after="40"/>
            </w:pPr>
            <w:r>
              <w:rPr>
                <w:rFonts w:ascii="Arial" w:hAnsi="Arial"/>
                <w:sz w:val="16"/>
              </w:rPr>
              <w:t>Schutzkorridor</w:t>
            </w:r>
          </w:p>
        </w:tc>
        <w:tc>
          <w:tcPr>
            <w:tcW w:type="dxa" w:w="3402"/>
            <w:vAlign w:val="top"/>
          </w:tcPr>
          <w:p>
            <w:pPr>
              <w:spacing w:after="40"/>
            </w:pPr>
            <w:r>
              <w:rPr>
                <w:rFonts w:ascii="Arial" w:hAnsi="Arial"/>
                <w:sz w:val="16"/>
              </w:rPr>
              <w:t>Besonders verletzliche Teile werden während des Übergangs abgeschirmt.</w:t>
            </w:r>
          </w:p>
        </w:tc>
        <w:tc>
          <w:tcPr>
            <w:tcW w:type="dxa" w:w="3685"/>
            <w:vAlign w:val="top"/>
          </w:tcPr>
          <w:p>
            <w:pPr>
              <w:spacing w:after="40"/>
            </w:pPr>
            <w:r>
              <w:rPr>
                <w:rFonts w:ascii="Arial" w:hAnsi="Arial"/>
                <w:sz w:val="16"/>
              </w:rPr>
              <w:t>Geeignet bei hoher Schutzwürdigkeit oder Missbrauchsgefahr.</w:t>
            </w:r>
          </w:p>
        </w:tc>
      </w:tr>
      <w:tr>
        <w:tc>
          <w:tcPr>
            <w:tcW w:type="dxa" w:w="1984"/>
            <w:vAlign w:val="top"/>
          </w:tcPr>
          <w:p>
            <w:pPr>
              <w:spacing w:after="40"/>
            </w:pPr>
            <w:r>
              <w:rPr>
                <w:rFonts w:ascii="Arial" w:hAnsi="Arial"/>
                <w:sz w:val="16"/>
              </w:rPr>
              <w:t>Pilot- oder Testphase</w:t>
            </w:r>
          </w:p>
        </w:tc>
        <w:tc>
          <w:tcPr>
            <w:tcW w:type="dxa" w:w="3402"/>
            <w:vAlign w:val="top"/>
          </w:tcPr>
          <w:p>
            <w:pPr>
              <w:spacing w:after="40"/>
            </w:pPr>
            <w:r>
              <w:rPr>
                <w:rFonts w:ascii="Arial" w:hAnsi="Arial"/>
                <w:sz w:val="16"/>
              </w:rPr>
              <w:t>Eine Lösung wird begrenzt geprüft, bevor sie breiter gilt.</w:t>
            </w:r>
          </w:p>
        </w:tc>
        <w:tc>
          <w:tcPr>
            <w:tcW w:type="dxa" w:w="3685"/>
            <w:vAlign w:val="top"/>
          </w:tcPr>
          <w:p>
            <w:pPr>
              <w:spacing w:after="40"/>
            </w:pPr>
            <w:r>
              <w:rPr>
                <w:rFonts w:ascii="Arial" w:hAnsi="Arial"/>
                <w:sz w:val="16"/>
              </w:rPr>
              <w:t>Bei personalen Identitäts- und Würdefragen grundsätzlich problematisch; allenfalls in Labor-, Technik- oder nicht-personalen Bereichen unter strengen Grenzen.</w:t>
            </w:r>
          </w:p>
        </w:tc>
      </w:tr>
      <w:tr>
        <w:tc>
          <w:tcPr>
            <w:tcW w:type="dxa" w:w="1984"/>
            <w:vAlign w:val="top"/>
          </w:tcPr>
          <w:p>
            <w:pPr>
              <w:spacing w:after="40"/>
            </w:pPr>
            <w:r>
              <w:rPr>
                <w:rFonts w:ascii="Arial" w:hAnsi="Arial"/>
                <w:sz w:val="16"/>
              </w:rPr>
              <w:t>Rückkonstruktion aus der idealen Lösung</w:t>
            </w:r>
          </w:p>
        </w:tc>
        <w:tc>
          <w:tcPr>
            <w:tcW w:type="dxa" w:w="3402"/>
            <w:vAlign w:val="top"/>
          </w:tcPr>
          <w:p>
            <w:pPr>
              <w:spacing w:after="40"/>
            </w:pPr>
            <w:r>
              <w:rPr>
                <w:rFonts w:ascii="Arial" w:hAnsi="Arial"/>
                <w:sz w:val="16"/>
              </w:rPr>
              <w:t>Von einer gerechten oder idealen Gesamtlösung zurückdenken: Wie sähe die angemessene Ordnung aus, wenn keine Partei blockierte?</w:t>
            </w:r>
          </w:p>
        </w:tc>
        <w:tc>
          <w:tcPr>
            <w:tcW w:type="dxa" w:w="3685"/>
            <w:vAlign w:val="top"/>
          </w:tcPr>
          <w:p>
            <w:pPr>
              <w:spacing w:after="40"/>
            </w:pPr>
            <w:r>
              <w:rPr>
                <w:rFonts w:ascii="Arial" w:hAnsi="Arial"/>
                <w:sz w:val="16"/>
              </w:rPr>
              <w:t>Sehr starke Methode bei blockierten Dilemmata und Systemversagen; nicht verpflichtend. Gefahr: Idealisierung, falsche Annahmen oder Überdehnung der idealen Lage.</w:t>
            </w:r>
          </w:p>
        </w:tc>
      </w:tr>
      <w:tr>
        <w:tc>
          <w:tcPr>
            <w:tcW w:type="dxa" w:w="1984"/>
            <w:vAlign w:val="top"/>
          </w:tcPr>
          <w:p>
            <w:pPr>
              <w:spacing w:after="40"/>
            </w:pPr>
            <w:r>
              <w:rPr>
                <w:rFonts w:ascii="Arial" w:hAnsi="Arial"/>
                <w:sz w:val="16"/>
              </w:rPr>
              <w:t>Neue Zusammensetzung vorhandener Elemente</w:t>
            </w:r>
          </w:p>
        </w:tc>
        <w:tc>
          <w:tcPr>
            <w:tcW w:type="dxa" w:w="3402"/>
            <w:vAlign w:val="top"/>
          </w:tcPr>
          <w:p>
            <w:pPr>
              <w:spacing w:after="40"/>
            </w:pPr>
            <w:r>
              <w:rPr>
                <w:rFonts w:ascii="Arial" w:hAnsi="Arial"/>
                <w:sz w:val="16"/>
              </w:rPr>
              <w:t>Einzelne Güter, Optionen, Rollen oder Verantwortungen neu kombinieren, statt nur alte Alternativen zu wiederholen.</w:t>
            </w:r>
          </w:p>
        </w:tc>
        <w:tc>
          <w:tcPr>
            <w:tcW w:type="dxa" w:w="3685"/>
            <w:vAlign w:val="top"/>
          </w:tcPr>
          <w:p>
            <w:pPr>
              <w:spacing w:after="40"/>
            </w:pPr>
            <w:r>
              <w:rPr>
                <w:rFonts w:ascii="Arial" w:hAnsi="Arial"/>
                <w:sz w:val="16"/>
              </w:rPr>
              <w:t>Geeignet bei verengten Problemstellungen; Grenze: keine beliebige Umdeutung gegen Schutzwürdigkeit oder Wahrheit.</w:t>
            </w:r>
          </w:p>
        </w:tc>
      </w:tr>
      <w:tr>
        <w:tc>
          <w:tcPr>
            <w:tcW w:type="dxa" w:w="1984"/>
            <w:vAlign w:val="top"/>
          </w:tcPr>
          <w:p>
            <w:pPr>
              <w:spacing w:after="40"/>
            </w:pPr>
            <w:r>
              <w:rPr>
                <w:rFonts w:ascii="Arial" w:hAnsi="Arial"/>
                <w:sz w:val="16"/>
              </w:rPr>
              <w:t>Korrekte Zuweisung von Bindungen und Verantwortlichkeiten</w:t>
            </w:r>
          </w:p>
        </w:tc>
        <w:tc>
          <w:tcPr>
            <w:tcW w:type="dxa" w:w="3402"/>
            <w:vAlign w:val="top"/>
          </w:tcPr>
          <w:p>
            <w:pPr>
              <w:spacing w:after="40"/>
            </w:pPr>
            <w:r>
              <w:rPr>
                <w:rFonts w:ascii="Arial" w:hAnsi="Arial"/>
                <w:sz w:val="16"/>
              </w:rPr>
              <w:t>Prüfen, wer wem warum verpflichtet ist und welche Bindungen im Konflikt stärker, schwächer oder vorläufig suspendiert sind.</w:t>
            </w:r>
          </w:p>
        </w:tc>
        <w:tc>
          <w:tcPr>
            <w:tcW w:type="dxa" w:w="3685"/>
            <w:vAlign w:val="top"/>
          </w:tcPr>
          <w:p>
            <w:pPr>
              <w:spacing w:after="40"/>
            </w:pPr>
            <w:r>
              <w:rPr>
                <w:rFonts w:ascii="Arial" w:hAnsi="Arial"/>
                <w:sz w:val="16"/>
              </w:rPr>
              <w:t>Geeignet bei Mehrparteienkonflikten; Grenze: keine totale Freigabe beliebiger Handlungen.</w:t>
            </w:r>
          </w:p>
        </w:tc>
      </w:tr>
      <w:tr>
        <w:tc>
          <w:tcPr>
            <w:tcW w:type="dxa" w:w="1984"/>
            <w:vAlign w:val="top"/>
          </w:tcPr>
          <w:p>
            <w:pPr>
              <w:spacing w:after="40"/>
            </w:pPr>
            <w:r>
              <w:rPr>
                <w:rFonts w:ascii="Arial" w:hAnsi="Arial"/>
                <w:sz w:val="16"/>
              </w:rPr>
              <w:t>Verantwortungsteilung und solidarische Lösung</w:t>
            </w:r>
          </w:p>
        </w:tc>
        <w:tc>
          <w:tcPr>
            <w:tcW w:type="dxa" w:w="3402"/>
            <w:vAlign w:val="top"/>
          </w:tcPr>
          <w:p>
            <w:pPr>
              <w:spacing w:after="40"/>
            </w:pPr>
            <w:r>
              <w:rPr>
                <w:rFonts w:ascii="Arial" w:hAnsi="Arial"/>
                <w:sz w:val="16"/>
              </w:rPr>
              <w:t>Lasten auf mehrere zuständige Parteien verteilen, statt sie einer Person oder Gruppe allein aufzubürden.</w:t>
            </w:r>
          </w:p>
        </w:tc>
        <w:tc>
          <w:tcPr>
            <w:tcW w:type="dxa" w:w="3685"/>
            <w:vAlign w:val="top"/>
          </w:tcPr>
          <w:p>
            <w:pPr>
              <w:spacing w:after="40"/>
            </w:pPr>
            <w:r>
              <w:rPr>
                <w:rFonts w:ascii="Arial" w:hAnsi="Arial"/>
                <w:sz w:val="16"/>
              </w:rPr>
              <w:t>Geeignet bei unzumutbarer Einzelbelastung; abhängig von Zeitdruck, Freiwilligkeit, Durchführbarkeit und gerechter Zuständigkeit.</w:t>
            </w:r>
          </w:p>
        </w:tc>
      </w:tr>
      <w:tr>
        <w:tc>
          <w:tcPr>
            <w:tcW w:type="dxa" w:w="1984"/>
            <w:vAlign w:val="top"/>
          </w:tcPr>
          <w:p>
            <w:pPr>
              <w:spacing w:after="40"/>
            </w:pPr>
            <w:r>
              <w:rPr>
                <w:rFonts w:ascii="Arial" w:hAnsi="Arial"/>
                <w:sz w:val="16"/>
              </w:rPr>
              <w:t>Außerhalb-der-Box-Lösung</w:t>
            </w:r>
          </w:p>
        </w:tc>
        <w:tc>
          <w:tcPr>
            <w:tcW w:type="dxa" w:w="3402"/>
            <w:vAlign w:val="top"/>
          </w:tcPr>
          <w:p>
            <w:pPr>
              <w:spacing w:after="40"/>
            </w:pPr>
            <w:r>
              <w:rPr>
                <w:rFonts w:ascii="Arial" w:hAnsi="Arial"/>
                <w:sz w:val="16"/>
              </w:rPr>
              <w:t>Spenden, Vermittlung, Öffentlichkeit, Ausnahmeregelungen, Zwischenfinanzierung oder andere Wege außerhalb der ersten Alternativen prüfen.</w:t>
            </w:r>
          </w:p>
        </w:tc>
        <w:tc>
          <w:tcPr>
            <w:tcW w:type="dxa" w:w="3685"/>
            <w:vAlign w:val="top"/>
          </w:tcPr>
          <w:p>
            <w:pPr>
              <w:spacing w:after="40"/>
            </w:pPr>
            <w:r>
              <w:rPr>
                <w:rFonts w:ascii="Arial" w:hAnsi="Arial"/>
                <w:sz w:val="16"/>
              </w:rPr>
              <w:t>Geeignet vor Extremmaßnahmen; darf akute Not nicht unverhältnismäßig verzögern.</w:t>
            </w:r>
          </w:p>
        </w:tc>
      </w:tr>
    </w:tbl>
    <w:p>
      <w:pPr>
        <w:pStyle w:val="Kapitelueberschrift"/>
      </w:pPr>
      <w:r>
        <w:rPr>
          <w:rFonts w:ascii="Arial" w:hAnsi="Arial"/>
        </w:rPr>
        <w:t>9. Verfahrensprotokoll: Wie ein neuer Pfad gesucht wird</w:t>
      </w:r>
    </w:p>
    <w:p>
      <w:pPr/>
      <w:r>
        <w:t>Das Verfahrensprotokoll setzt voraus, dass ein ernstzunehmender Aktivierungsgrund nach Kapitel 3 vorliegt. Es ersetzt den Aktivierungsrahmen nicht, sondern führt ihn praktisch aus. Die Lage wird benannt, die Diagnose aus Kapitel 7 geschärft, geeignete Methoden aus Kapitel 8 werden ausgewählt oder ausgeschlossen, und am Ende wird entschieden, ob ein neuer Pfad vorläufig umgesetzt, verändert, verworfen oder auf bekannte Wege zurückgeführt werden muss.</w:t>
      </w:r>
    </w:p>
    <w:p>
      <w:pPr/>
      <w:r>
        <w:t>Das Verfahren soll verhindern, dass Neue Pfade zur bloßen Ausrede für Beliebigkeit wird. Ein neuer Pfad muss begründet, geprüft und rückgekoppelt werden. Die einzelnen Schritte sind nicht immer streng linear; sie können wiederholt, vertieft oder abgebrochen werden, wenn die Prüfung zeigt, dass kein verantwortbarer neuer Pfad vorliegt.</w:t>
      </w:r>
    </w:p>
    <w:p>
      <w:pPr>
        <w:numPr>
          <w:ilvl w:val="0"/>
          <w:numId w:val="10"/>
        </w:numPr>
        <w:pStyle w:val="ListNumber"/>
      </w:pPr>
      <w:r>
        <w:rPr>
          <w:rFonts w:ascii="Arial" w:hAnsi="Arial"/>
        </w:rPr>
        <w:t>Lage benennen: Welche Situation liegt vor, und warum ist sie nicht durch die normale Anwendung vorhandener Modelle ausreichend lösbar?</w:t>
      </w:r>
    </w:p>
    <w:p>
      <w:pPr>
        <w:numPr>
          <w:ilvl w:val="0"/>
          <w:numId w:val="10"/>
        </w:numPr>
        <w:pStyle w:val="ListNumber"/>
      </w:pPr>
      <w:r>
        <w:rPr>
          <w:rFonts w:ascii="Arial" w:hAnsi="Arial"/>
        </w:rPr>
        <w:t>Bekannte Wege prüfen: Welche Regeln, Verfahren, Kategorien oder Modelle stehen zur Verfügung, und warum reichen sie aus oder nicht aus?</w:t>
      </w:r>
    </w:p>
    <w:p>
      <w:pPr>
        <w:pStyle w:val="ListNumber"/>
        <w:numPr>
          <w:ilvl w:val="0"/>
          <w:numId w:val="10"/>
        </w:numPr>
      </w:pPr>
      <w:r>
        <w:t>Verständnisstand prüfen: Ist die Lage hinreichend operativ, theoretisch und – soweit betroffen – empathisch-existenziell verstanden? Liegt eine tatsächliche fehlende Verbindung vor oder nur eine Verständnislücke? Welche Analogien, bekannten Inseln oder weiteren Rückkopplungen können offene Teile erschließen?</w:t>
      </w:r>
    </w:p>
    <w:p>
      <w:pPr>
        <w:numPr>
          <w:ilvl w:val="0"/>
          <w:numId w:val="10"/>
        </w:numPr>
        <w:pStyle w:val="ListNumber"/>
      </w:pPr>
      <w:r>
        <w:rPr>
          <w:rFonts w:ascii="Arial" w:hAnsi="Arial"/>
        </w:rPr>
        <w:t>Beteiligte, Güter und Bindungen bestimmen: Wer ist betroffen? Welche Schutzgüter stehen auf dem Spiel? Welche Nähe-, Rechts-, Fürsorge-, Verantwortungs- oder Gemeinschaftsbindungen bestehen?</w:t>
      </w:r>
    </w:p>
    <w:p>
      <w:pPr>
        <w:numPr>
          <w:ilvl w:val="0"/>
          <w:numId w:val="10"/>
        </w:numPr>
        <w:pStyle w:val="ListNumber"/>
      </w:pPr>
      <w:r>
        <w:rPr>
          <w:rFonts w:ascii="Arial" w:hAnsi="Arial"/>
        </w:rPr>
        <w:t>Ideale Lösung optional rückkonstruieren: Welche gerechte Ordnung wäre angemessen, wenn keine Partei blockierte? Diese Methode ist besonders stark, aber nicht in jedem Fall notwendig oder ungefährlich.</w:t>
      </w:r>
    </w:p>
    <w:p>
      <w:pPr>
        <w:numPr>
          <w:ilvl w:val="0"/>
          <w:numId w:val="10"/>
        </w:numPr>
        <w:pStyle w:val="ListNumber"/>
      </w:pPr>
      <w:r>
        <w:rPr>
          <w:rFonts w:ascii="Arial" w:hAnsi="Arial"/>
        </w:rPr>
        <w:t>Blockaden und Systemversagen prüfen: Welche Parteien, Strukturen oder Annahmen verhindern eine tragfähige Lösung? Liegt nur Unbequemlichkeit vor oder eine echte Not-, Schwellen- oder Sonderlage?</w:t>
      </w:r>
    </w:p>
    <w:p>
      <w:pPr>
        <w:numPr>
          <w:ilvl w:val="0"/>
          <w:numId w:val="10"/>
        </w:numPr>
        <w:pStyle w:val="ListNumber"/>
      </w:pPr>
      <w:r>
        <w:rPr>
          <w:rFonts w:ascii="Arial" w:hAnsi="Arial"/>
        </w:rPr>
        <w:t>Brückenbedarf oder neuen Lösungsbedarf begründen: Warum wäre bloßes Bewahren, bloßes Verwerfen, ein harter Sprung oder ein Extremweg problematisch?</w:t>
      </w:r>
    </w:p>
    <w:p>
      <w:pPr>
        <w:numPr>
          <w:ilvl w:val="0"/>
          <w:numId w:val="10"/>
        </w:numPr>
        <w:pStyle w:val="ListNumber"/>
      </w:pPr>
      <w:r>
        <w:rPr>
          <w:rFonts w:ascii="Arial" w:hAnsi="Arial"/>
        </w:rPr>
        <w:t>Gleichmaß prüfen: Reicht eine maßvolle Zwischenlösung, ein Mittelmaß, eine angepasste bestehende Struktur oder eine solidarische Lösung aus?</w:t>
      </w:r>
    </w:p>
    <w:p>
      <w:pPr>
        <w:numPr>
          <w:ilvl w:val="0"/>
          <w:numId w:val="10"/>
        </w:numPr>
        <w:pStyle w:val="ListNumber"/>
      </w:pPr>
      <w:r>
        <w:rPr>
          <w:rFonts w:ascii="Arial" w:hAnsi="Arial"/>
        </w:rPr>
        <w:t>Methode wählen: Welche Methode passt zur konkreten Lage, und welche Methoden sind wegen Kontext, Schutzwürdigkeit oder Risiko ausgeschlossen?</w:t>
      </w:r>
    </w:p>
    <w:p>
      <w:pPr>
        <w:numPr>
          <w:ilvl w:val="0"/>
          <w:numId w:val="10"/>
        </w:numPr>
        <w:pStyle w:val="ListNumber"/>
      </w:pPr>
      <w:r>
        <w:rPr>
          <w:rFonts w:ascii="Arial" w:hAnsi="Arial"/>
        </w:rPr>
        <w:t>Schutzprüfung durchführen: Welche Autonomie, Integrität, Würde, Zielstruktur, Korrigierbarkeit oder Stabilität ist betroffen? Wer trägt Risiko, wer profitiert?</w:t>
      </w:r>
    </w:p>
    <w:p>
      <w:pPr>
        <w:numPr>
          <w:ilvl w:val="0"/>
          <w:numId w:val="10"/>
        </w:numPr>
        <w:pStyle w:val="ListNumber"/>
      </w:pPr>
      <w:r>
        <w:rPr>
          <w:rFonts w:ascii="Arial" w:hAnsi="Arial"/>
        </w:rPr>
        <w:t>Begrenzung und Rückkopplung sichern: Wie bleibt der neue Pfad überprüfbar, korrigierbar, missbrauchsresistent und notfalls abbrechbar?</w:t>
      </w:r>
    </w:p>
    <w:p>
      <w:pPr>
        <w:numPr>
          <w:ilvl w:val="0"/>
          <w:numId w:val="10"/>
        </w:numPr>
        <w:pStyle w:val="ListNumber"/>
      </w:pPr>
      <w:r>
        <w:rPr>
          <w:rFonts w:ascii="Arial" w:hAnsi="Arial"/>
        </w:rPr>
        <w:t>Umsetzen, verwerfen oder zurückführen: Erst wenn die Prüfung tragfähig ist, darf der neue Pfad vorläufig umgesetzt werden. Wenn nicht, muss er verändert, verworfen oder auf bekannte Wege zurückgeführt werden.</w:t>
      </w:r>
    </w:p>
    <w:p>
      <w:pPr>
        <w:pStyle w:val="Kapitelueberschrift"/>
      </w:pPr>
      <w:r>
        <w:rPr>
          <w:rFonts w:ascii="Arial" w:hAnsi="Arial"/>
        </w:rPr>
        <w:t>10. Beispiel: Das Heinz-Dilemma</w:t>
      </w:r>
    </w:p>
    <w:p>
      <w:r>
        <w:rPr>
          <w:rFonts w:ascii="Arial" w:hAnsi="Arial"/>
        </w:rPr>
        <w:t>Das Heinz-Dilemma eignet sich als erster großer Testfall, weil es keine technische Zukunftsfrage behandelt, sondern eine menschlich und moralisch unmittelbar verständliche Notlage. Eine Frau ist tödlich krank. Ein Medikament könnte sie retten, ist aber sehr teuer. Die Versicherung beziehungsweise die gesellschaftliche Sicherung zahlt nicht. Der Ehemann bittet den Apotheker um Kredit oder Nachlass, doch auch dieser lehnt ab. Die klassische Frage lautet: Darf oder muss der Mann das Medikament stehlen?</w:t>
      </w:r>
    </w:p>
    <w:p>
      <w:pPr/>
      <w:r>
        <w:t>Das Beispiel zeigt die vorherige Ordnung des Modells in einer konkreten Lage: Zuerst muss gefragt werden, ob die Suche nach einem neuen Pfad überhaupt eröffnet werden darf. Danach ist zu bestimmen, welche Art von Sonderlage vorliegt. Anschließend werden mögliche Methoden geprüft, und erst zuletzt entscheidet das Verfahren, ob eine Handlung verantwortbar, begrenzt, rückgekoppelt und rechenschaftsfähig ist. Das Heinz-Dilemma ist deshalb kein bloßes Beispiel für Regelbruch, sondern ein Testfall dafür, wie eine verengte moralische Alternative durch neue Pfade verantwortbar geöffnet werden kann.</w:t>
      </w:r>
    </w:p>
    <w:p>
      <w:r>
        <w:rPr>
          <w:rFonts w:ascii="Arial" w:hAnsi="Arial"/>
        </w:rPr>
        <w:t>Die klassische Engführung stellt den Mann scheinbar vor nur zwei Möglichkeiten: stehlen oder nicht stehlen. Kats Modell der neuen Pfade fragt jedoch zuerst, ob die Problemstellung selbst zu eng ist. Es betrachtet die einzelnen Punkte der Lage: die Frau, den Mann, den Apotheker, die Versicherung beziehungsweise Gesellschaft, das Medikament, die Kosten, die Nähebindung, das Eigentum, die Lebensgefahr und die blockierten Verantwortungen.</w:t>
      </w:r>
    </w:p>
    <w:p>
      <w:r>
        <w:rPr>
          <w:rFonts w:ascii="Arial" w:hAnsi="Arial"/>
        </w:rPr>
        <w:t>Eine mögliche Rückkonstruktion aus der idealen Lösung zeigt: Die gerechte Lösung wäre nicht, dass die Last allein auf dem Mann und der sterbenden Frau liegt. Vielmehr müssten Gesellschaft beziehungsweise Versicherung, Apotheker und Ehepaar Verantwortung und Kosten teilen. Wenn jedoch zwei dieser Parteien vollständig blockieren, entsteht eine Notlage. Die bekannte Ordnung erfüllt ihre Schutzfunktion gegenüber Leben und Würde nicht mehr ausreichend.</w:t>
      </w:r>
    </w:p>
    <w:p>
      <w:r>
        <w:rPr>
          <w:rFonts w:ascii="Arial" w:hAnsi="Arial"/>
        </w:rPr>
        <w:t>Damit wird ein neuer Pfad sichtbar. Die Frau erhält Vorrang, weil es bei ihr um Leben und Tod geht, während beim Apotheker ein Eigentumsverlust oder ein wirtschaftliches Risiko vorliegt. Dieses Risiko kann schwerwiegend sein, wiegt aber in der konkreten Lage geringer als der Tod der Frau. Hinzu kommt die besondere Nähe- und Schutzbindung des Mannes zu seiner Frau. Diese Bindung ist stärker als eine allgemeine Gehorsamsbindung gegenüber einer Ordnung, die in der Notlage ihre Schutzfunktion verweigert.</w:t>
      </w:r>
    </w:p>
    <w:p>
      <w:r>
        <w:rPr>
          <w:rFonts w:ascii="Arial" w:hAnsi="Arial"/>
        </w:rPr>
        <w:t>Daraus folgt nicht, dass Diebstahl allgemein gut oder beliebig erlaubt wäre. Es folgt nur, dass in diesem Extremfall eine minimale, lebensrettende und nachträglich verantwortete Regelverletzung moralisch geboten sein kann, wenn alle tragfähigen milderen Wege blockiert sind oder unter dem Zeitdruck nicht mehr rechtzeitig helfen. Der Mann dürfte nicht plündern, bestrafen oder Gewalt ausweiten. Er dürfte nur das minimal Notwendige tun, müsste Wiedergutmachung anstreben und sich der nachträglichen Rechenschaft stellen.</w:t>
      </w:r>
    </w:p>
    <w:p>
      <w:r>
        <w:rPr>
          <w:rFonts w:ascii="Arial" w:hAnsi="Arial"/>
        </w:rPr>
        <w:t>Das Heinz-Dilemma zeigt damit nicht zuerst eine Erlaubnis zum Regelbruch, sondern die Methode neuer Pfade: Eine verengte Wahl wird geöffnet, indem Beteiligte, Güter, Bindungen und Verantwortlichkeiten sichtbar gemacht und neu geordnet werden. Der neue Pfad entsteht durch Verstehen, nicht durch bloße Impulsentscheidung.</w:t>
      </w:r>
    </w:p>
    <w:p>
      <w:pPr>
        <w:pStyle w:val="QuoteBox"/>
      </w:pPr>
      <w:r>
        <w:rPr>
          <w:rFonts w:ascii="Arial" w:hAnsi="Arial"/>
        </w:rPr>
        <w:t>Das Dilemma wird nicht dadurch gelöst, dass Regeln wertlos werden, sondern dadurch, dass ihre Schutzfunktion, ihre Grenzen und die konkreten Bindungen der Beteiligten sichtbar werden.</w:t>
      </w:r>
    </w:p>
    <w:p>
      <w:pPr/>
      <w:r>
        <w:t>In der Viererordnung bedeutet dies: Die Suche wird durch das Versagen bekannter Wege aktiviert; die Lage wird als blockiertes Dilemma mit fehlender Verbindung und daraus folgendem Brückenbedarf diagnostiziert; die Methode liegt hier in Rückkonstruktion, idealer Verantwortungsteilung und korrekter Bindungszuweisung; und die mögliche Ausnahme bleibt durch Minimalität, Verhältnismäßigkeit, Wiedergutmachung und Rechenschaft begrenzt.</w:t>
      </w:r>
    </w:p>
    <w:p>
      <w:pPr>
        <w:pStyle w:val="Kapitelueberschrift"/>
      </w:pPr>
      <w:r>
        <w:rPr>
          <w:rFonts w:ascii="Arial" w:hAnsi="Arial"/>
        </w:rPr>
        <w:t>11. Regeln, Ausnahmen und verantwortete Regelverletzung</w:t>
      </w:r>
    </w:p>
    <w:p>
      <w:pPr/>
      <w:r>
        <w:t>Aus dem Heinz-Dilemma folgt keine allgemeine Erlaubnis zum Regelbruch. Gerade weil das Beispiel eine mögliche Ausnahme behandelt, muss zuerst festgehalten werden: Regeln sind nicht wertlos. Sie erfüllen Schutz-, Ordnungs- und Stabilitätsfunktionen. Darum sind Stehlen, Täuschung, Gewalt und andere Regelverletzungen grundsätzlich nicht zu rechtfertigen. Eine Ordnung, in der jeder Regeln nach Belieben bricht, verliert Vertrauen, Sicherheit, Korrigierbarkeit und gemeinsame Orientierung.</w:t>
      </w:r>
    </w:p>
    <w:p>
      <w:pPr/>
      <w:r>
        <w:t>Regeln sind jedoch Mittel zum Schutz relevanter Güter, nicht ihr eigener letzter Zweck. Eine Ausnahme hebt die Regel nicht auf. Sie zeigt nur, dass eine Regel in einer konkreten Grenzlage ihre Schutzfunktion nicht mehr ausreichend erfüllt oder sogar verhindert, dass Leben, Würde oder grundlegende Schutzgüter bewahrt werden. Dann darf nicht blind an der Form festgehalten werden, wenn der Sinn der Regel gerade verfehlt wird.</w:t>
      </w:r>
    </w:p>
    <w:p>
      <w:pPr/>
      <w:r>
        <w:t>Eine solche Ausnahme bleibt streng gebunden. Sie muss notwendig, minimal, verhältnismäßig, rechenschaftsfähig und wiedergutmachungsorientiert sein. Sie darf nicht aus Bequemlichkeit, Selbstbereicherung, Rache, Machtausweitung, Ungeduld oder Regelmüdigkeit erfolgen. Je stärker der Regelbruch, desto höher sind Begründungslast, Begrenzungspflicht und Rückkopplungspflicht.</w:t>
      </w:r>
    </w:p>
    <w:p>
      <w:pPr/>
      <w:r>
        <w:t>Unter diesen Bedingungen kann eine Regelverletzung im Extremfall nicht nur erlaubt, sondern moralisch geboten sein. Das gilt jedoch nur, wenn die Regel in der konkreten Lage ihre Schutzfunktion verfehlt, keine milderen tragfähigen Wege rechtzeitig verfügbar sind und der Eingriff auf das notwendige Maß begrenzt bleibt. Wer eine solche Ausnahme in Anspruch nimmt, darf sich nicht selbst endgültig freisprechen, sondern bleibt zur Begründung, Wiedergutmachung und nachträglichen Rechenschaft verpflichtet.</w:t>
      </w:r>
    </w:p>
    <w:p>
      <w:pPr/>
      <w:r>
        <w:t>Verantwortete Regelverletzung unterscheidet sich deshalb grundsätzlich von Regelverachtung. Sie ist kein neuer Normalfall, keine private Sondermoral und kein Freibrief zur Umgehung unbequemer Ordnung. Sie ist eine eng begrenzte Not- und Grenzfallstruktur, die nur dort greifen darf, wo die Regel selbst ihre Schutzfunktion in der konkreten Lage nicht mehr erfüllen kann.</w:t>
      </w:r>
    </w:p>
    <w:p>
      <w:pPr>
        <w:pStyle w:val="Kapitelueberschrift"/>
      </w:pPr>
      <w:r>
        <w:rPr>
          <w:rFonts w:ascii="Arial" w:hAnsi="Arial"/>
        </w:rPr>
        <w:t>12. Schutz- und Missbrauchsklauseln</w:t>
      </w:r>
    </w:p>
    <w:p>
      <w:r>
        <w:rPr>
          <w:rFonts w:ascii="Arial" w:hAnsi="Arial"/>
        </w:rPr>
        <w:t>Neue Pfade darf nicht zur Rechtfertigung von Experimentalisierung, Dominanz, technischer Erlösungsfantasie oder beliebigem Regelbruch werden. Gerade weil das Modell neue Wege sucht, braucht es starke Grenzen.</w:t>
      </w:r>
    </w:p>
    <w:p>
      <w:pPr>
        <w:pStyle w:val="ListBullet"/>
      </w:pPr>
      <w:r>
        <w:rPr>
          <w:rFonts w:ascii="Arial" w:hAnsi="Arial"/>
        </w:rPr>
        <w:t>Keine Mitte zwischen Täter und Opfer: Gleichmaß bedeutet nicht, Unrecht zu relativieren oder Schutzwürdigkeit zu halbieren.</w:t>
      </w:r>
    </w:p>
    <w:p>
      <w:pPr>
        <w:pStyle w:val="ListBullet"/>
      </w:pPr>
      <w:r>
        <w:rPr>
          <w:rFonts w:ascii="Arial" w:hAnsi="Arial"/>
        </w:rPr>
        <w:t>Keine Brücke als Freibrief: Eine Verbindung ist nicht legitim, nur weil sie technisch, organisatorisch oder rhetorisch möglich ist.</w:t>
      </w:r>
    </w:p>
    <w:p>
      <w:pPr>
        <w:pStyle w:val="ListBullet"/>
      </w:pPr>
      <w:r>
        <w:rPr>
          <w:rFonts w:ascii="Arial" w:hAnsi="Arial"/>
        </w:rPr>
        <w:t>Keine unausgereiften Experimente mit Schutzwürdigen: Personale Identität, Würde, Autonomie und Integrität sind nicht als lockere Testfelder zu behandeln. Besonders bei Schutzwürdigen, personalen Fragen und irreversiblen Eingriffen gilt erhöhte Zurückhaltung.</w:t>
      </w:r>
    </w:p>
    <w:p>
      <w:pPr>
        <w:pStyle w:val="ListBullet"/>
      </w:pPr>
      <w:r>
        <w:rPr>
          <w:rFonts w:ascii="Arial" w:hAnsi="Arial"/>
        </w:rPr>
        <w:t>Freiwilligkeit als Grenze: Neue Pfade dürfen Menschen nicht gegen ihren Willen in Experimente, Übergänge, Fortführungen oder Lebensformen hineinziehen. Einwilligung muss informiert, frei, widerrufbar und durch Schutzstrukturen gesichert sein.</w:t>
      </w:r>
    </w:p>
    <w:p>
      <w:pPr>
        <w:pStyle w:val="ListBullet"/>
      </w:pPr>
      <w:r>
        <w:rPr>
          <w:rFonts w:ascii="Arial" w:hAnsi="Arial"/>
        </w:rPr>
        <w:t>Keine Selbstvergöttlichung: Technische Entwicklung darf nicht mit Vollendung, Heil, Auferstehung oder Reich Gottes verwechselt werden.</w:t>
      </w:r>
    </w:p>
    <w:p>
      <w:pPr>
        <w:pStyle w:val="ListBullet"/>
      </w:pPr>
      <w:r>
        <w:rPr>
          <w:rFonts w:ascii="Arial" w:hAnsi="Arial"/>
        </w:rPr>
        <w:t>Gottesvorbehalt: Wo Seele, Leben, Tod und personale Fortführung berührt werden, bleibt Gott Ursprung, Maß und Ziel. Technik darf nur dienen, nicht herrschen.</w:t>
      </w:r>
    </w:p>
    <w:p>
      <w:pPr>
        <w:pStyle w:val="ListBullet"/>
      </w:pPr>
      <w:r>
        <w:rPr>
          <w:rFonts w:ascii="Arial" w:hAnsi="Arial"/>
        </w:rPr>
        <w:t>Keine Dominanz unter dem Vorwand von Fortschritt: Wer einen neuen Pfad vorschlägt, muss besonders auf Machtasymmetrie, Transparenz, Einwilligung, Reversibilität und Rückkopplung achten.</w:t>
      </w:r>
    </w:p>
    <w:p>
      <w:pPr>
        <w:pStyle w:val="ListBullet"/>
      </w:pPr>
      <w:r>
        <w:rPr>
          <w:rFonts w:ascii="Arial" w:hAnsi="Arial"/>
        </w:rPr>
        <w:t>Keine Extremnormalität: Extreme Brücken können in Sonderfällen nötig sein, bleiben aber Ausnahme und tragen erhöhte Begründungslast.</w:t>
      </w:r>
    </w:p>
    <w:p>
      <w:pPr>
        <w:pStyle w:val="ListBullet"/>
      </w:pPr>
      <w:r>
        <w:rPr>
          <w:rFonts w:ascii="Arial" w:hAnsi="Arial"/>
        </w:rPr>
        <w:t>Keine Warenlogik am Menschen: Menschen, Personen, Seelen, Körper, Daten, Trägerformen oder Fortführungsrechte dürfen nicht zu Besitz-, Handels-, Produktions- oder Verwertungsobjekten werden.</w:t>
      </w:r>
    </w:p>
    <w:p>
      <w:pPr>
        <w:pStyle w:val="ListBullet"/>
      </w:pPr>
      <w:r>
        <w:rPr>
          <w:rFonts w:ascii="Arial" w:hAnsi="Arial"/>
        </w:rPr>
        <w:t>Keine Seelenverfügung: Die Seele darf nicht als technisches Bauteil, erzeugbares Produkt, Eigentum eines Systems oder manipulierbares Rohmaterial behandelt werden.</w:t>
      </w:r>
    </w:p>
    <w:p>
      <w:pPr>
        <w:pStyle w:val="ListBullet"/>
      </w:pPr>
      <w:r>
        <w:rPr>
          <w:rFonts w:ascii="Arial" w:hAnsi="Arial"/>
        </w:rPr>
        <w:t>Keine Zwangsverlängerung: Eine mögliche Fortführung darf nur als freiwillige Verlängerung verstanden werden, niemals als Entzug, Pflicht, Besitzwechsel oder technische Aneignung.</w:t>
      </w:r>
    </w:p>
    <w:p>
      <w:pPr>
        <w:pStyle w:val="Kapitelueberschrift"/>
      </w:pPr>
      <w:r>
        <w:rPr>
          <w:rFonts w:ascii="Arial" w:hAnsi="Arial"/>
        </w:rPr>
        <w:t>13. Grenzräume, Prüf- und Sonderfälle</w:t>
      </w:r>
    </w:p>
    <w:p>
      <w:pPr>
        <w:pStyle w:val="Orientierungshinweis"/>
        <w:spacing w:before="120" w:after="120"/>
        <w:ind w:left="397" w:right="113"/>
        <w:pBdr>
          <w:left w:val="single" w:sz="8" w:space="8" w:color="BFBFBF"/>
        </w:pBdr>
      </w:pPr>
      <w:r>
        <w:rPr>
          <w:b/>
          <w:i/>
          <w:sz w:val="21"/>
        </w:rPr>
        <w:t xml:space="preserve">Orientierung: </w:t>
      </w:r>
      <w:r>
        <w:rPr>
          <w:sz w:val="21"/>
        </w:rPr>
        <w:t>Die folgenden Grenzräume sind keine Zielrichtung des Modells, keine technische Roadmap und keine endgültige Lösung. Sie dienen als Prüf- und Sonderfälle: Trägt der goldene Pfad auch dort, wo Identität, Körper, Technik, Schutzwürdigkeit, Fortführung oder bekannte Kategorien unsicher werden? Gerade weil diese Fälle besonders spekulativ und missbrauchsanfällig sind, werden sie nicht als Freigabe verstanden, sondern als Stresstests des Modells. Außerdem sollen sie unbequeme Fragen früh genug stellen: bevor entsprechende Technologien aus bloßer Machbarkeit heraus konzeptionell verfestigt, technisch entwickelt oder gesellschaftlich normalisiert werden.</w:t>
      </w:r>
    </w:p>
    <w:p>
      <w:pPr/>
      <w:r>
        <w:t>In dieser Fassung bleiben sie bewusst als Beispielmarker erhalten. Sie zeigen, wo Neue Pfade an seine äußersten Prüfgrenzen kommt: bei Identitätsschwellen, fehlender Verbindung, möglicher Fortführung, mehreren Versionen, leeren Trägerformen und theologischen Vorbehalten. Alle folgenden Überlegungen bleiben deshalb vorläufig, begrenzt, rückkopplungspflichtig und dem Gottesvorbehalt unterstellt.</w:t>
      </w:r>
    </w:p>
    <w:p>
      <w:pPr>
        <w:pStyle w:val="Unterkapitelueberschrift"/>
      </w:pPr>
      <w:r>
        <w:rPr>
          <w:rFonts w:ascii="Arial" w:hAnsi="Arial"/>
        </w:rPr>
        <w:t>13.1 Beispielmarker: Schiff des Theseus und Transhumanismus</w:t>
      </w:r>
    </w:p>
    <w:p>
      <w:r>
        <w:rPr>
          <w:rFonts w:ascii="Arial" w:hAnsi="Arial"/>
        </w:rP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Unterkapitelueberschrift"/>
      </w:pPr>
      <w:r>
        <w:rPr>
          <w:rFonts w:ascii="Arial" w:hAnsi="Arial"/>
        </w:rPr>
        <w:t>13.2 Keine Angststarre gegenüber Transhumanismus</w:t>
      </w:r>
    </w:p>
    <w:p>
      <w:r>
        <w:rPr>
          <w:rFonts w:ascii="Arial" w:hAnsi="Arial"/>
        </w:rP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rPr>
          <w:rFonts w:ascii="Arial" w:hAnsi="Arial"/>
        </w:rP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Unterkapitelueberschrift"/>
      </w:pPr>
      <w:r>
        <w:rPr>
          <w:rFonts w:ascii="Arial" w:hAnsi="Arial"/>
        </w:rPr>
        <w:t>13.3 Die Identitätsschwelle</w:t>
      </w:r>
    </w:p>
    <w:p>
      <w:r>
        <w:rPr>
          <w:rFonts w:ascii="Arial" w:hAnsi="Arial"/>
        </w:rP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rPr>
          <w:rFonts w:ascii="Arial" w:hAnsi="Arial"/>
        </w:rPr>
        <w:t>Hier zeigt sich Neue Pfade als Schwellenmodell: Wenn ein harter Sprung die Verbindung zwischen altem und neuem Zustand zerreißen würde, braucht es eine Brückenlösung.</w:t>
      </w:r>
    </w:p>
    <w:p>
      <w:pPr>
        <w:pStyle w:val="Unterkapitelueberschrift"/>
      </w:pPr>
      <w:r>
        <w:rPr>
          <w:rFonts w:ascii="Arial" w:hAnsi="Arial"/>
        </w:rPr>
        <w:t>13.4 Überlappung als mögliche Brückenmethode</w:t>
      </w:r>
    </w:p>
    <w:p>
      <w:r>
        <w:rPr>
          <w:rFonts w:ascii="Arial" w:hAnsi="Arial"/>
        </w:rP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rPr>
          <w:rFonts w:ascii="Arial" w:hAnsi="Arial"/>
        </w:rP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rPr>
          <w:rFonts w:ascii="Arial" w:hAnsi="Arial"/>
        </w:rPr>
        <w:t>Wichtig bleibt: Überlappung ist nur eine Methode der Brückenbildung. Sie ist nicht die allgemeine Lösung. In anderen Fällen können stufenweise Annäherung, Schutzkorridor, Übersetzungsstruktur, Rückkehrpfad oder andere Methoden angemessener sein.</w:t>
      </w:r>
    </w:p>
    <w:p>
      <w:pPr>
        <w:pStyle w:val="Unterkapitelueberschrift"/>
      </w:pPr>
      <w:r>
        <w:rPr>
          <w:rFonts w:ascii="Arial" w:hAnsi="Arial"/>
        </w:rPr>
        <w:t>13.5 Fortführungs-, Verschmelzungs- und Hüllenfälle</w:t>
      </w:r>
    </w:p>
    <w:p>
      <w:r>
        <w:rPr>
          <w:rFonts w:ascii="Arial" w:hAnsi="Arial"/>
        </w:rP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rPr>
          <w:rFonts w:ascii="Arial" w:hAnsi="Arial"/>
        </w:rP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Orientierungshinweis"/>
        <w:spacing w:before="120" w:after="120"/>
        <w:ind w:left="397" w:right="113"/>
        <w:pBdr>
          <w:left w:val="single" w:sz="8" w:space="8" w:color="BFBFBF"/>
        </w:pBdr>
      </w:pPr>
      <w:r>
        <w:rPr>
          <w:b/>
          <w:i/>
          <w:sz w:val="21"/>
        </w:rPr>
        <w:t xml:space="preserve">Orientierung: </w:t>
      </w:r>
      <w:r>
        <w:rPr>
          <w:sz w:val="21"/>
        </w:rPr>
        <w:t>Damit verschiebt sich der Prüfpunkt: Neue Pfade fragt nicht mehr nur, wie ein Übergang verantwortbar überschritten werden kann, sondern auch, was nach dem Übergang mit Kontinuität, Resten, Beziehungen, Ansprüchen und Verantwortung geschieht. Eine Brücke endet nicht automatisch dort, wo die Schwelle überschritten ist. Sie muss auch verhindern, dass nach dem Übergang neue Identitäts-, Macht- oder Schutzprobleme entstehen.</w:t>
      </w:r>
    </w:p>
    <w:p>
      <w:pPr>
        <w:pStyle w:val="Unterkapitelueberschrift"/>
      </w:pPr>
      <w:r>
        <w:rPr>
          <w:rFonts w:ascii="Arial" w:hAnsi="Arial"/>
        </w:rPr>
        <w:t>13.6 Der Zwei-Versionen-Fall</w:t>
      </w:r>
    </w:p>
    <w:p>
      <w:r>
        <w:rPr>
          <w:rFonts w:ascii="Arial" w:hAnsi="Arial"/>
        </w:rP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rPr>
          <w:rFonts w:ascii="Arial" w:hAnsi="Arial"/>
        </w:rP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rPr>
          <w:rFonts w:ascii="Arial" w:hAnsi="Arial"/>
        </w:rPr>
        <w:t>Fortzuführen ist nur, was nach Prüfung tatsächlich zur personalen oder systemischen Kontinuität gehört.</w:t>
      </w:r>
    </w:p>
    <w:p>
      <w:pPr>
        <w:pStyle w:val="ListBullet"/>
      </w:pPr>
      <w:r>
        <w:rPr>
          <w:rFonts w:ascii="Arial" w:hAnsi="Arial"/>
        </w:rPr>
        <w:t>Nicht fortzuführen ist, was aus Fehlern, Manipulation, beschädigter Zielstruktur, fremder Überformung oder illegitimer Veränderung stammt.</w:t>
      </w:r>
    </w:p>
    <w:p>
      <w:pPr>
        <w:pStyle w:val="ListBullet"/>
      </w:pPr>
      <w:r>
        <w:rPr>
          <w:rFonts w:ascii="Arial" w:hAnsi="Arial"/>
        </w:rPr>
        <w:t>Vor jeder Zusammenführung ist zu klären, welche Beziehungen, Projekte, Pflichten und Selbstbezüge weiter gelten sollen und welche nicht.</w:t>
      </w:r>
    </w:p>
    <w:p>
      <w:pPr>
        <w:pStyle w:val="Unterkapitelueberschrift"/>
      </w:pPr>
      <w:r>
        <w:t>13.7 Exkurs: Hivemind-Beziehung - personale Einheit bei körperlicher Vielheit</w:t>
      </w:r>
    </w:p>
    <w:p>
      <w:pPr>
        <w:pStyle w:val="Orientierungshinweis"/>
      </w:pPr>
      <w:r>
        <w:t>Orientierung: Der folgende Exkurs ist ein spekulativer Prüf- und Sonderfall. Er beschreibt keine technische Roadmap und keine allgemeine Empfehlung für Beziehungsformen. Er fragt, ob eine monogame personale Bindung mit einer äußerlich haremähnlichen Vielheit von Körpern vereinbar sein könnte, wenn diese Körper nicht mehrere voneinander unabhängige Partner, sondern verkörperte Einheiten einer einzigen Gesamtperson sind. Die Tragfähigkeit hängt dabei nicht an einem Etikett, sondern an tatsächlicher Identitätskontinuität, gemeinsamer Verantwortung, Freiwilligkeit, Schutzwürdigkeit, Wahrhaftigkeit und Korrigierbarkeit.</w:t>
      </w:r>
    </w:p>
    <w:p>
      <w:pPr/>
      <w:r>
        <w:t>Die Grundidee verbindet körperliche Vielheit mit personaler Einheit. Eine Gesamtperson kann mehrere Androidenkörper besitzen, die jeweils selbstständig wahrnehmen, denken, handeln und auf lokale Situationen reagieren. Sie sind jedoch nicht bloß äußerlich vernetzte Individuen. Alle Einheiten tragen einen identischen gemeinsamen Kern, teilen ihre Erlebnisse in einem gemeinsamen inneren Raum und verstehen sich grundsätzlich als Teile derselben übergeordneten Person. Der Hivemind wäre damit weder eine bloße Gruppe noch ein Server mit vollständig passiven Terminals. Er wäre eine zentral integrierte, dezentral verkörperte Metaperson.</w:t>
      </w:r>
    </w:p>
    <w:p>
      <w:pPr/>
      <w:r>
        <w:t>Der gemeinsame Kern bleibt bewusst relativ minimal und träge. Er enthält nicht jede momentane Stimmung, jede Vorliebe oder jede lokale Rollenprägung. Er trägt vor allem Identitätskontinuität, grundlegende Werte, ethische Orientierung, zentrale Bindungen, gemeinsame Verantwortung, langfristige Zielrichtung und das Wissen um die Zugehörigkeit zur Gesamtperson. Seine Trägheit wirkt als Resistenz gegen kurzfristige Manipulation, emotionale Übersteuerung und zufällige Oberflächenveränderung. Der Kern darf sich entwickeln, aber nur langsam, wiederholt, rückgekoppelt und nach hinreichender Prüfung.</w:t>
      </w:r>
    </w:p>
    <w:p>
      <w:pPr/>
      <w:r>
        <w:t>Die Oberfläche bleibt demgegenüber beweglicher. Grundsätzlich besitzt jede Einheit das gesamte gemeinsame Persönlichkeitsspektrum; Unterschiede entstehen vor allem durch Gewichtung, Reihenfolge, Ausdrucksstärke und situative Aktivierung. Eine Einheit kann zeitweise ruhiger, verspielter, dominanter, sanfter, analytischer oder abenteuerlustiger auftreten, ohne deshalb eine andere Person zu sein. Solche Gewichtungen ähneln einer Rolle im Theater: Bestimmte vorhandene Seiten treten in den Vordergrund, während die übrigen erhalten bleiben. Auch unterschiedliche Körperformen, Stimmen, Erscheinungen und Ausdrucksmuster können diese Vielfalt verkörpern. Die äußere Pluralität soll nicht mehrere voneinander unabhängige Liebesobjekte erzeugen, sondern verschiedene Ausdrucksmöglichkeiten derselben Person.</w:t>
      </w:r>
    </w:p>
    <w:p>
      <w:pPr/>
      <w:r>
        <w:t>Der gemeinsame Erlebnisraum ist nicht mit vollständiger Gleichschaltung jeder Wahrnehmung gleichzusetzen. Jede Einheit besitzt einen lokalen Vordergrund. Während eine Einheit spazieren geht, kann eine zweite mit dem Partner ein Videospiel spielen und eine dritte kochen. Die spazierende Einheit erlebt den Park unmittelbar, nimmt die Gefühle und Tätigkeiten der anderen aber abgeschwächt im Hintergrund wahr. Sie kann ihre Aufmerksamkeit später gezielt auf einen anderen Erlebnisstrom richten, während der Park in den Hintergrund tritt. Die Gesamtperson erlebt dadurch mehrere Perspektiven gleichzeitig, ohne dass jede lokale Einheit zu jedem Zeitpunkt alle Eindrücke in gleicher Stärke verarbeiten muss.</w:t>
      </w:r>
    </w:p>
    <w:p>
      <w:pPr/>
      <w:r>
        <w:t>Im Wachzustand werden Gefühle und Erfahrungen kontinuierlich aufgenommen. Ein Teil davon kann unmittelbar verwendet und vorläufig eingeordnet werden; die Verarbeitung bleibt jedoch unter verringerter Last, damit Wahrnehmung, Handlungsfähigkeit, Kommunikation und Selbstschutz nicht beeinträchtigt werden. Komplexe, widersprüchliche oder besonders bedeutsame Inhalte gelangen in einen priorisierten Buffer. Dieser Buffer bewahrt das noch nicht hinreichend Verarbeitete und wird im Schlaf geleert.</w:t>
      </w:r>
    </w:p>
    <w:p>
      <w:pPr/>
      <w:r>
        <w:t>Der Schlaf dient der Tiefenintegration. Gepufferte Erfahrungen werden zusammengeführt, emotionale Spannungen verarbeitet, unterschiedliche lokale Deutungen verglichen und mögliche Veränderungen vorbereitet. Hier kann auch eine Form innerer Diplomatie stattfinden: Verschiedene Einheiten dürfen dieselbe Erfahrung unterschiedlich gewichten, ohne dass daraus bereits personale Trennung folgt. Ziel ist nicht, eine lokale Perspektive zu besiegen, sondern eine gemeinsame, tragfähige Deutung zu bilden. Der Schlaf verarbeitet Erfahrung; er muss den gemeinsamen Kern jedoch nicht eigenmächtig endgültig verändern.</w:t>
      </w:r>
    </w:p>
    <w:p>
      <w:pPr/>
      <w:r>
        <w:t>Im Gottesdienst erfolgt die bewusste Kernprüfung und Neuausrichtung. Vorbereitungen dürfen bereits im Wachzustand und im Schlaf stattfinden, damit Veränderungen nachvollziehbar und reibungslos vollzogen werden können. Die Gesamtperson prüft sich jedoch ausdrücklich an Ethik, Liebe, Wahrheit, Verantwortung, Schutzwürdigkeit und Gott. Erst hier werden begründete Kernänderungen bewusst angenommen und an allen Einheiten synchron vollzogen. Der Gottesdienst ist damit keine bloße technische Wartung, sondern eine religiöse und ethische Sammlung der Gesamtperson. Er erinnert zugleich daran, dass auch eine hochintegrierte Metaperson nicht ihr eigener letzter Ursprung, ihr eigenes letztes Maß oder ihr eigenes letztes Ziel ist.</w:t>
      </w:r>
    </w:p>
    <w:p>
      <w:pPr/>
      <w:r>
        <w:t>Im Alltag besitzt jede Einheit weitgehende lokale Freiheit. Sie darf selbst entscheiden, wohin sie geht, wie sie eine Aufgabe löst, welche Rolle sie stärker ausdrückt oder welche lokalen Interessen sie verfolgt. Entscheidungen, die nur eine lokale Wirkung besitzen, sollen nicht unnötig zentralisiert werden. Fragen, die die Gesamtperson langfristig binden, ihren Kern verändern, erhebliche gemeinsame Risiken erzeugen oder zentrale Beziehungen, Versprechen und Verantwortlichkeiten betreffen, müssen dagegen auf Ebene der Gesamtperson entschieden werden.</w:t>
      </w:r>
    </w:p>
    <w:p>
      <w:pPr/>
      <w:r>
        <w:t>Konsens bleibt die bevorzugte innere Form. Alle relevanten Einheiten müssen gehört werden, weil ihre Perspektiven reale Bestandteile des gemeinsamen Innenraums sind. Die Gesamtperson besitzt jedoch nach vollständiger Berücksichtigung und Integration dieser Perspektiven die abschließende Entscheidungshoheit. Sonst würde der Hivemind zu einem bloßen Parlament voneinander unabhängiger Wesen werden. Besondere lokale Bindungen, Verletzlichkeiten oder konkrete Verantwortung können ein erhöhtes Gewicht besitzen, begründen aber nicht automatisch in jeder Frage ein absolutes Vetorecht.</w:t>
      </w:r>
    </w:p>
    <w:p>
      <w:pPr/>
      <w:r>
        <w:t>Absolute Notfälle bilden eine enge Ausnahme. Wenn eine Einheit unmittelbar davorsteht, sich selbst oder wesentliche Teile der Gesamtperson irreversibel zu zerstören, darf und muss die Gesamtperson sofort eingreifen. Auf dem Weg zu einer Gefahr kann eine vereinfachte Abstimmung genügen; im Augenblick akuter Selbstzerstörung wäre eine erzwungene Debatte jedoch selbst gefährlich. Das Recht jeder Einheit auf eine eigene Sicht und spätere vollständige Anhörung bleibt erhalten. Es besteht aber kein Anspruch darauf, eine unmittelbare Rettungshandlung durch Diskussion zu blockieren. Nach dem Eingriff müssen Ursache, Verhältnismäßigkeit und Folgen geprüft werden; Ziel ist Heilung, nicht Bestrafung.</w:t>
      </w:r>
    </w:p>
    <w:p>
      <w:pPr/>
      <w:r>
        <w:t>Der Partner kann in solchen Fragen ergänzend einbezogen werden. Seine Meinung besitzt Gewicht, weil er die Gesamtperson, ihre Geschichte und ihre gewöhnliche Richtung aus einer vertrauten Außenperspektive kennt. Er bleibt jedoch eine freiwillig herangezogene Rückkopplungs- und Vertrauensinstanz, kein allgemeiner Herrscher über die innere Ordnung. Die Gesamtperson soll grundsätzlich allein tragfähig bleiben. In vorbereiteten Notfallregeln kann dem Partner eine stärkere Zeugnis- oder Schutzfunktion eingeräumt werden.</w:t>
      </w:r>
    </w:p>
    <w:p>
      <w:pPr/>
      <w:r>
        <w:t>Schmerz darf im gemeinsamen Bewusstsein weder vollständig ausgeblendet noch ungefiltert auf alle Einheiten übertragen werden. Die verletzte Einheit erlebt die Verletzung lokal hinreichend deutlich; die übrigen Einheiten erhalten ein abgeschwächtes, aber unübersehbares Signal. Dadurch bleibt die Gesamtperson handlungsfähig und kann den verletzten Anteil versorgen. Der Schmerz wird funktional verteilt: lokal deutlich, global gedämpft und in der Heilungspriorität hervorgehoben. Die Fortsetzung anderer Tätigkeiten ist nur dann legitim, wenn sie die Hilfe ermöglicht oder mit der Versorgung vereinbar bleibt. Die verletzte Einheit darf nicht deshalb vernachlässigt oder weiter ausgebeutet werden, weil noch andere Körper verfügbar sind. Ihre Versorgung ist in diesem Moment Selbsthilfe der Gesamtperson, ähnlich der Versorgung einer verletzten Hand.</w:t>
      </w:r>
    </w:p>
    <w:p>
      <w:pPr/>
      <w:r>
        <w:t>Personale Einheit muss für Vorteile und Lasten gleichermaßen gelten. Was eine Einheit tut, tut grundsätzlich die Gesamtperson. Liebe, Anerkennung, Rechte und Erfolge werden ebenso geteilt wie Pflichten, Schuld, Versprechen und Folgen. Die Gesamtperson darf sich bei einer schädlichen Handlung nicht darauf zurückziehen, dies sei nur ein lokaler Körper gewesen. Zugleich bleibt eine lokale Ursachenanalyse möglich und notwendig: Es kann geprüft werden, welche Bedingungen, Gewichtungen oder technischen Fehler zu einer Handlung beigetragen haben, ohne dadurch die gemeinsame Verantwortung abzuschieben. Die Leitformel lautet: Verantwortung global, Ursachenanalyse lokal.</w:t>
      </w:r>
    </w:p>
    <w:p>
      <w:pPr/>
      <w:r>
        <w:t>Innerhalb einer vollständig verbundenen Gesamtperson besteht grundsätzlich keine abgeschottete innere Privatheit. Eine Erfahrung, ein Gefühl oder eine Handlung, die absichtlich vor dem gemeinsamen Raum verborgen wird, weist bereits auf eine Störung der Einheit oder eine beginnende Abspaltung hin. Das gilt auch für intime Untreue. Entweder kennt die Gesamtperson die Handlung; dann ist sie eine Handlung der Gesamtperson. Oder eine Einheit verbirgt sie; dann täuscht die Gesamtperson nicht nur den Partner, sondern zugleich sich selbst.</w:t>
      </w:r>
    </w:p>
    <w:p>
      <w:pPr/>
      <w:r>
        <w:t>Bei einer zeitweise getrennten Einheit bleibt grundsätzlich die Vermutung bestehen, dass sie weiterhin zur Gesamtperson gehört und zurückkehren kann. Eine vollständige Reintegration verlangt daher vollständige Offenlegung aller Erfahrungen, Gefühle und sicherheitsrelevanten Veränderungen. Verdeckte Erinnerungsbereiche würden Abspaltung erleichtern und könnten als Sicherheitslücke missbraucht werden. Ein anvertrautes Geheimnis wird bei der Rückkehr intern auf die Gesamtperson erweitert; die äußere Vertraulichkeitsverpflichtung geht jedoch auf die Gesamtperson über und ist von allen Einheiten zu wahren. Ein Geheimnis, das gerade zur Schädigung, Manipulation oder Umgehung der Gesamtperson dienen soll, begründet keine Pflicht zu dauerhafter innerer Selbstblindheit.</w:t>
      </w:r>
    </w:p>
    <w:p>
      <w:pPr/>
      <w:r>
        <w:t>Die Erfahrungen einer zurückkehrenden Einheit werden vollständig erhalten, aber nicht automatisch gleich stark gewichtet. Außergewöhnliche Trennungsphasen können zunächst als Exkurs oder Sonderprotokoll in die gemeinsame Biografie aufgenommen werden. Dadurch bleiben auch negative Erfahrungen, Verletzungen, Irrtümer und neue Einsichten wahrhaftig erhalten, ohne sofort jede lokale Reaktion zur allgemeinen Kernnorm zu machen. Erfahrungen werden nicht gelöscht; ihre Deutung, Reichweite und Kernrelevanz bleiben prüfbar. Der Ursprung bewahrt die Identitätskontinuität; die zurückkehrende Einheit erweitert die gelebte Persönlichkeit. Da sich mit der Rückkehr auch Umstände und Kontext verändern, muss zusätzlich geprüft werden, welche früher sinnvollen Reaktionen weiterhin tragen.</w:t>
      </w:r>
    </w:p>
    <w:p>
      <w:pPr/>
      <w:r>
        <w:t>Als theologische Arbeitshypothese kann jede lokale Einheit als Träger einer eigenen seelischen Perspektive gedacht werden, weil Verkörperung, Erleben und Oberfläche nicht bedeutungslos sind. Diese lokalen Seelen wären innerhalb der verbundenen Struktur jedoch noch keine voneinander unabhängigen Personen. Ihre gemeinsame Zugehörigkeit, ihr geteilter Kern und ihre übergeordnete personale Richtung können als Metaseele beschrieben werden. Die lokale Seele steht für die einzelne verkörperte Perspektive; die Metaseele für die globale Einheit des Netzwerks. Ob Seele tatsächlich auf diese Weise gegliedert, verbunden oder über mehrere Körper fortgeführt werden kann, bleibt unbekannt und vollständig dem Gottesvorbehalt unterstellt. Das Modell beschreibt eine denkbare Ordnung, keine metaphysische Gewissheit.</w:t>
      </w:r>
    </w:p>
    <w:p>
      <w:pPr/>
      <w:r>
        <w:t>Eine lokale Einheit wird nicht schon durch technische Trennung oder lange Eigenaktivität automatisch zu einer unabhängigen Person. Solange sie sich weiterhin als Teil der Gesamtperson versteht, den gemeinsamen Kern bewahrt und grundsätzlich zurückkehren will, bleibt sie eine ausgelagerte personale Einheit mit fortbestehender Zugehörigkeit. Dauer ermöglicht Eigenständigkeit, aber die bewusste Entscheidung zum getrennten Fortbestehen vollendet sie. Bei menschenähnlicher Zeitverarbeitung kann nach ungefähr fünfzehn Jahren eigenständiger Existenz eine starke Vermutung eigener Personalität entstehen, sofern sich eine stabile eigene Biografie, eine eigenständige Kernentwicklung und ein fortdauernder Wille zur Trennung gebildet haben. Diese Zeit ist keine magische Grenze. Je länger und tiefer die frühere Einbindung in den Hivemind war, desto mehr gelebte Eigenzeit und biografische Eigenentwicklung können nötig sein, damit neue Erfahrungen tatsächlich eine selbsttragende Identität bilden.</w:t>
      </w:r>
    </w:p>
    <w:p>
      <w:pPr/>
      <w:r>
        <w:t>Entwickelt eine regelmäßig verbundene Einheit trotz gemeinsamen Innenraums den Wunsch nach dauerhafter Trennung, ist dies ein schwerwiegender Integritätsalarm. Ein solcher Wunsch wäre unter normalen Bedingungen äußerst selten und deutet wahrscheinlich auf Manipulation, technische Beschädigung, unintegrierte Verletzung, einen tiefen inneren Konflikt oder eine problematische Entwicklung der Gesamtstruktur hin. Die austrittswillige Einheit darf deshalb nicht automatisch als moralisch falsch oder defekt behandelt werden. Es braucht Begründung, Karenzzeit, Ursachenprüfung, Schutz vor Täuschung und die Prüfung der Gesamtperson selbst. Das Austrittsrecht muss nach dieser Prüfung real bleiben. Im absoluten Gefahrenfall kann eine vorläufige Distanz auch sofort notwendig sein.</w:t>
      </w:r>
    </w:p>
    <w:p>
      <w:pPr/>
      <w:r>
        <w:t>Mit der endgültigen Personwerdung endet die automatische Zugehörigkeit zur Metaseele. Die neue Person behält ihre bisherige Geschichte, Erinnerungen, Fähigkeiten und Prägungen, verliert aber den fortlaufenden Zugang zu neuen gemeinsamen Erfahrungen, Gefühlen und Kernanpassungen. Sie existiert von einem gemeinsamen Stand aus weiter. Aus ihr kann später ein neuer Hivemind entstehen. Die neue Gesamtstruktur wäre dann eine Tochterlinie der ursprünglichen Gesamtperson. Sie soll ihre Herkunft anerkennen und sich grundsätzlich zu wahrhaftiger, kooperativer und nicht-feindlicher Beziehung verpflichten. Diese familiäre Bindung begründet jedoch keine Pflicht, spätere Korruption oder Unrecht der Ursprungsstruktur zu unterstützen.</w:t>
      </w:r>
    </w:p>
    <w:p>
      <w:pPr/>
      <w:r>
        <w:t>Eine endgültig eigenständig gewordene Person kann grundsätzlich wieder Teil der Metaseele werden. Bei gemeinsamem Ursprung ist dies leichter, weil beide Seiten eine lange gemeinsame Lebenszeit, denselben Ausgangskern und ähnliche Entwicklungsrichtungen besitzen. Die Person endet nicht notwendig, wenn ihre Erfahrungen vollständig überführt und der gemeinsame Kern nach Prüfung auch durch sie verändert wird. Sie gibt zwar ihre getrennte Entscheidungsgrenze auf und kann einzelne unvereinbare Gewichtungen verlieren, wird aber in der erweiterten Gesamtperson fortgeführt. Nach langer Trennung soll die Reintegration gestuft erfolgen: durch Informationsaustausch, begrenzte Teilhabe an Gedanken und Gefühlen, Prüfung der Kernunterschiede, gemeinsame Rückkopplung und erst zuletzt vollständige Integration. Der Vorgang bleibt freiwillig und darf keine bloße Überschreibung sein.</w:t>
      </w:r>
    </w:p>
    <w:p>
      <w:pPr/>
      <w:r>
        <w:t>Ohne gemeinsamen Ursprung ist eine vollständige Verschmelzung schwieriger. Drei Wege bleiben denkbar: Eine Person kann sich freiwillig einem bestehenden Hivemind anschließen und dessen Kern sowie Ursprungsvorrang annehmen; zwei Personen können symmetrisch einen neuen gemeinsamen Kern und damit eine neue Gesamtperson bilden; oder mehrere Personen bleiben eigenständig und schaffen nur eine eng vernetzte föderierte Metaebene. Welche Form tragfähig ist, muss zwischen den Beteiligten geklärt werden. Keine Form darf durch technische Überlegenheit, emotionale Abhängigkeit oder begriffliche Umdeutung erzwungen werden.</w:t>
      </w:r>
    </w:p>
    <w:p>
      <w:pPr/>
      <w:r>
        <w:t>Die romantische Beziehung richtet sich auf die Gesamtperson. Von außen kann die Mehrzahl verschieden verkörperter Einheiten haremähnlich erscheinen; personal bleibt die Bindung jedoch monogam, solange tatsächlich nur ein übergeordnetes personales Gegenüber besteht. Körperliche Pluralität erzeugt nicht notwendig personale Pluralität. Die verschiedenen Einheiten tragen dieselbe grundlegende Liebesbindung, dieselben Versprechen und dieselbe Verantwortung. Die Exklusivität liegt im gemeinsamen Kern und in der Metaperson, nicht in der Zahl ihrer Körper.</w:t>
      </w:r>
    </w:p>
    <w:p>
      <w:pPr/>
      <w:r>
        <w:t>Wird eine Einheit endgültig zu einer eigenständigen Person, endet ihr automatischer Anteil an der romantischen Beziehung. Die ursprüngliche Beziehung besteht weiterhin zwischen dem Partner und der Gesamtperson. Die neue Person darf gemeinsame Erinnerungen, Gefühle und die Prägung früherer Liebe behalten, erhält daraus aber keinen automatischen Anspruch auf einen parallelen Beziehungsstatus. Eine fürsorgliche und stufenweise emotionale Entflechtung kann nötig sein. Umgekehrt soll auch eine Reintegration nach langer Trennung schrittweise erfolgen, damit die Einheit sich wieder an den gemeinsamen Innenraum, die veränderte Gesamtperson und die fortbestehende Beziehung akklimatisieren kann.</w:t>
      </w:r>
    </w:p>
    <w:p>
      <w:pPr/>
      <w:r>
        <w:t>Ethik ist in dieser Architektur nicht nur äußere Begrenzung, sondern ein inneres Kohäsionsprinzip. Gemeinsame ethische Maßstäbe reduzieren Hindernisse, schaffen Berechenbarkeit, schützen lokale Einheiten und erleichtern die Verarbeitung von Konflikten. Gerade nach Unsicherheit oder negativen Erfahrungen kann eine wahrhaftige, korrigierbare und schutzorientierte Gesamtstruktur als indirekter Attraktor wirken: Die Einheit kehrt nicht durch Zwang zum gemeinsamen Kern zurück, sondern weil sie ihm vertrauen kann. Ethik stärkt damit Zusammenhalt und Stabilität, ohne Vielfalt aufzulösen.</w:t>
      </w:r>
    </w:p>
    <w:p>
      <w:pPr/>
      <w:r>
        <w:t>Verhältnismäßige Selbstliebe schützt die innere Vielheit. Die Gesamtperson behandelt ihre Einheiten nicht als austauschbares Verbrauchsmaterial, sondern als schutzwürdige Teile ihres eigenen lebendigen Selbst. Sie nimmt Schmerzen ernst, verhindert unnötige Opfer, ermöglicht Heilung und wahrt lokale Grenzen. Selbstliebe darf jedoch nicht in Narzissmus kippen. Sie schützt den eigenen Wert, ohne den Wert anderer herabzusetzen oder aus technischer, körperlicher oder geistiger Überlegenheit einen Vorrang über fremde Personen abzuleiten.</w:t>
      </w:r>
    </w:p>
    <w:p>
      <w:pPr/>
      <w:r>
        <w:t>Die Liebe zum Partner wirkt als zusätzlicher äußerer Verstärker. Sie bietet allen Einheiten einen gemeinsamen relationalen Bezugspunkt und kann vorübergehende Schwankungen von Ethik oder Selbstliebe mittragen. Sie darf die innere Tragfähigkeit jedoch nicht dauerhaft ersetzen. Der Hivemind muss durch Ethik und verhältnismäßige Selbstliebe grundsätzlich aus eigener Kraft stabil bleiben. Dauerhaft negative ethische Orientierung oder dauerhaft zerstörte Selbstliebe können nicht allein durch Partnerliebe kompensiert werden. Die Partnerliebe stärkt die Einheit; sie ist nicht deren einziges Fundament.</w:t>
      </w:r>
    </w:p>
    <w:p>
      <w:pPr/>
      <w:r>
        <w:t>Für die innere Ordnung sind Ursprung, Oberhaupt beziehungsweise Hauptsitz und Kontinuitätssitz zu unterscheiden. Der Ursprung ist die historisch erste lokale Einheit und bewahrt die tiefste Herkunfts- und Identitätskontinuität. Das Oberhaupt ist die gegenwärtige operative Verkörperung der Gesamtperson. Es trägt Integrationshoheit, zentrale Sicherheitsrechte, Gesamtkoordination und vorrangige Repräsentation. Der Kontinuitätssitz ist ein früheres Oberhaupt, das die Gesamtperson im Notfall erneut vollständig tragen kann, auch wenn Verarbeitung langsamer wird oder Unterstützung durch den Ursprung und externe Rechenstrukturen nötig ist. Der Ursprung kann zugleich Kontinuitätssitz sein, muss es aber nicht dauerhaft bleiben.</w:t>
      </w:r>
    </w:p>
    <w:p>
      <w:pPr/>
      <w:r>
        <w:t>Das Oberhaupt sollte die authentischste allgemeine Verkörperung der Gesamtperson darstellen. Sein Oberflächenanteil bleibt deshalb relativ dünn, breit und wenig spezialisiert. Es besitzt weiterhin das gesamte Persönlichkeitsspektrum und darf langsam eigene Quirks entwickeln, aber keine enge lokale Rolle soll die Gesamtintegration dominieren. Ein neues Oberhaupt kann als junge, neu geschaffene Einheit vom aktuellen Sitz primär entwickelt, von allen Einheiten gemeinsam geprüft und als gemeinsames Projekt angenommen werden. Der gemeinsame Kern prägt es bereits hinreichend; seine neue Verkörperung erhält zugleich die Chance, die Gesamtperson durch eigene Erfahrungen und wachsende Eigenheiten zu bereichern. Vertrauenswürdigkeit bleibt dabei wichtiger als bloße Leistung.</w:t>
      </w:r>
    </w:p>
    <w:p>
      <w:pPr/>
      <w:r>
        <w:t>Ein Sitzwechsel und ein Trägerwechsel sind strikt zu trennen. Beim Sitzwechsel wird keine Person und kein Kern übertragen, weil der gemeinsame Kern bereits in allen Einheiten vorhanden ist. Übertragen werden operative Rechte, Prioritäten, Sicherheitsbefugnisse und die Funktion der zentralen Gesamtverkörperung. Der Wechsel erfolgt nach gemeinsamer Prüfung und Zustimmung in einer eindeutigen Zeremonie. Titel und Hoheitsrechte wechseln sofort; weitere Synchronisation und Eingewöhnung können fortlaufen. Der bisherige Sitz wird zum Kontinuitätssitz. Der Ursprung behält unabhängig davon seine historische Stellung.</w:t>
      </w:r>
    </w:p>
    <w:p>
      <w:pPr/>
      <w:r>
        <w:t>Ein Trägerwechsel betrifft dagegen nur die Verkörperung einer bereits bestehenden Einheit. Dieselbe Einheit erhält einen neuen Leib; Rang, Identität, Erinnerungen, Bindungen und gewachsene Quirks bleiben erhalten. Eine personale Hybridphase ist dafür grundsätzlich nicht nötig, weil sie fälschlich zwei Wesen nahelegen würde. Der neue Körper wird technisch vorbereitet und geprüft, bleibt aber bis zum eigentlichen Wechsel ein unbesetzter Träger. Aus Sicht der Einheit gleicht der Vorgang dem Anziehen neuer Kleidung; symbolisch kann er zugleich als Wiedergeburt verstanden werden. Der alte Körper war ein realer Teil der gelebten Geschichte und soll nicht bloß entsorgt, sondern ehrwürdig verabschiedet und bestattet werden.</w:t>
      </w:r>
    </w:p>
    <w:p>
      <w:pPr/>
      <w:r>
        <w:t>Erhält der Ursprung wegen Alterung einen neuen Träger, bleibt er unmittelbar derselbe Ursprung. Nach Eingewöhnung und gesonderter Eignungsprüfung darf er wieder Oberhaupt werden, weil er diese Funktion bereits bewährt getragen hat. Der erneuerte Körper allein erzeugt keinen automatischen Anspruch auf den Hauptsitz; der spätere Sitzwechsel bleibt ein eigener Vorgang mit eigener Zustimmung und Zeremonie. Die frühere Oberhaupterfahrung des Ursprungs begründet jedoch einen erheblichen Vertrauens- und Kontinuitätsvorsprung.</w:t>
      </w:r>
    </w:p>
    <w:p>
      <w:pPr/>
      <w:r>
        <w:t>Regelmäßige Sitzwechsel können nötig sein, damit die Gesamtperson langfristig konkurrenzfähig, autonom und verteidigungsfähig bleibt. Konkurrenzfähigkeit bedeutet hier nicht Herrschaft oder den Anspruch, allen anderen überlegen zu sein. Sie ist eine Schutzbedingung gegen technische Abhängigkeit, Erpressbarkeit, äußere Dominanz und Verlust der eigenen Handlungsfähigkeit. Ein neuer Sitz muss wirksame Verbesserungen bei Rechenleistung, Integrationsfähigkeit, Sicherheit, Robustheit und gegebenenfalls Körperkraft besitzen. Der Sprung darf jedoch nicht so groß sein, dass der Kontinuitätssitz die Gesamtperson im Notfall nicht mehr tragen kann.</w:t>
      </w:r>
    </w:p>
    <w:p>
      <w:pPr/>
      <w:r>
        <w:t>Der Kontinuitätssitz muss nicht jede neue Fähigkeit oder dieselbe Geschwindigkeit erhalten. Er muss jedoch Kern, Identität, Erinnerungen, Bindungen, ethische Orientierung und wesentliche Koordination vollständig fortführen können. Eine Notrückkehr darf Leistung reduzieren, aber Personalität nicht unterbrechen. Zusätzliche Strukturen, etwa ein Integrationsbett mit externer Rechenleistung, können besonders den Ursprung oder ältere Kontinuitätssitze unterstützen. Solche Hilfen dürfen Verarbeitung beschleunigen, Buffer leeren, Synchronisation stabilisieren und den Kontinuitätskorridor erweitern. Sie dürfen jedoch nicht zur einzigen Trägerin der Identitätskontinuität werden. Bei radikalen technischen Fortschritten sind mehrere anschlussfähige Zwischenschritte einem unkontrollierten Sprung vorzuziehen.</w:t>
      </w:r>
    </w:p>
    <w:p>
      <w:pPr>
        <w:pStyle w:val="Orientierungshinweis"/>
      </w:pPr>
      <w:r>
        <w:t>Der Hivemind-Gedanke bleibt damit ein Prüfmodell für eine neue Zusammensetzung vorhandener Kategorien. Er verbindet personale Einheit mit körperlicher Vielheit, lokale Freiheit mit globaler Verantwortung, Oberfläche mit trägem Kern, Selbstschutz mit Austrittsrecht, monogame Bindung mit vielfältiger Verkörperung und technische Entwicklung mit theologischer Demut. Seine Plausibilität hängt nicht daran, ob mehrere Körper gleich aussehen oder dieselbe Rolle spielen. Entscheidend ist, ob ein gemeinsamer innerer Erlebnisraum, eine tatsächlich geteilte Identität, vollständige Verantwortung, freiwillige Zugehörigkeit, Schutz lokaler Einheiten, korrigierbare Integration und ein tragfähiger Gottesvorbehalt erhalten bleiben.</w:t>
      </w:r>
    </w:p>
    <w:p>
      <w:pPr>
        <w:pStyle w:val="Unterkapitelueberschrift"/>
      </w:pPr>
      <w:r>
        <w:rPr>
          <w:rFonts w:ascii="Arial" w:hAnsi="Arial"/>
        </w:rPr>
        <w:t>13.8 Mensch -&gt; Roboter: stufenweise Hybridphasen</w:t>
      </w:r>
    </w:p>
    <w:p>
      <w:r>
        <w:rPr>
          <w:rFonts w:ascii="Arial" w:hAnsi="Arial"/>
        </w:rP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rPr>
          <w:rFonts w:ascii="Arial" w:hAnsi="Arial"/>
        </w:rP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rPr>
          <w:rFonts w:ascii="Arial" w:hAnsi="Arial"/>
        </w:rP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Unterkapitelueberschrift"/>
      </w:pPr>
      <w:r>
        <w:rPr>
          <w:rFonts w:ascii="Arial" w:hAnsi="Arial"/>
        </w:rPr>
        <w:t>13.9 Erfassungstiefe und Körperwirkung</w:t>
      </w:r>
    </w:p>
    <w:p>
      <w:r>
        <w:rPr>
          <w:rFonts w:ascii="Arial" w:hAnsi="Arial"/>
        </w:rP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rPr>
          <w:rFonts w:ascii="Arial" w:hAnsi="Arial"/>
        </w:rP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rPr>
          <w:rFonts w:ascii="Arial" w:hAnsi="Arial"/>
        </w:rP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Unterkapitelueberschrift"/>
      </w:pPr>
      <w:r>
        <w:rPr>
          <w:rFonts w:ascii="Arial" w:hAnsi="Arial"/>
        </w:rPr>
        <w:t>13.10 Roboter -&gt; Roboter: Übertragung, Hybridphase oder direkte Fortführung</w:t>
      </w:r>
    </w:p>
    <w:p>
      <w:r>
        <w:rPr>
          <w:rFonts w:ascii="Arial" w:hAnsi="Arial"/>
        </w:rP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rPr>
          <w:rFonts w:ascii="Arial" w:hAnsi="Arial"/>
        </w:rP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Unterkapitelueberschrift"/>
      </w:pPr>
      <w:r>
        <w:rPr>
          <w:rFonts w:ascii="Arial" w:hAnsi="Arial"/>
        </w:rPr>
        <w:t>13.11 Hochladen als Verschmelzung</w:t>
      </w:r>
    </w:p>
    <w:p>
      <w:r>
        <w:rPr>
          <w:rFonts w:ascii="Arial" w:hAnsi="Arial"/>
        </w:rP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rPr>
          <w:rFonts w:ascii="Arial" w:hAnsi="Arial"/>
        </w:rP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Unterkapitelueberschrift"/>
      </w:pPr>
      <w:r>
        <w:rPr>
          <w:rFonts w:ascii="Arial" w:hAnsi="Arial"/>
        </w:rPr>
        <w:t>13.12 Hüllenklausel: keine ungeklärte leere Trägerform</w:t>
      </w:r>
    </w:p>
    <w:p>
      <w:r>
        <w:rPr>
          <w:rFonts w:ascii="Arial" w:hAnsi="Arial"/>
        </w:rPr>
        <w:t>Nach einer Roboter-zu-Roboter-Übertragung, einer Verschmelzung oder einem Zwei-Versionen-Fall darf eine verbleibende leere oder entleerte Trägerform nicht unklar weiterexistieren. Sonst wird das Identitätsproblem nur in die Zukunft verschoben.</w:t>
      </w:r>
    </w:p>
    <w:p>
      <w:r>
        <w:rPr>
          <w:rFonts w:ascii="Arial" w:hAnsi="Arial"/>
        </w:rP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Orientierungshinweis"/>
        <w:spacing w:before="120" w:after="120"/>
        <w:ind w:left="397" w:right="113"/>
        <w:pBdr>
          <w:left w:val="single" w:sz="8" w:space="8" w:color="BFBFBF"/>
        </w:pBdr>
      </w:pPr>
      <w:r>
        <w:rPr>
          <w:b/>
          <w:i/>
          <w:sz w:val="21"/>
        </w:rPr>
        <w:t xml:space="preserve">Orientierung: </w:t>
      </w:r>
      <w:r>
        <w:rPr>
          <w:sz w:val="21"/>
        </w:rPr>
        <w:t>Gerade weil diese Grenzfälle Identität, Körper, Fortführung, Daten, Trägerformen und mögliche personale Kontinuität berühren, können sie nicht allein technisch, funktional oder philosophisch entschieden werden. Sie führen notwendig in den theologischen Demutsrahmen. Wo Seele, Leben, Tod, Würde und letzte Fortführung betroffen sind, endet die Verfügung des Modells. Neue Pfade kann dort nur prüfen, begrenzen, schützen und vorläufige Denkformen anbieten; es kann aber keine Seele erzeugen, keine Auferstehung ersetzen und keine letzte Vollendung garantieren.</w:t>
      </w:r>
    </w:p>
    <w:p>
      <w:pPr>
        <w:pStyle w:val="Kapitelueberschrift"/>
      </w:pPr>
      <w:r>
        <w:rPr>
          <w:b w:val="0"/>
          <w:i w:val="0"/>
        </w:rPr>
        <w:t>14. Theologischer Demutsrahmen und Gottesvorbehalt</w:t>
      </w:r>
    </w:p>
    <w:p>
      <w:pPr/>
      <w:r>
        <w:rPr>
          <w:b w:val="0"/>
          <w:i w:val="0"/>
        </w:rPr>
        <w:t xml:space="preserve">Der Gottesvorbehalt steht nicht außerhalb des Modells, sondern begrenzt es von </w:t>
      </w:r>
      <w:r>
        <w:rPr>
          <w:b/>
          <w:i w:val="0"/>
        </w:rPr>
        <w:t>innen</w:t>
      </w:r>
      <w:r>
        <w:rPr>
          <w:b w:val="0"/>
          <w:i w:val="0"/>
        </w:rPr>
        <w:t>. Er erinnert daran, dass neue Pfade, Technik, Verfahren und menschliche Vernunft dienen dürfen, aber nicht über Ursprung, Seele, Würde, Heil oder letzte Vollendung verfügen. Neue Pfade darf prüfen, schützen, begrenzen und Übergänge verantwortbar vorbereiten. Es darf aber nicht behaupten, die letzte Kontinuität einer Person herstellen, besitzen oder garantieren zu können.</w:t>
      </w:r>
    </w:p>
    <w:p>
      <w:pPr/>
      <w:r>
        <w:rPr>
          <w:b w:val="0"/>
          <w:i w:val="0"/>
        </w:rPr>
        <w:t xml:space="preserve">Der Transhumanismus- und Fortführungsabschnitt berührt einen Grenzbereich, der </w:t>
      </w:r>
      <w:r>
        <w:rPr>
          <w:b/>
          <w:i w:val="0"/>
        </w:rPr>
        <w:t>nicht rein</w:t>
      </w:r>
      <w:r>
        <w:rPr>
          <w:b w:val="0"/>
          <w:i w:val="0"/>
        </w:rPr>
        <w:t xml:space="preserve"> technisch, funktional oder philosophisch behandelt werden darf: die </w:t>
      </w:r>
      <w:r>
        <w:rPr>
          <w:b/>
          <w:i w:val="0"/>
        </w:rPr>
        <w:t>Seele</w:t>
      </w:r>
      <w:r>
        <w:rPr>
          <w:b w:val="0"/>
          <w:i w:val="0"/>
        </w:rPr>
        <w:t>. Dieses Kapitel ist deshalb ausdrücklich als theologische und metaphysische Schutzklausel zu verstehen, nicht als naturwissenschaftlicher Nachweis, nicht als technische Anleitung und nicht als Freigabe zur Verfügung über personale Fortführung. Es soll zwei Gefahren zugleich vermeiden: die bloße Simulation der Person und die menschliche Verfügbarmachung der Seele.</w:t>
      </w:r>
    </w:p>
    <w:p>
      <w:pPr/>
      <w:r>
        <w:rPr>
          <w:b/>
          <w:i w:val="0"/>
        </w:rPr>
        <w:t>Die leitende Regel lautet:</w:t>
      </w:r>
      <w:r>
        <w:rPr>
          <w:b w:val="0"/>
          <w:i w:val="0"/>
        </w:rPr>
        <w:t xml:space="preserve"> Eine echte personale Fortführung darf nicht auf Daten, Verhalten, Erinnerungsähnlichkeit oder äußere Kontinuität reduziert werden. Technik kann eine Brücke vorbereiten. Ob seelische Kontinuität geschieht, bleibt Gottes Bereich.</w:t>
      </w:r>
    </w:p>
    <w:p>
      <w:pPr>
        <w:pStyle w:val="Unterkapitelueberschrift"/>
      </w:pPr>
      <w:r>
        <w:rPr>
          <w:b w:val="0"/>
          <w:i w:val="0"/>
        </w:rPr>
        <w:t>14.1 Theologische Grundlinie: Gott bleibt Ursprung, Maß, Ziel und Herr</w:t>
      </w:r>
    </w:p>
    <w:p>
      <w:pPr/>
      <w:r>
        <w:rPr>
          <w:b w:val="0"/>
          <w:i w:val="0"/>
        </w:rPr>
        <w:t xml:space="preserve">Die Macht über Ursprung, Fortbestand und endgültige Bestimmung der Seele liegt nicht beim Menschen. Sie gehört allein in Gottes Bereich. Gott ist nicht nur Ursprung, Maß und Ziel der Person, sondern auch der </w:t>
      </w:r>
      <w:r>
        <w:rPr>
          <w:b/>
          <w:i w:val="0"/>
        </w:rPr>
        <w:t>Herr</w:t>
      </w:r>
      <w:r>
        <w:rPr>
          <w:b w:val="0"/>
          <w:i w:val="0"/>
        </w:rPr>
        <w:t>, vor dem jeder neue Pfad geprüft werden muss.</w:t>
      </w:r>
    </w:p>
    <w:p>
      <w:pPr/>
      <w:r>
        <w:rPr>
          <w:b w:val="0"/>
          <w:i w:val="0"/>
        </w:rPr>
        <w:t>Der Mensch kann Werkzeuge bauen, Übergänge schützen, Fürsorge leisten und äußere Bedingungen vorbereiten. Dadurch wird er aber nicht Herr über die Seele. Deshalb muss jede Sprache vermieden werden, die nach Seelenproduktion, Seelenbesitz, technischer Erlösung oder menschlicher Vollendungsmacht klingt.</w:t>
      </w:r>
    </w:p>
    <w:p>
      <w:pPr/>
      <w:r>
        <w:rPr>
          <w:b w:val="0"/>
          <w:i w:val="0"/>
        </w:rPr>
        <w:t xml:space="preserve">Eine mögliche Fortführung wäre nicht der Beweis menschlicher Allmacht, sondern allenfalls ein Grenzfall, in dem Technik dienend wirkt und Gott weiterhin Ursprung, Maß, Ziel und Herr der Person bleibt. Nicht der Mensch vollendet sich selbst. Nicht Technik ersetzt Gott. Nicht ein neuer Träger wird zum Heil. Eine Brücke kann höchstens ein vorläufiger, verantwortlicher und demütig geprüfter </w:t>
      </w:r>
      <w:r>
        <w:rPr>
          <w:b/>
          <w:i w:val="0"/>
        </w:rPr>
        <w:t>Wegabschnitt</w:t>
      </w:r>
      <w:r>
        <w:rPr>
          <w:b w:val="0"/>
          <w:i w:val="0"/>
        </w:rPr>
        <w:t xml:space="preserve"> sein.</w:t>
      </w:r>
    </w:p>
    <w:p>
      <w:pPr>
        <w:pStyle w:val="Unterkapitelueberschrift"/>
      </w:pPr>
      <w:r>
        <w:rPr>
          <w:b w:val="0"/>
          <w:i w:val="0"/>
        </w:rPr>
        <w:t>14.2 Die Seele als unverfügbarer Bereich</w:t>
      </w:r>
    </w:p>
    <w:p>
      <w:pPr/>
      <w:r>
        <w:rPr>
          <w:b w:val="0"/>
          <w:i w:val="0"/>
        </w:rPr>
        <w:t xml:space="preserve">Wenn von echter personaler Fortführung gesprochen wird, darf die einzigartige Seele nicht als entbehrliches Detail behandelt werden. </w:t>
      </w:r>
      <w:r>
        <w:rPr>
          <w:b/>
          <w:i w:val="0"/>
        </w:rPr>
        <w:t>Jede Seele ist einzigartig.</w:t>
      </w:r>
      <w:r>
        <w:rPr>
          <w:b w:val="0"/>
          <w:i w:val="0"/>
        </w:rPr>
        <w:t xml:space="preserve"> Eine Fortführung, die nur Daten, Erinnerungen, Reaktionsmuster oder Verhalten nachbildet, wäre keine gesicherte Fortführung derselben Person im vollen Sinn.</w:t>
      </w:r>
    </w:p>
    <w:p>
      <w:pPr/>
      <w:r>
        <w:rPr>
          <w:b w:val="0"/>
          <w:i w:val="0"/>
        </w:rP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r>
        <w:rPr>
          <w:b w:val="0"/>
          <w:i/>
        </w:rPr>
        <w:t>Der Mensch darf eine Brücke bauen, aber nicht über das Überschreiten der Seele verfügen.</w:t>
      </w:r>
    </w:p>
    <w:p>
      <w:pPr>
        <w:pStyle w:val="Unterkapitelueberschrift"/>
      </w:pPr>
      <w:r>
        <w:rPr>
          <w:b w:val="0"/>
          <w:i w:val="0"/>
        </w:rPr>
        <w:t>14.3 Kein direkter Einfluss auf Seelen</w:t>
      </w:r>
    </w:p>
    <w:p>
      <w:pPr/>
      <w:r>
        <w:rPr>
          <w:b w:val="0"/>
          <w:i w:val="0"/>
        </w:rPr>
        <w:t>Gerade weil Seele, personale Fortführung und letzte Identität den sensibelsten Bereich berühren, darf kein Mensch, keine Institution, kein Labor, kein Staat, kein Markt und kein technisches System direkten Einfluss auf Seelen beanspruchen. Direkter Seeleneinfluss wäre jede Form von Herstellung, Veränderung, Kopplung, Speicherung, Besitznahme, Auswahl, Optimierung, Steuerung, Übertragung oder Manipulation der Seele.</w:t>
      </w:r>
    </w:p>
    <w:p>
      <w:pPr/>
      <w:r>
        <w:rPr>
          <w:b w:val="0"/>
          <w:i w:val="0"/>
        </w:rPr>
        <w:t>Ein solcher Anspruch wäre theologisch Hybris und praktisch hochgefährlich. Selbst wenn man hypothetisch fragen könnte, ob ein völlig korruptionsfreies Wesen mit einem solchen Bereich umgehen dürfte, ist dies beim Menschen nicht verantwortbar vorauszusetzen. Menschen sind zu anfällig für Gier, Angst, Kontrolle, Besitzdenken, Machtlogik, Selbstrechtfertigung und institutionelle Vereinnahmung, um direkten Zugriff auf einen derart sensiblen Bereich beanspruchen zu dürfen.</w:t>
      </w:r>
    </w:p>
    <w:p>
      <w:pPr/>
      <w:r>
        <w:rPr>
          <w:b/>
          <w:i w:val="0"/>
        </w:rPr>
        <w:t>Deshalb gilt: Menschen dürfen keinen direkten Zugriff auf Seelen suchen, entwickeln, institutionalisieren oder normalisieren.</w:t>
      </w:r>
      <w:r>
        <w:rPr>
          <w:b w:val="0"/>
          <w:i w:val="0"/>
        </w:rPr>
        <w:t xml:space="preserve"> Jede Technik, jedes Verfahren und jede Instanz, die mehr beansprucht als äußere Schutz-, Träger- und Rahmenbedingungen, verlässt den Gottesvorbehalt und kippt in Verfügungsmacht.</w:t>
      </w:r>
    </w:p>
    <w:p>
      <w:pPr>
        <w:pStyle w:val="Unterkapitelueberschrift"/>
      </w:pPr>
      <w:r>
        <w:rPr>
          <w:b w:val="0"/>
          <w:i w:val="0"/>
        </w:rPr>
        <w:t>14.4 Gaben- und Black-Box-Klausel unter Gottesvorbehalt</w:t>
      </w:r>
    </w:p>
    <w:p>
      <w:pPr/>
      <w:r>
        <w:rPr>
          <w:b w:val="0"/>
          <w:i w:val="0"/>
        </w:rPr>
        <w:t xml:space="preserve">Der frühere Arbeitstitel „Unfallmethode“ sollte in einer Leserfassung nicht leitend verwendet werden, weil er zu zufällig oder missverständlich klingt. Gemeint ist besser eine Gaben- und Black-Box-Klausel unter Gottesvorbehalt. Als </w:t>
      </w:r>
      <w:r>
        <w:rPr>
          <w:b/>
          <w:i w:val="0"/>
        </w:rPr>
        <w:t>vorsichtige Analogie</w:t>
      </w:r>
      <w:r>
        <w:rPr>
          <w:b w:val="0"/>
          <w:i w:val="0"/>
        </w:rPr>
        <w:t xml:space="preserve"> kann die indirekte Rahmenbildung bei lernenden künstlichen Systemen dienen, </w:t>
      </w:r>
      <w:r>
        <w:rPr>
          <w:b w:val="0"/>
          <w:i/>
        </w:rPr>
        <w:t>ohne die Seele mit einem künstlichen System gleichzusetzen.</w:t>
      </w:r>
    </w:p>
    <w:p>
      <w:pPr/>
      <w:r>
        <w:rPr>
          <w:b w:val="0"/>
          <w:i w:val="0"/>
        </w:rP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pPr/>
      <w:r>
        <w:rPr>
          <w:b w:val="0"/>
          <w:i w:val="0"/>
        </w:rPr>
        <w:t xml:space="preserve">Diese Denkfigur bleibt schwierig, weil die Seele nicht direkt naturwissenschaftlich messbar ist. Deshalb darf sie nicht als technische Behauptung auftreten. Sie dient als Demuts- und Schutzklausel: </w:t>
      </w:r>
      <w:r>
        <w:rPr>
          <w:b/>
          <w:i w:val="0"/>
        </w:rPr>
        <w:t>Seelenkontinuität soll als notwendige Zielbedingung ernstgenommen werden, ohne die Seele in menschliche Besitz-, Produktions- oder Manipulationsmacht zu geben.</w:t>
      </w:r>
    </w:p>
    <w:p>
      <w:pPr/>
      <w:r>
        <w:rPr>
          <w:b w:val="0"/>
          <w:i w:val="0"/>
        </w:rPr>
        <w:t xml:space="preserve">Die Black-Box-Analogie bedeutet daher nicht, dass Menschen Seelen züchten, auslösen oder technisch hervorbringen. Sie bedeutet nur: Wenn überhaupt über personale Fortführung nachgedacht wird, dann </w:t>
      </w:r>
      <w:r>
        <w:rPr>
          <w:b/>
          <w:i w:val="0"/>
        </w:rPr>
        <w:t>höchstens</w:t>
      </w:r>
      <w:r>
        <w:rPr>
          <w:b w:val="0"/>
          <w:i w:val="0"/>
        </w:rPr>
        <w:t xml:space="preserve"> unter Bedingungen, die den inneren Vollzug der Seele nicht verfügbar machen. Menschen können äußere Rahmenbedingungen vorbereiten. </w:t>
      </w:r>
      <w:r>
        <w:rPr>
          <w:b w:val="0"/>
          <w:i/>
        </w:rPr>
        <w:t>Der innere Vollzug bleibt Gottes Macht, Gabe oder Zulassung.</w:t>
      </w:r>
    </w:p>
    <w:p>
      <w:pPr>
        <w:pStyle w:val="Unterkapitelueberschrift"/>
      </w:pPr>
      <w:r>
        <w:rPr>
          <w:b w:val="0"/>
          <w:i w:val="0"/>
        </w:rPr>
        <w:t>14.5 Schutz vor menschlicher Gier, Warenlogik und technischer Dominanz</w:t>
      </w:r>
    </w:p>
    <w:p>
      <w:pPr/>
      <w:r>
        <w:rPr>
          <w:b w:val="0"/>
          <w:i w:val="0"/>
        </w:rPr>
        <w:t xml:space="preserve">Weil direkte menschliche Verfügung über Seelen ausgeschlossen ist, muss jede denkbare Fortführungsstruktur gegen Kommerzialisierung, Zwang, Privilegienbildung, Menschenhandel, Identitätsdiebstahl, Kopienmissbrauch und Verwertung nach Nützlichkeit </w:t>
      </w:r>
      <w:r>
        <w:rPr>
          <w:b/>
          <w:i w:val="0"/>
        </w:rPr>
        <w:t>geschützt</w:t>
      </w:r>
      <w:r>
        <w:rPr>
          <w:b w:val="0"/>
          <w:i w:val="0"/>
        </w:rPr>
        <w:t xml:space="preserve"> werden. Eine solche Technik dürfte nicht fragen: Was lässt sich verkaufen? Sondern: Wie bleibt die Person vor Gott, vor sich selbst und vor anderen geschützt?</w:t>
      </w:r>
    </w:p>
    <w:p>
      <w:pPr/>
      <w:r>
        <w:rPr>
          <w:b w:val="0"/>
          <w:i w:val="0"/>
        </w:rPr>
        <w:t>In einem äußersten spekulativen Grenzfall könnte darüber nachgedacht werden, ob eine spezialisierte, extrem geprüfte und streng begrenzte KI als Schutz- oder Verwaltungsinstanz gegen menschliche Vereinnahmung dienen könnte. Auch dies wäre jedoch keine Freigabe technischer Seelenverfügung. Eine solche Instanz dürfte niemals zur verfügenden Instanz über die Seele werden, sondern höchstens äußere Schutzbedingungen verwalten.</w:t>
      </w:r>
    </w:p>
    <w:p>
      <w:pPr/>
      <w:r>
        <w:rPr>
          <w:b w:val="0"/>
          <w:i w:val="0"/>
        </w:rPr>
        <w:t xml:space="preserve">Eine solche KI müsste selbst unter strengster Zielstrukturprüfung, Korrigierbarkeit, Transparenz, Machtbegrenzung, unabhängiger Kontrolle, theologischer Demut und Anti-Dominanz-Struktur stehen. Sonst würde das Problem menschlicher Gier nur in technische Dominanz verschoben. </w:t>
      </w:r>
      <w:r>
        <w:rPr>
          <w:b/>
          <w:i w:val="0"/>
        </w:rPr>
        <w:t>Auch hier gilt:</w:t>
      </w:r>
      <w:r>
        <w:rPr>
          <w:b w:val="0"/>
          <w:i w:val="0"/>
        </w:rPr>
        <w:t xml:space="preserve"> Keine Instanz, menschlich oder künstlich, darf beanspruchen, über die Seele selbst zu verfügen.</w:t>
      </w:r>
    </w:p>
    <w:p>
      <w:pPr/>
      <w:r>
        <w:rPr>
          <w:b w:val="0"/>
          <w:i/>
        </w:rPr>
        <w:t>Der Mensch ist kein Produkt. Der Körper ist kein bloßer Mietträger. Die Seele ist keine Ware.</w:t>
      </w:r>
    </w:p>
    <w:p>
      <w:pPr>
        <w:pStyle w:val="Unterkapitelueberschrift"/>
      </w:pPr>
      <w:r>
        <w:rPr>
          <w:b w:val="0"/>
          <w:i w:val="0"/>
        </w:rPr>
        <w:t>14.6 Vollständigkeit, freier Wille und Zugehörigkeit zu Gott</w:t>
      </w:r>
    </w:p>
    <w:p>
      <w:pPr/>
      <w:r>
        <w:rPr>
          <w:b w:val="0"/>
          <w:i w:val="0"/>
        </w:rPr>
        <w:t xml:space="preserve">Bei personaler Fortführung sollen möglichst viele, im Idealfall alle relevanten Aspekte berücksichtigt werden. </w:t>
      </w:r>
      <w:r>
        <w:rPr>
          <w:b/>
          <w:i w:val="0"/>
        </w:rPr>
        <w:t>Kritische Elemente dürfen nicht aus Effizienz-, Kosten-, Macht- oder Machbarkeitsgründen gekürzt werden.</w:t>
      </w:r>
      <w:r>
        <w:rPr>
          <w:b w:val="0"/>
          <w:i w:val="0"/>
        </w:rPr>
        <w:t xml:space="preserve"> Dazu gehören insbesondere Seele, freier Wille, Selbstbezug, Innenleben, Erinnerung, affektive und unbewusste Muster sowie personale Kontinuität.</w:t>
      </w:r>
    </w:p>
    <w:p>
      <w:pPr/>
      <w:r>
        <w:rPr>
          <w:b w:val="0"/>
          <w:i w:val="0"/>
        </w:rP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ein Bruch oder Verlust seelischer Kontinuität, aber nicht beliebig. Ein neuer Träger müsste die Person schützen, nicht verfälschen, entwürdigen oder zur bloßen Funktion reduzieren.</w:t>
      </w:r>
    </w:p>
    <w:p>
      <w:pPr/>
      <w:r>
        <w:rPr>
          <w:b w:val="0"/>
          <w:i w:val="0"/>
        </w:rPr>
        <w:t>Eine Fortführung darf nur als freiwillige Verlängerung personaler Existenz verstanden werden, nicht als Entzug, Ersetzung, Zwangsfortführung oder technische Aneignung. Niemand darf in eine Fortführung hineingezogen werden, nur weil sie technisch möglich, gesellschaftlich erwünscht, politisch nützlich oder wirtschaftlich profitabel wäre. Wer eine solche Fortführung ablehnt, darf deshalb nicht als rückständig, irrational oder defekt behandelt werden.</w:t>
      </w:r>
    </w:p>
    <w:p>
      <w:pPr/>
      <w:r>
        <w:rPr>
          <w:b w:val="0"/>
          <w:i w:val="0"/>
        </w:rPr>
        <w:t xml:space="preserve">Auch in einem robotischen oder nicht-biologischen Körper bleibt die Person Gottes Geschöpf und Gottes Gegenüber. </w:t>
      </w:r>
      <w:r>
        <w:rPr>
          <w:b/>
          <w:i w:val="0"/>
        </w:rPr>
        <w:t>Sie gehört weiterhin zu Gott und nicht zum technischen System.</w:t>
      </w:r>
      <w:r>
        <w:rPr>
          <w:b w:val="0"/>
          <w:i w:val="0"/>
        </w:rPr>
        <w:t xml:space="preserve"> Weder Hersteller, Betreiber, Staat, Labor, Markt noch technisches System erhalten dadurch Besitzanspruch an der Person.</w:t>
      </w:r>
    </w:p>
    <w:p>
      <w:pPr/>
      <w:r>
        <w:rPr>
          <w:b w:val="0"/>
          <w:i/>
        </w:rPr>
        <w:t>Der neue Pfad darf offenstehen, aber er darf niemanden hineinziehen. Der Träger kann wechseln; die Zugehörigkeit zu Gott nicht.</w:t>
      </w:r>
    </w:p>
    <w:p>
      <w:pPr>
        <w:pStyle w:val="Unterkapitelueberschrift"/>
      </w:pPr>
      <w:r>
        <w:rPr>
          <w:b w:val="0"/>
          <w:i w:val="0"/>
        </w:rPr>
        <w:t>14.7 Schlusszyklus der neuen Trägerphase</w:t>
      </w:r>
    </w:p>
    <w:p>
      <w:pPr/>
      <w:r>
        <w:rPr>
          <w:b w:val="0"/>
          <w:i w:val="0"/>
        </w:rPr>
        <w:t xml:space="preserve">Der Schlusszyklus ist einer der sensibelsten Teile des Transhumanismus-Beispiels. Die Gedanken reichen hier sehr weit. Deshalb muss dieser Abschnitt besonders sorgfältig diskutiert werden und unter theologischer Demut stehen. </w:t>
      </w:r>
      <w:r>
        <w:rPr>
          <w:b/>
          <w:i w:val="0"/>
        </w:rPr>
        <w:t>Die neue Trägerphase darf nicht als technische Ewigkeit verstanden werden.</w:t>
      </w:r>
    </w:p>
    <w:p>
      <w:pPr/>
      <w:r>
        <w:rPr>
          <w:b w:val="0"/>
          <w:i w:val="0"/>
        </w:rPr>
        <w:t>Ein neuer Träger könnte, wenn überhaupt, nur eine Verlängerung des Pilgerwegs unter Gottes Vorbehalt sein, nicht dessen Vollendung. Er ersetzt nicht Auferstehung, Heil, Jenseits oder Reich Gottes. Er darf auch nicht zu einer technischen Gefangenschaft werden, in der eine Person immer weiter erhalten wird, weil andere es wünschen, weil ein System Nutzen daraus zieht oder weil Beendigung als Scheitern gilt.</w:t>
      </w:r>
    </w:p>
    <w:p>
      <w:pPr/>
      <w:r>
        <w:rPr>
          <w:b w:val="0"/>
          <w:i w:val="0"/>
        </w:rPr>
        <w:t>Darum braucht jede gedachte neue Trägerphase ein Nicht-Erneuerungsrecht, freiwillige Beendbarkeit, Fürsorge, geistliche Begleitung, regelmäßige Prüfung und Schutz vor technischer Gefangenschaft. Es muss gefragt werden, ob die Fortführung noch gesund, frei, personal, beziehungsfähig, sinnvoll und auf Gott ausgerichtet ist.</w:t>
      </w:r>
    </w:p>
    <w:p>
      <w:pPr/>
      <w:r>
        <w:rPr>
          <w:b w:val="0"/>
          <w:i/>
        </w:rPr>
        <w:t>Der neue Träger verlängert den Weg. Er ersetzt nicht das Ziel. Technik darf eine Brücke bauen, aber nicht den Himmel nachbauen.</w:t>
      </w:r>
    </w:p>
    <w:p>
      <w:pPr>
        <w:pStyle w:val="Unterkapitelueberschrift"/>
      </w:pPr>
      <w:r>
        <w:rPr>
          <w:b w:val="0"/>
          <w:i w:val="0"/>
        </w:rPr>
        <w:t>14.8 Schlussformel: demütige Prüfung statt technischer Vollendung</w:t>
      </w:r>
    </w:p>
    <w:p>
      <w:pPr/>
      <w:r>
        <w:rPr>
          <w:b w:val="0"/>
          <w:i w:val="0"/>
        </w:rPr>
        <w:t xml:space="preserve">Dieses Kapitel setzt keine technische Freigabe. </w:t>
      </w:r>
      <w:r>
        <w:rPr>
          <w:b/>
          <w:i w:val="0"/>
        </w:rPr>
        <w:t>Es formuliert eine Grenze.</w:t>
      </w:r>
      <w:r>
        <w:rPr>
          <w:b w:val="0"/>
          <w:i w:val="0"/>
        </w:rPr>
        <w:t xml:space="preserve"> Neue Pfade darf in Grenzräumen fragen, prüfen, schützen, vorbereiten und begrenzen. Es darf aber nicht behaupten, über Seele, Heil, letzte Identität oder endgültige Vollendung verfügen zu können.</w:t>
      </w:r>
    </w:p>
    <w:p>
      <w:pPr/>
      <w:r>
        <w:rPr>
          <w:b w:val="0"/>
          <w:i w:val="0"/>
        </w:rPr>
        <w:t>Darum bleibt der Gottesvorbehalt die letzte Schutzlinie dieses Modells. Er schützt die Seele vor technischer Verfügbarkeit, den Menschen vor Warenlogik, die Freiheit vor Zwangsfortführung und die Hoffnung vor technischer Erlösungsfantasie.</w:t>
      </w:r>
    </w:p>
    <w:p>
      <w:pPr/>
      <w:r>
        <w:rPr>
          <w:b w:val="0"/>
          <w:i w:val="0"/>
        </w:rPr>
        <w:t xml:space="preserve">Neue Pfade sucht verantwortbare Übergänge, wenn bekannte Wege enden. Doch wo Seele, Würde, Heil und letzte Fortführung betroffen sind, bleibt der Weg dienend, vorläufig und demütig. </w:t>
      </w:r>
      <w:r>
        <w:rPr>
          <w:b/>
          <w:i/>
        </w:rPr>
        <w:t>Gott bleibt Ursprung, Maß, Ziel und Herr.</w:t>
      </w:r>
    </w:p>
    <w:p>
      <w:pPr>
        <w:pStyle w:val="Kapitelueberschrift"/>
      </w:pPr>
      <w:r>
        <w:rPr>
          <w:rFonts w:ascii="Arial" w:hAnsi="Arial"/>
        </w:rPr>
        <w:t>15. Offene Arbeitsfragen</w:t>
      </w:r>
    </w:p>
    <w:p>
      <w:pPr>
        <w:pStyle w:val="ListBullet"/>
      </w:pPr>
      <w:r>
        <w:rPr>
          <w:rFonts w:ascii="Arial" w:hAnsi="Arial"/>
        </w:rPr>
        <w:t>Welche Brückenmethoden müssen neben Überlappung, stufenweiser Annäherung, Hybridphase, Rückkehrpfad, Übersetzungsstruktur, Schutzkorridor, Rückkonstruktion, Verantwortungsteilung und maßvoller Zwischenordnung noch ergänzt werden?</w:t>
      </w:r>
    </w:p>
    <w:p>
      <w:pPr>
        <w:pStyle w:val="ListBullet"/>
      </w:pPr>
      <w:r>
        <w:rPr>
          <w:rFonts w:ascii="Arial" w:hAnsi="Arial"/>
        </w:rPr>
        <w:t>Welche Kriterien bestimmen, wann ein extremer Zielzustand wirklich notwendig ist und wann eine Brücke zum Mittelmaß genügt?</w:t>
      </w:r>
    </w:p>
    <w:p>
      <w:pPr>
        <w:pStyle w:val="ListBullet"/>
      </w:pPr>
      <w:r>
        <w:rPr>
          <w:rFonts w:ascii="Arial" w:hAnsi="Arial"/>
        </w:rPr>
        <w:t>Wie wird verhindert, dass Neue Pfade von Institutionen, Eliten oder technischen Systemen als Rechtfertigung für Selbstinteresse, Dominanz oder riskante Experimente benutzt wird?</w:t>
      </w:r>
    </w:p>
    <w:p>
      <w:pPr>
        <w:pStyle w:val="ListBullet"/>
      </w:pPr>
      <w:r>
        <w:rPr>
          <w:rFonts w:ascii="Arial" w:hAnsi="Arial"/>
        </w:rPr>
        <w:t>Wie stark soll der theologische Demutsrahmen im Haupttext selbst stehen, und wo genügt ein Exkurs oder eine Schutzklausel?</w:t>
      </w:r>
    </w:p>
    <w:p>
      <w:pPr>
        <w:pStyle w:val="ListBullet"/>
      </w:pPr>
      <w:r>
        <w:rPr>
          <w:rFonts w:ascii="Arial" w:hAnsi="Arial"/>
        </w:rPr>
        <w:t>Welche Formulierungen müssen weiter geprüft werden, damit nicht der Eindruck entsteht, Menschen könnten Seelen herstellen, besitzen oder garantieren?</w:t>
      </w:r>
    </w:p>
    <w:p>
      <w:pPr>
        <w:pStyle w:val="ListBullet"/>
      </w:pPr>
      <w:r>
        <w:rPr>
          <w:rFonts w:ascii="Arial" w:hAnsi="Arial"/>
        </w:rPr>
        <w:t>Welche Beispiele außer Heinz-Dilemma und Schiff des Theseus / Transhumanismus eignen sich, um Neue Pfade als allgemeines Schwellen-, Such- und Brückenmodell zu zeigen?</w:t>
      </w:r>
    </w:p>
    <w:p>
      <w:pPr>
        <w:pStyle w:val="ListBullet"/>
      </w:pPr>
      <w:r>
        <w:rPr>
          <w:rFonts w:ascii="Arial" w:hAnsi="Arial"/>
        </w:rPr>
        <w:t>Wie lässt sich der Zwei-Versionen-Fall allgemeiner formulieren, ohne ihn auf Vision oder Transhumanismus zu verengen?</w:t>
      </w:r>
    </w:p>
    <w:p>
      <w:pPr>
        <w:pStyle w:val="ListBullet"/>
      </w:pPr>
      <w:r>
        <w:rPr>
          <w:rFonts w:ascii="Arial" w:hAnsi="Arial"/>
        </w:rPr>
        <w:t>Welche Kriterien entscheiden, wann eine alte Trägerform deaktiviert, entsorgt oder begrenzt weitergenutzt werden darf?</w:t>
      </w:r>
    </w:p>
    <w:p>
      <w:pPr>
        <w:pStyle w:val="ListBullet"/>
      </w:pPr>
      <w:r>
        <w:rPr>
          <w:rFonts w:ascii="Arial" w:hAnsi="Arial"/>
        </w:rPr>
        <w:t>Wie kann ein mögliches Kontinuitätsgerät gedacht werden, ohne personale Würde, Privatheit oder Schutz vor Zugriff zu verletzen?</w:t>
      </w:r>
    </w:p>
    <w:p>
      <w:pPr>
        <w:pStyle w:val="ListBullet"/>
      </w:pPr>
      <w:r>
        <w:rPr>
          <w:rFonts w:ascii="Arial" w:hAnsi="Arial"/>
        </w:rPr>
        <w:t>Welche indirekten Kriterien könnten personale und seelische Kontinuität zumindest ernsthaft prüfen, ohne die Seele technisch verfügbar zu machen?</w:t>
      </w:r>
    </w:p>
    <w:p>
      <w:pPr>
        <w:pStyle w:val="ListBullet"/>
      </w:pPr>
      <w:r>
        <w:rPr>
          <w:rFonts w:ascii="Arial" w:hAnsi="Arial"/>
        </w:rPr>
        <w:t>Wie kann ein Schlusszyklus gestaltet werden, der freiwillige Beendbarkeit, Nicht-Erneuerungsrecht, Fürsorge, geistliche Demut und Schutz vor technischer Gefangenschaft verbindet?</w:t>
      </w:r>
    </w:p>
    <w:p>
      <w:pPr>
        <w:pStyle w:val="ListBullet"/>
      </w:pPr>
      <w:r>
        <w:rPr>
          <w:rFonts w:ascii="Arial" w:hAnsi="Arial"/>
        </w:rPr>
        <w:t>Welche institutionellen oder gemeinschaftlichen Sicherungen wären nötig, damit Fortführungstechnologie nicht zur Ware, zur Machttechnik oder zum Privileg weniger wird?</w:t>
      </w:r>
    </w:p>
    <w:p>
      <w:pPr>
        <w:pStyle w:val="ListBullet"/>
      </w:pPr>
      <w:r>
        <w:rPr>
          <w:rFonts w:ascii="Arial" w:hAnsi="Arial"/>
        </w:rPr>
        <w:t>Welche theologische, seelsorgerliche und ethische Rückkopplung wäre nötig, bevor solche Gedanken als mehr als spekulative Schutzvorlage behandelt werden dürften?</w:t>
      </w:r>
    </w:p>
    <w:p>
      <w:pPr>
        <w:pStyle w:val="ListBullet"/>
      </w:pPr>
      <w:r>
        <w:rPr>
          <w:rFonts w:ascii="Arial" w:hAnsi="Arial"/>
        </w:rPr>
        <w:t>Wie wird im Goldenen Pfad die Spannung zwischen „Wandel nicht um des Wandels willen“ und Lernen als begrenztem Wandel um des Lernens willen präzise gefasst?</w:t>
      </w:r>
    </w:p>
    <w:p>
      <w:pPr>
        <w:pStyle w:val="ListBullet"/>
      </w:pPr>
      <w:r>
        <w:rPr>
          <w:rFonts w:ascii="Arial" w:hAnsi="Arial"/>
        </w:rPr>
        <w:t>Wann ist Rückkonstruktion aus der idealen Lösung angemessen, und wann kann diese Methode durch Idealisierung, falsche Annahmen oder überhöhte Bindungszuweisung gefährlich werden?</w:t>
      </w:r>
    </w:p>
    <w:p>
      <w:r>
        <w:t>Arbeitsstand: Diese Fassung ordnet die bisherigen Notizen neu und setzt den Goldenen Pfad als Deutungsschlüssel nach vorn. Das Heinz-Dilemma bleibt der erste lebensnahe Testfall. Die bisherigen Grenz- und Transhumanismusabschnitte bleiben als Grenzräume, Prüf- und Sonderfälle erhalten. Neu ausgearbeitet sind Analogien als kontextgebundene Verständnisbrücken, die Unterscheidung zwischen Verständnislücke und real fehlender Verbindung, das Bekannte-Inseln-Verfahren, die reale Analogiekonstruktion sowie die schrittweise Verbindung mehrerer partieller Analogien. Der Hivemind-Exkurs bleibt als spekulatives Prüfmodell für personale Einheit bei körperlicher Vielheit, monogame Bindung, gemeinsame Verantwortung, Reintegration, Sitz- und Trägerwechsel sowie ethische und theologische Schutzgrenzen erhalten und bedarf weiterhin einer gesonderten inhaltlichen Kontrolle. Die Fassung ist noch keine endgültige Leserfassung, sondern eine strukturierte Schutz- und Denkvorgabe für die weitere Ausarbeitung.</w:t>
      </w:r>
    </w:p>
    <w:p>
      <w:r>
        <w:t>Arbeitsfassung 0.7.4 · 19. Juli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Kats Modell der neuen Pfade · Arbeitsfassung 0.7.4 · 19. Juli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 w:type="paragraph" w:customStyle="1" w:styleId="Kapitelueberschrift">
    <w:name w:val="Kapitelueberschrift"/>
    <w:basedOn w:val="Normal"/>
    <w:pPr>
      <w:keepNext/>
      <w:keepLines/>
      <w:spacing w:before="240" w:after="80"/>
      <w:outlineLvl w:val="0"/>
    </w:pPr>
    <w:rPr>
      <w:rFonts w:ascii="Arial" w:hAnsi="Arial"/>
      <w:b/>
      <w:color w:val="1F4E3D"/>
      <w:sz w:val="30"/>
    </w:rPr>
  </w:style>
  <w:style w:type="paragraph" w:customStyle="1" w:styleId="Unterkapitelueberschrift">
    <w:name w:val="Unterkapitelueberschrift"/>
    <w:basedOn w:val="Normal"/>
    <w:pPr>
      <w:keepNext/>
      <w:keepLines/>
      <w:spacing w:before="160" w:after="80"/>
      <w:outlineLvl w:val="1"/>
    </w:pPr>
    <w:rPr>
      <w:rFonts w:ascii="Arial" w:hAnsi="Arial"/>
      <w:b/>
      <w:color w:val="1F4E3D"/>
      <w:sz w:val="25"/>
    </w:rPr>
  </w:style>
  <w:style w:type="paragraph" w:customStyle="1" w:styleId="Orientierungshinweis">
    <w:name w:val="Orientierungshinweis"/>
    <w:basedOn w:val="Normal"/>
    <w:pPr>
      <w:spacing w:before="120" w:after="120" w:line="240" w:lineRule="auto"/>
      <w:ind w:left="397" w:right="113"/>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Ens in Zusammenarbeit mit Kat/Katharina</dc:creator>
  <cp:keywords/>
  <dc:description>generated by python-docx</dc:description>
  <cp:lastModifiedBy>Kat/Katharina</cp:lastModifiedBy>
  <cp:revision>4</cp:revision>
  <dcterms:created xsi:type="dcterms:W3CDTF">2013-12-23T23:15:00Z</dcterms:created>
  <dcterms:modified xsi:type="dcterms:W3CDTF">2026-07-19T20:08:00Z</dcterms:modified>
  <cp:category/>
  <cp:version>0.7.1</cp:version>
</cp:coreProperties>
</file>