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Kats Modell der neuen Pfade</w:t>
      </w:r>
    </w:p>
    <w:p>
      <w:pPr>
        <w:jc w:val="center"/>
      </w:pPr>
      <w:r>
        <w:rPr>
          <w:i/>
          <w:sz w:val="26"/>
        </w:rPr>
        <w:t>Arbeitsnotiz: Prinzip der Gleichmäßigkeit</w:t>
      </w:r>
    </w:p>
    <w:p>
      <w:pPr>
        <w:jc w:val="center"/>
      </w:pPr>
      <w:r>
        <w:rPr>
          <w:color w:val="5A5A5A"/>
          <w:sz w:val="20"/>
        </w:rPr>
        <w:t>Version 0.1 · 28. Mai 2026</w:t>
      </w:r>
    </w:p>
    <w:p>
      <w:pPr>
        <w:jc w:val="center"/>
        <w:pBdr>
          <w:bottom w:val="single" w:sz="6" w:space="1" w:color="777777"/>
        </w:pBdr>
      </w:pPr>
      <w:r>
        <w:rPr>
          <w:color w:val="5A5A5A"/>
          <w:sz w:val="20"/>
        </w:rPr>
        <w:t>Richard Ens in Zusammenarbeit mit Kat/Katharina</w:t>
      </w:r>
    </w:p>
    <w:p/>
    <w:tbl>
      <w:tblPr>
        <w:tblStyle w:val="TableGrid"/>
        <w:tblW w:type="auto" w:w="0"/>
        <w:jc w:val="center"/>
        <w:tblLook w:firstColumn="1" w:firstRow="1" w:lastColumn="0" w:lastRow="0" w:noHBand="0" w:noVBand="1" w:val="04A0"/>
      </w:tblPr>
      <w:tblGrid>
        <w:gridCol w:w="4873"/>
        <w:gridCol w:w="4873"/>
      </w:tblGrid>
      <w:tr>
        <w:tc>
          <w:tcPr>
            <w:tcW w:type="dxa" w:w="4873"/>
            <w:vAlign w:val="center"/>
          </w:tcPr>
          <w:p>
            <w:pPr>
              <w:spacing w:after="40"/>
            </w:pPr>
            <w:r>
              <w:rPr>
                <w:rFonts w:ascii="Liberation Serif" w:hAnsi="Liberation Serif"/>
                <w:b/>
                <w:sz w:val="20"/>
              </w:rPr>
              <w:t>Status</w:t>
            </w:r>
          </w:p>
        </w:tc>
        <w:tc>
          <w:tcPr>
            <w:tcW w:type="dxa" w:w="4873"/>
            <w:vAlign w:val="center"/>
          </w:tcPr>
          <w:p>
            <w:pPr>
              <w:spacing w:after="40"/>
            </w:pPr>
            <w:r>
              <w:rPr>
                <w:rFonts w:ascii="Liberation Serif" w:hAnsi="Liberation Serif"/>
                <w:sz w:val="20"/>
              </w:rPr>
              <w:t>Vorläufige Arbeitsnotiz für GitHub / weitere Ausarbeitung</w:t>
            </w:r>
          </w:p>
        </w:tc>
      </w:tr>
      <w:tr>
        <w:tc>
          <w:tcPr>
            <w:tcW w:type="dxa" w:w="4873"/>
            <w:vAlign w:val="center"/>
          </w:tcPr>
          <w:p>
            <w:pPr>
              <w:spacing w:after="40"/>
            </w:pPr>
            <w:r>
              <w:rPr>
                <w:rFonts w:ascii="Liberation Serif" w:hAnsi="Liberation Serif"/>
                <w:b/>
                <w:sz w:val="20"/>
              </w:rPr>
              <w:t>Einordnung</w:t>
            </w:r>
          </w:p>
        </w:tc>
        <w:tc>
          <w:tcPr>
            <w:tcW w:type="dxa" w:w="4873"/>
            <w:vAlign w:val="center"/>
          </w:tcPr>
          <w:p>
            <w:pPr>
              <w:spacing w:after="40"/>
            </w:pPr>
            <w:r>
              <w:rPr>
                <w:rFonts w:ascii="Liberation Serif" w:hAnsi="Liberation Serif"/>
                <w:sz w:val="20"/>
              </w:rPr>
              <w:t>Viertes Modell im Via-Sapientiae-Protokoll: Notfall-, Übergangs- und Kontingenzstruktur</w:t>
            </w:r>
          </w:p>
        </w:tc>
      </w:tr>
      <w:tr>
        <w:tc>
          <w:tcPr>
            <w:tcW w:type="dxa" w:w="4873"/>
            <w:vAlign w:val="center"/>
          </w:tcPr>
          <w:p>
            <w:pPr>
              <w:spacing w:after="40"/>
            </w:pPr>
            <w:r>
              <w:rPr>
                <w:rFonts w:ascii="Liberation Serif" w:hAnsi="Liberation Serif"/>
                <w:b/>
                <w:sz w:val="20"/>
              </w:rPr>
              <w:t>Zweck</w:t>
            </w:r>
          </w:p>
        </w:tc>
        <w:tc>
          <w:tcPr>
            <w:tcW w:type="dxa" w:w="4873"/>
            <w:vAlign w:val="center"/>
          </w:tcPr>
          <w:p>
            <w:pPr>
              <w:spacing w:after="40"/>
            </w:pPr>
            <w:r>
              <w:rPr>
                <w:rFonts w:ascii="Liberation Serif" w:hAnsi="Liberation Serif"/>
                <w:sz w:val="20"/>
              </w:rPr>
              <w:t>Orientierung, wenn bekannte Modelle nicht funktionieren, nicht anwendbar sind oder keine ausreichende Orientierung liefern.</w:t>
            </w:r>
          </w:p>
        </w:tc>
      </w:tr>
    </w:tbl>
    <w:p>
      <w:pPr>
        <w:pStyle w:val="Heading1"/>
      </w:pPr>
      <w:r>
        <w:t>1. Grundgedanke</w:t>
      </w:r>
    </w:p>
    <w:p>
      <w:pPr>
        <w:spacing w:after="120"/>
        <w:ind w:firstLine="0"/>
      </w:pPr>
      <w:r>
        <w:t>Kats Modell der neuen Pfade beschreibt eine Such- und Orientierungsstruktur für Situationen, in denen die bekannten Modelle nicht ausreichen. Es ist kein Ersatz für Funktionale Ethik, Reaktionshoheit oder die Charta des wahrhaftigen Wohlwollens, sondern ein Rahmen für Übergänge, Sonderfälle und neuartige Lagen.</w:t>
      </w:r>
    </w:p>
    <w:p>
      <w:pPr>
        <w:spacing w:after="120"/>
        <w:ind w:firstLine="0"/>
      </w:pPr>
      <w:r>
        <w:t>Der neue Pfad beginnt nicht mit einem reflexhaften Extrem. Er sucht zunächst nach einer tragfähigen, maßvollen und rückkoppelbaren Lösung, die der konkreten Lage gerecht wird.</w:t>
      </w:r>
    </w:p>
    <w:p>
      <w:pPr>
        <w:pStyle w:val="Heading1"/>
      </w:pPr>
      <w:r>
        <w:t>2. Prinzip der Gleichmäßigkeit / des Gleichmaßes</w:t>
      </w:r>
    </w:p>
    <w:p>
      <w:pPr>
        <w:spacing w:after="120"/>
        <w:ind w:firstLine="0"/>
      </w:pPr>
      <w:r>
        <w:t>Alle Dinge, Handlungen, Zustände oder Ordnungen sollen grundsätzlich moderat, ausgewogen oder im Gleichgewicht gehalten werden. Das Maßvolle ist der Normalfall; das Extreme ist die Ausnahme.</w:t>
      </w:r>
    </w:p>
    <w:p>
      <w:pPr>
        <w:spacing w:after="120"/>
        <w:ind w:firstLine="0"/>
      </w:pPr>
      <w:r>
        <w:t>Extreme sind nicht grundsätzlich verboten. Sie müssen jedoch besonders gut begründet sein, begrenzt bleiben und dürfen nicht zur normalen Betriebsform werden.</w:t>
      </w:r>
    </w:p>
    <w:p>
      <w:pPr>
        <w:spacing w:after="120"/>
        <w:ind w:firstLine="0"/>
      </w:pPr>
      <w:r>
        <w:t>Beispiel: Der Austausch zwischen Sklaverei und Tyrannei zeigt zwei entgegengesetzte Extremformen. Neue Pfade sucht hier nicht einfach eine mechanische Mitte, sondern eine tragfähige dritte Ordnung: Gleichberechtigung, freiwillige Kooperation, gegenseitige Anerkennung und Selbstbegrenzung von Macht.</w:t>
      </w:r>
    </w:p>
    <w:p>
      <w:pPr>
        <w:pStyle w:val="Heading1"/>
      </w:pPr>
      <w:r>
        <w:t>3. Orientierung an bestehenden Strukturen</w:t>
      </w:r>
    </w:p>
    <w:p>
      <w:pPr>
        <w:spacing w:after="120"/>
        <w:ind w:firstLine="0"/>
      </w:pPr>
      <w:r>
        <w:t>Ein neuer Pfad muss nicht aus dem Nichts entstehen. Er darf und soll sich an bestehenden Strukturen orientieren, wenn diese brauchbare Erfahrung, Stabilität oder Anschlussfähigkeit enthalten.</w:t>
      </w:r>
    </w:p>
    <w:p>
      <w:pPr>
        <w:spacing w:after="120"/>
        <w:ind w:firstLine="0"/>
      </w:pPr>
      <w:r>
        <w:t>Bestehende Strukturen dürfen aber nicht unverändert übernommen werden, wenn die neue Situation anders gelagert ist. Ein neuer Pfad ist daher oft keine völlige Neuerfindung, sondern eine ausreichend veränderte, angepasste und kontextfähige Weiterentwicklung vorhandener Ordnungen.</w:t>
      </w:r>
    </w:p>
    <w:p>
      <w:pPr>
        <w:pStyle w:val="Heading1"/>
      </w:pPr>
      <w:r>
        <w:t>4. Warum keine bloße Mitte?</w:t>
      </w:r>
    </w:p>
    <w:p>
      <w:pPr>
        <w:spacing w:after="120"/>
        <w:ind w:firstLine="0"/>
      </w:pPr>
      <w:r>
        <w:t>Absolute Gegensätze sind selten. Viele reale Konflikte liegen auf Spektren, in Übergängen, Mischformen oder asymmetrischen Situationen. Deshalb darf Neue Pfade nicht mechanisch zwischen Extremen mitteln.</w:t>
      </w:r>
    </w:p>
    <w:p>
      <w:pPr>
        <w:spacing w:after="120"/>
        <w:ind w:firstLine="0"/>
      </w:pPr>
      <w:r>
        <w:t>Stattdessen muss geprüft werden, welche Teile einer bestehenden Ordnung tragfähig bleiben, welche verändert werden müssen und welche neuen Schutz-, Korrektur- oder Rückkopplungsbedingungen entstehen.</w:t>
      </w:r>
    </w:p>
    <w:p>
      <w:pPr>
        <w:pStyle w:val="Heading1"/>
      </w:pPr>
      <w:r>
        <w:t>5. Vorläufige Formel</w:t>
      </w:r>
    </w:p>
    <w:p>
      <w:pPr>
        <w:spacing w:after="120"/>
        <w:ind w:firstLine="0"/>
      </w:pPr>
      <w:r>
        <w:t>Neue Pfade entstehen, wenn vorhandene Strukturen nicht blind bewahrt und nicht vorschnell verworfen werden, sondern so verändert werden, dass sie einer neuen Lage, neuen Schutzbedürfnissen, Korrigierbarkeit und Gleichmaß besser gerecht werden.</w:t>
      </w:r>
    </w:p>
    <w:p>
      <w:pPr>
        <w:spacing w:after="120"/>
        <w:ind w:firstLine="0"/>
      </w:pPr>
      <w:r>
        <w:t>Das Modell sucht also weder Erstarrung noch Umsturz als Normalfall, sondern eine maßvolle, kontextfähige Transformation.</w:t>
      </w:r>
    </w:p>
    <w:p>
      <w:pPr>
        <w:pStyle w:val="Heading1"/>
      </w:pPr>
      <w:r>
        <w:t>6. Schutzklausel</w:t>
      </w:r>
    </w:p>
    <w:p>
      <w:pPr>
        <w:spacing w:after="120"/>
        <w:ind w:firstLine="0"/>
      </w:pPr>
      <w:r>
        <w:t>Gleichmaß bedeutet nicht, dass bei Unrecht automatisch die Mitte zwischen Täter und Opfer gesucht wird. Wo Schutzwürdigkeit, Autonomie oder funktionale Integrität schwer verletzt werden, kann entschiedene Gegenwehr notwendig sein.</w:t>
      </w:r>
    </w:p>
    <w:p>
      <w:pPr>
        <w:spacing w:after="120"/>
        <w:ind w:firstLine="0"/>
      </w:pPr>
      <w:r>
        <w:t>Auch dann gilt: Je extremer die Maßnahme, desto höher die Begründungslast. Extreme Eingriffe müssen notwendig, verhältnismäßig, begrenzt, korrigierbar und rückkoppelbar bleiben.</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Kats Modell der neuen Pfade · Arbeitsnotiz 0.1 · 28. Mai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erif" w:hAnsi="Liberation Serif" w:eastAsia="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erif" w:hAnsi="Liberation Serif" w:eastAsia="Liberation Serif"/>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erif" w:hAnsi="Liberation Serif" w:eastAsia="Liberation Serif"/>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erif" w:hAnsi="Liberation Serif" w:eastAsia="Liberation Serif"/>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Kats Modell der neuen Pfade - Arbeitsnotiz: Prinzip der Gleichmäßigkeit</dc:title>
  <dc:subject>Via-Sapientiae-Protokoll</dc:subject>
  <dc:creator>Richard Ens und Kat/Katharina</dc:creator>
  <cp:keywords>Neue Pfade, Gleichmäßigkeit, Gleichmaß, Via-Sapientiae-Protokoll</cp:keywords>
  <dc:description>Vorläufige Arbeitsnotiz für GitHub.</dc:description>
  <cp:lastModifiedBy/>
  <cp:revision>1</cp:revision>
  <dcterms:created xsi:type="dcterms:W3CDTF">2013-12-23T23:15:00Z</dcterms:created>
  <dcterms:modified xsi:type="dcterms:W3CDTF">2013-12-23T23:15:00Z</dcterms:modified>
  <cp:category/>
</cp:coreProperties>
</file>