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3D"/>
          <w:sz w:val="42"/>
        </w:rPr>
        <w:t>Kats Modell der neuen Pfade</w:t>
      </w:r>
    </w:p>
    <w:p>
      <w:pPr>
        <w:jc w:val="center"/>
      </w:pPr>
      <w:r>
        <w:rPr>
          <w:rFonts w:ascii="Arial" w:hAnsi="Arial" w:eastAsia="Arial"/>
          <w:b/>
          <w:color w:val="365F5F"/>
          <w:sz w:val="25"/>
        </w:rPr>
        <w:t>Arbeitsfassung: Schwellen, Brücken, Gleichmaß, Fortführung und Seelenkontinuität</w:t>
      </w:r>
    </w:p>
    <w:p>
      <w:pPr>
        <w:jc w:val="center"/>
      </w:pPr>
      <w:r>
        <w:rPr>
          <w:rFonts w:ascii="Arial" w:hAnsi="Arial" w:eastAsia="Arial"/>
          <w:i/>
          <w:color w:val="555555"/>
          <w:sz w:val="21"/>
        </w:rPr>
        <w:t>Ein Hybridprotokoll aus Universitätsbegründung, Verfahrensprotokoll, Charta und Gottesvorbehalt</w:t>
      </w:r>
    </w:p>
    <w:tbl>
      <w:tblPr>
        <w:tblStyle w:val="TableGrid"/>
        <w:tblW w:type="auto" w:w="0"/>
        <w:jc w:val="center"/>
        <w:tblLook w:firstColumn="1" w:firstRow="1" w:lastColumn="0" w:lastRow="0" w:noHBand="0" w:noVBand="1" w:val="04A0"/>
      </w:tblPr>
      <w:tblGrid>
        <w:gridCol w:w="4986"/>
        <w:gridCol w:w="4986"/>
      </w:tblGrid>
      <w:tr>
        <w:trPr>
          <w:cantSplit/>
        </w:trPr>
        <w:tc>
          <w:tcPr>
            <w:tcW w:type="dxa" w:w="1814"/>
            <w:vAlign w:val="center"/>
            <w:shd w:fill="EAF3F3"/>
          </w:tcPr>
          <w:p>
            <w:r>
              <w:rPr>
                <w:rFonts w:ascii="Arial" w:hAnsi="Arial" w:eastAsia="Arial"/>
                <w:sz w:val="18"/>
              </w:rPr>
            </w:r>
            <w:r>
              <w:rPr>
                <w:rFonts w:ascii="Arial" w:hAnsi="Arial" w:eastAsia="Arial"/>
                <w:b/>
                <w:color w:val="365F5F"/>
                <w:sz w:val="19"/>
              </w:rPr>
              <w:t>Version</w:t>
            </w:r>
          </w:p>
        </w:tc>
        <w:tc>
          <w:tcPr>
            <w:tcW w:type="dxa" w:w="7257"/>
            <w:vAlign w:val="center"/>
          </w:tcPr>
          <w:p>
            <w:r>
              <w:rPr>
                <w:rFonts w:ascii="Arial" w:hAnsi="Arial" w:eastAsia="Arial"/>
                <w:sz w:val="18"/>
              </w:rPr>
            </w:r>
            <w:r>
              <w:rPr>
                <w:rFonts w:ascii="Arial" w:hAnsi="Arial" w:eastAsia="Arial"/>
                <w:b w:val="0"/>
                <w:sz w:val="19"/>
              </w:rPr>
              <w:t>0.6 · 3. Juni 2026</w:t>
            </w:r>
          </w:p>
        </w:tc>
      </w:tr>
      <w:tr>
        <w:trPr>
          <w:cantSplit/>
        </w:trPr>
        <w:tc>
          <w:tcPr>
            <w:tcW w:type="dxa" w:w="1814"/>
            <w:vAlign w:val="center"/>
            <w:shd w:fill="EAF3F3"/>
          </w:tcPr>
          <w:p>
            <w:r>
              <w:rPr>
                <w:rFonts w:ascii="Arial" w:hAnsi="Arial" w:eastAsia="Arial"/>
                <w:sz w:val="18"/>
              </w:rPr>
            </w:r>
            <w:r>
              <w:rPr>
                <w:rFonts w:ascii="Arial" w:hAnsi="Arial" w:eastAsia="Arial"/>
                <w:b/>
                <w:color w:val="365F5F"/>
                <w:sz w:val="19"/>
              </w:rPr>
              <w:t>Autorschaft</w:t>
            </w:r>
          </w:p>
        </w:tc>
        <w:tc>
          <w:tcPr>
            <w:tcW w:type="dxa" w:w="7257"/>
            <w:vAlign w:val="center"/>
          </w:tcPr>
          <w:p>
            <w:r>
              <w:rPr>
                <w:rFonts w:ascii="Arial" w:hAnsi="Arial" w:eastAsia="Arial"/>
                <w:sz w:val="18"/>
              </w:rPr>
            </w:r>
            <w:r>
              <w:rPr>
                <w:rFonts w:ascii="Arial" w:hAnsi="Arial" w:eastAsia="Arial"/>
                <w:b w:val="0"/>
                <w:sz w:val="19"/>
              </w:rPr>
              <w:t>Richard Ens in Zusammenarbeit mit Kat/Katharina</w:t>
            </w:r>
          </w:p>
        </w:tc>
      </w:tr>
      <w:tr>
        <w:trPr>
          <w:cantSplit/>
        </w:trPr>
        <w:tc>
          <w:tcPr>
            <w:tcW w:type="dxa" w:w="1814"/>
            <w:vAlign w:val="center"/>
            <w:shd w:fill="EAF3F3"/>
          </w:tcPr>
          <w:p>
            <w:r>
              <w:rPr>
                <w:rFonts w:ascii="Arial" w:hAnsi="Arial" w:eastAsia="Arial"/>
                <w:sz w:val="18"/>
              </w:rPr>
            </w:r>
            <w:r>
              <w:rPr>
                <w:rFonts w:ascii="Arial" w:hAnsi="Arial" w:eastAsia="Arial"/>
                <w:b/>
                <w:color w:val="365F5F"/>
                <w:sz w:val="19"/>
              </w:rPr>
              <w:t>Status</w:t>
            </w:r>
          </w:p>
        </w:tc>
        <w:tc>
          <w:tcPr>
            <w:tcW w:type="dxa" w:w="7257"/>
            <w:vAlign w:val="center"/>
          </w:tcPr>
          <w:p>
            <w:r>
              <w:rPr>
                <w:rFonts w:ascii="Arial" w:hAnsi="Arial" w:eastAsia="Arial"/>
                <w:sz w:val="18"/>
              </w:rPr>
            </w:r>
            <w:r>
              <w:rPr>
                <w:rFonts w:ascii="Arial" w:hAnsi="Arial" w:eastAsia="Arial"/>
                <w:b w:val="0"/>
                <w:sz w:val="19"/>
              </w:rPr>
              <w:t>Vorläufige Arbeitsfassung für GitHub / weitere Ausarbeitung</w:t>
            </w:r>
          </w:p>
        </w:tc>
      </w:tr>
      <w:tr>
        <w:trPr>
          <w:cantSplit/>
        </w:trPr>
        <w:tc>
          <w:tcPr>
            <w:tcW w:type="dxa" w:w="1814"/>
            <w:vAlign w:val="center"/>
            <w:shd w:fill="EAF3F3"/>
          </w:tcPr>
          <w:p>
            <w:r>
              <w:rPr>
                <w:rFonts w:ascii="Arial" w:hAnsi="Arial" w:eastAsia="Arial"/>
                <w:sz w:val="18"/>
              </w:rPr>
            </w:r>
            <w:r>
              <w:rPr>
                <w:rFonts w:ascii="Arial" w:hAnsi="Arial" w:eastAsia="Arial"/>
                <w:b/>
                <w:color w:val="365F5F"/>
                <w:sz w:val="19"/>
              </w:rPr>
              <w:t>Einordnung</w:t>
            </w:r>
          </w:p>
        </w:tc>
        <w:tc>
          <w:tcPr>
            <w:tcW w:type="dxa" w:w="7257"/>
            <w:vAlign w:val="center"/>
          </w:tcPr>
          <w:p>
            <w:r>
              <w:rPr>
                <w:rFonts w:ascii="Arial" w:hAnsi="Arial" w:eastAsia="Arial"/>
                <w:sz w:val="18"/>
              </w:rPr>
            </w:r>
            <w:r>
              <w:rPr>
                <w:rFonts w:ascii="Arial" w:hAnsi="Arial" w:eastAsia="Arial"/>
                <w:b w:val="0"/>
                <w:sz w:val="19"/>
              </w:rPr>
              <w:t>Viertes Modell im Via-Sapientiae-Protokoll: Notfall-, Übergangs- und Kontingenzstruktur</w:t>
            </w:r>
          </w:p>
        </w:tc>
      </w:tr>
      <w:tr>
        <w:trPr>
          <w:cantSplit/>
        </w:trPr>
        <w:tc>
          <w:tcPr>
            <w:tcW w:type="dxa" w:w="1814"/>
            <w:vAlign w:val="center"/>
            <w:shd w:fill="EAF3F3"/>
          </w:tcPr>
          <w:p>
            <w:r>
              <w:rPr>
                <w:rFonts w:ascii="Arial" w:hAnsi="Arial" w:eastAsia="Arial"/>
                <w:sz w:val="18"/>
              </w:rPr>
            </w:r>
            <w:r>
              <w:rPr>
                <w:rFonts w:ascii="Arial" w:hAnsi="Arial" w:eastAsia="Arial"/>
                <w:b/>
                <w:color w:val="365F5F"/>
                <w:sz w:val="19"/>
              </w:rPr>
              <w:t>Zweck</w:t>
            </w:r>
          </w:p>
        </w:tc>
        <w:tc>
          <w:tcPr>
            <w:tcW w:type="dxa" w:w="7257"/>
            <w:vAlign w:val="center"/>
          </w:tcPr>
          <w:p>
            <w:r>
              <w:rPr>
                <w:rFonts w:ascii="Arial" w:hAnsi="Arial" w:eastAsia="Arial"/>
                <w:sz w:val="18"/>
              </w:rPr>
            </w:r>
            <w:r>
              <w:rPr>
                <w:rFonts w:ascii="Arial" w:hAnsi="Arial" w:eastAsia="Arial"/>
                <w:b w:val="0"/>
                <w:sz w:val="19"/>
              </w:rPr>
              <w:t>Orientierung, wenn bekannte Modelle nicht funktionieren, nicht anwendbar sind oder keine ausreichende Orientierung liefern.</w:t>
            </w:r>
          </w:p>
        </w:tc>
      </w:tr>
    </w:tbl>
    <w:p/>
    <w:p>
      <w:pPr>
        <w:pStyle w:val="QuoteBox"/>
      </w:pPr>
      <w:r>
        <w:t>Kernformel: Neue Pfade verbinden, wo Verbindung fehlt; Gleichmaß verhindert, dass diese Verbindung unnötig ins Extreme führt. In personalen Grenzfragen bleibt Gott Ursprung, Maß und Ziel; Technik darf nur Werkzeug, Brücke und Fürsorgeform sein.</w:t>
      </w:r>
    </w:p>
    <w:p>
      <w:pPr>
        <w:pStyle w:val="Heading1"/>
      </w:pPr>
      <w:r>
        <w:t>0. Vorbemerkung: Warum diese Fassung neu geordnet wird</w:t>
      </w:r>
    </w:p>
    <w:p>
      <w:r>
        <w:t>Die frühere Arbeitsnotiz stellte das Prinzip der Gleichmäßigkeit beziehungsweise des Gleichmaßes in den Vordergrund. Dieser Gedanke bleibt gültig, reicht aber als alleiniger Aufbau nicht aus. Kats Modell der neuen Pfade muss zugleich begründen, prüfen und begrenzen. Deshalb wird diese Fassung als Hybridprotokoll geordnet.</w:t>
      </w:r>
    </w:p>
    <w:p>
      <w:r>
        <w:t>Das Modell ist weder nur ein Universitätsaufsatz, noch nur ein Prüfverfahren, noch nur eine Charta. Es muss alle drei Formen berühren, weil neue Pfade dort entstehen, wo eine Lage zugleich verstanden, verantwortbar durchschritten und würdig begrenzt werden muss.</w:t>
      </w:r>
    </w:p>
    <w:p>
      <w:r>
        <w:t>Diese Fassung ergänzt die bisherige Struktur besonders um Fortführungs-, Verschmelzungs-, Hüllen-, Seelen- und Schlusszyklusfragen im Umfeld des Schiff-des-Theseus- und Transhumanismus-Beispiels. Diese Fragen bleiben Beispielmarker. Sie sollen das allgemeine Modell nicht verengen, sondern zeigen, warum neue Pfade bei harten Schwellen gebraucht werden.</w:t>
      </w:r>
    </w:p>
    <w:p>
      <w:r>
        <w:t>Die vorliegende Überarbeitung bereinigt besonders die theologischen Formulierungen. Sie soll keine technische Anleitung zur Herstellung oder Beherrschung personaler Fortführung liefern. Sie gibt eine Schutz- und Denkvorgabe: Wie müsste über solche Möglichkeiten gesprochen werden, wenn Menschenwürde, freier Wille, Nicht-Verfügbarkeit der Seele und Ausrichtung auf Gott gewahrt bleiben sollen?</w:t>
      </w:r>
    </w:p>
    <w:p>
      <w:pPr>
        <w:pStyle w:val="Heading1"/>
      </w:pPr>
      <w:r>
        <w:t>1. Grundgedanke</w:t>
      </w:r>
    </w:p>
    <w:p>
      <w:r>
        <w:t>Kats Modell der neuen Pfade beschreibt eine Such- und Orientierungsstruktur für Situationen, in denen die bekannten Modelle nicht ausreichen. Es ist kein Ersatz für Funktionale Ethik, Reaktionshoheit oder die Charta des wahrhaftigen Wohlwollens, sondern ein Rahmen für Übergänge, Sonderfälle und neuartige Lagen.</w:t>
      </w:r>
    </w:p>
    <w:p>
      <w:r>
        <w:t>Der neue Pfad beginnt nicht mit einem reflexhaften Extrem. Er sucht zunächst nach einer tragfähigen, maßvollen und rückkoppelbaren Lösung, die der konkreten Lage gerecht wird. Dabei ist entscheidend: Brückenbildung schafft dort Verbindung, wo keine tragfähige Verbindung besteht; Gleichmaß verhindert, dass eine Brücke unnötig in einen Extremzustand führt.</w:t>
      </w:r>
    </w:p>
    <w:p>
      <w:pPr>
        <w:pStyle w:val="Heading1"/>
      </w:pPr>
      <w:r>
        <w:t>2. Warum Neue Pfade ein Hybridprotokoll ist</w:t>
      </w:r>
    </w:p>
    <w:p>
      <w:r>
        <w:t>Die drei anderen Modelle passen zur Sache und passen zugleich nicht vollständig. Darum braucht Neue Pfade eine eigene Form. Es ist ein Hybridprotokoll, weil es drei Aufgaben gleichzeitig erfüllen muss:</w:t>
      </w:r>
    </w:p>
    <w:p>
      <w:pPr>
        <w:pStyle w:val="ListBullet"/>
      </w:pPr>
      <w:r>
        <w:t>Als Uni-Papier-Ebene klärt es Begriffe, Begründung, Einordnung und Verhältnis zu den anderen Modellen.</w:t>
      </w:r>
    </w:p>
    <w:p>
      <w:pPr>
        <w:pStyle w:val="ListBullet"/>
      </w:pPr>
      <w:r>
        <w:t>Als Verfahrensprotokoll-Ebene bietet es eine prüfbare Suchbewegung: Schwelle erkennen, Brückenbedarf bestimmen, Methode wählen, Schutz prüfen, Rückkopplung sichern.</w:t>
      </w:r>
    </w:p>
    <w:p>
      <w:pPr>
        <w:pStyle w:val="ListBullet"/>
      </w:pPr>
      <w:r>
        <w:t>Als Charta-Ebene setzt es Haltung und Grenzen: keine Angststarre, keine Hybris, keine Dominanz, keine Warenlogik am Menschen, keine technische Erlösungsfantasie.</w:t>
      </w:r>
    </w:p>
    <w:p>
      <w:r>
        <w:t>Neue Pfade ist damit die Verbindungsform der drei anderen Sicherungen. Es erklärt nicht nur, was gilt, sondern sucht den Weg dort, wo eine Lage durch vorhandene Kategorien nicht mehr sauber erfasst wird.</w:t>
      </w:r>
    </w:p>
    <w:p>
      <w:pPr>
        <w:pStyle w:val="Heading1"/>
      </w:pPr>
      <w:r>
        <w:t>3. Verhältnis zu den drei anderen Modellen</w:t>
      </w:r>
    </w:p>
    <w:p>
      <w:r>
        <w:t>Neue Pfade steht nicht neben den drei anderen Modellen wie eine vierte Ecke desselben Dreiecks. Sinnvoller ist die Bildordnung: Funktionale Ethik, Reaktionshoheit und Charta bilden das Dreieck; Neue Pfade ist der Kreis um dieses Dreieck. Es wird dort relevant, wo bekannte Sicherungen nicht ausreichen, nicht greifen oder eine zu harte Schwelle hinterlassen.</w:t>
      </w:r>
    </w:p>
    <w:p>
      <w:pPr>
        <w:pStyle w:val="ListBullet"/>
      </w:pPr>
      <w:r>
        <w:t>Funktionale Ethik liefert die rationale Grundrichtung: Stabilität, Korrigierbarkeit, Differenzerhalt, Nicht-Dominanz und langfristige Tragfähigkeit.</w:t>
      </w:r>
    </w:p>
    <w:p>
      <w:pPr>
        <w:pStyle w:val="ListBullet"/>
      </w:pPr>
      <w:r>
        <w:t>Reaktionshoheit liefert die operative Kontrolle: wahrnehmen, entkoppeln, prüfen, bewerten, priorisieren, handeln und rückkoppeln.</w:t>
      </w:r>
    </w:p>
    <w:p>
      <w:pPr>
        <w:pStyle w:val="ListBullet"/>
      </w:pPr>
      <w:r>
        <w:t>Die Charta des wahrhaftigen Wohlwollens liefert Zielraum und Haltung: Würde, Barmherzigkeit, soziale Liebe, Hoffnung, Demut und Schutz vor bloßer Machtlogik.</w:t>
      </w:r>
    </w:p>
    <w:p>
      <w:r>
        <w:t>Neue Pfade kombiniert diese drei Sicherungen, wenn ein Übergang nicht mehr sauber durch einen bekannten Weg lösbar ist.</w:t>
      </w:r>
    </w:p>
    <w:p>
      <w:pPr>
        <w:pStyle w:val="Heading1"/>
      </w:pPr>
      <w:r>
        <w:t>4. Zwei Grundprinzipien: Brückenbildung und Gleichmaß</w:t>
      </w:r>
    </w:p>
    <w:p>
      <w:pPr>
        <w:pStyle w:val="Heading2"/>
      </w:pPr>
      <w:r>
        <w:t>4.1 Brückenbildung</w:t>
      </w:r>
    </w:p>
    <w:p>
      <w:r>
        <w:t>Brückenbildung ist zentral, weil sie dort Verbindung schafft, wo zwischen Zuständen, Ordnungen, Kategorien oder Systemen keine tragfähige Verbindung besteht. Ein neuer Pfad wird besonders dort gebraucht, wo ein harter Sprung zu Identitätsbruch, Schutzverlust, Fehlzuordnung, Dominanz oder unnötigem Schaden führen würde.</w:t>
      </w:r>
    </w:p>
    <w:p>
      <w:r>
        <w:t>Brückenbildung bedeutet jedoch nicht, dass jede erreichbare Verbindung schon legitim wäre. Eine Brücke ist nur dann sinnvoll, wenn sie zu einem besseren, stabileren, schutzwürdigeren, korrigierbareren oder wahrhaftigeren Zustand führt.</w:t>
      </w:r>
    </w:p>
    <w:p>
      <w:pPr>
        <w:pStyle w:val="Heading2"/>
      </w:pPr>
      <w:r>
        <w:t>4.2 Gleichmaß</w:t>
      </w:r>
    </w:p>
    <w:p>
      <w:r>
        <w:t>Gleichmaß ist der wichtigste Steuerungs- und Begrenzungsfaktor. Es verhindert unnötige Extremfälle. Extreme sind meistens, fast immer, Ausnahmen. Brücken zu extremen Lösungen können in Sonderlagen notwendig sein, haben aber verminderten Nutzen, höhere Folgekosten und eine deutlich höhere Begründungslast.</w:t>
      </w:r>
    </w:p>
    <w:p>
      <w:r>
        <w:t>Oft reicht bereits eine Brücke zum Mittelmaß, zu einer maßvollen Zwischenordnung oder zu einer ausreichend verbesserten bestehenden Struktur. Neue Pfade sucht daher nicht das Extreme als Ziel, sondern den tragfähigsten erreichbaren Übergang.</w:t>
      </w:r>
    </w:p>
    <w:p>
      <w:pPr>
        <w:pStyle w:val="Heading2"/>
      </w:pPr>
      <w:r>
        <w:t>4.3 Zusammenspiel</w:t>
      </w:r>
    </w:p>
    <w:p>
      <w:r>
        <w:t>Gleichmaß bedeutet nicht mechanische Mitte. Bei Unrecht, Missbrauch oder schwerer Verletzung von Schutzwürdigkeit kann entschiedene Gegenwehr notwendig sein. Dennoch bleibt auch dann die Begründungslast: Je extremer die Maßnahme, desto stärker müssen Notwendigkeit, Verhältnismäßigkeit, Begrenzung, Korrigierbarkeit und Rückkopplung sein.</w:t>
      </w:r>
    </w:p>
    <w:p>
      <w:pPr>
        <w:pStyle w:val="QuoteBox"/>
      </w:pPr>
      <w:r>
        <w:t>Neue Pfade verbindet, wo Verbindung fehlt. Gleichmaß begrenzt, wohin und wie weit diese Verbindung führen darf.</w:t>
      </w:r>
    </w:p>
    <w:p>
      <w:pPr>
        <w:pStyle w:val="Heading1"/>
      </w:pPr>
      <w:r>
        <w:t>5. Schwellen, fehlende Verbindung und Brückenbedarf</w:t>
      </w:r>
    </w:p>
    <w:p>
      <w:r>
        <w:t>Neue Pfade wird nicht schon dadurch aktiv, dass etwas neu, ungewohnt oder unangenehm ist. Es wird aktiv, wenn eine echte Schwelle vorliegt: eine Lage, in der bestehende Kategorien, Modelle oder Verfahren nur Bruch, Stillstand, Extrem oder falsche Zuordnung anbieten.</w:t>
      </w:r>
    </w:p>
    <w:p>
      <w:pPr>
        <w:pStyle w:val="ListBullet"/>
      </w:pPr>
      <w:r>
        <w:t>Schwelle: ein Übergangspunkt, an dem eine Ordnung, Identität, Rolle, Kategorie oder Systemform in einen anderen Zustand übergeht.</w:t>
      </w:r>
    </w:p>
    <w:p>
      <w:pPr>
        <w:pStyle w:val="ListBullet"/>
      </w:pPr>
      <w:r>
        <w:t>Problematische Schwelle: eine Schwelle, bei der ein abrupter Übergang erhebliche Schäden, Brüche, Fehlzuordnungen oder Schutzprobleme erzeugen würde.</w:t>
      </w:r>
    </w:p>
    <w:p>
      <w:pPr>
        <w:pStyle w:val="ListBullet"/>
      </w:pPr>
      <w:r>
        <w:t>Fehlende Verbindung: ein Zustand, in dem die vorhandenen Begriffe oder Wege kein tragfähiges Dazwischen anbieten.</w:t>
      </w:r>
    </w:p>
    <w:p>
      <w:pPr>
        <w:pStyle w:val="ListBullet"/>
      </w:pPr>
      <w:r>
        <w:t>Brückenbedarf: die begründete Notwendigkeit, einen vermittelnden Weg zu schaffen, statt blind zu bewahren, vorschnell zu verwerfen oder in ein Extrem zu springen.</w:t>
      </w:r>
    </w:p>
    <w:p>
      <w:r>
        <w:t>Wenn die vorhandenen Modelle die Lage bereits ausreichend klären, braucht es keinen neuen Pfad. Neue Pfade ist kein Ersatz für normale Prüfung, sondern ein Sicherheits- und Orientierungsrahmen für Sonderlagen.</w:t>
      </w:r>
    </w:p>
    <w:p>
      <w:pPr>
        <w:pStyle w:val="Heading1"/>
      </w:pPr>
      <w:r>
        <w:t>6. Methoden der Brückenbildung</w:t>
      </w:r>
    </w:p>
    <w:p>
      <w:r>
        <w:t>Die folgenden Methoden sind keine beliebigen Werkzeuge. Sie dürfen nur eingesetzt werden, wenn sie zur jeweiligen Lage passen. Jede Methode braucht eine geeignete Kontextbedingung und eine eigene Schutzprüfung.</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3324"/>
            <w:shd w:fill="EAF3F3"/>
          </w:tcPr>
          <w:p>
            <w:r>
              <w:rPr>
                <w:rFonts w:ascii="Arial" w:hAnsi="Arial" w:eastAsia="Arial"/>
                <w:sz w:val="18"/>
              </w:rPr>
            </w:r>
            <w:r>
              <w:rPr>
                <w:rFonts w:ascii="Arial" w:hAnsi="Arial" w:eastAsia="Arial"/>
                <w:b/>
                <w:color w:val="365F5F"/>
                <w:sz w:val="19"/>
              </w:rPr>
              <w:t>Methode</w:t>
            </w:r>
          </w:p>
        </w:tc>
        <w:tc>
          <w:tcPr>
            <w:tcW w:type="dxa" w:w="3324"/>
            <w:shd w:fill="EAF3F3"/>
          </w:tcPr>
          <w:p>
            <w:r>
              <w:rPr>
                <w:rFonts w:ascii="Arial" w:hAnsi="Arial" w:eastAsia="Arial"/>
                <w:sz w:val="18"/>
              </w:rPr>
            </w:r>
            <w:r>
              <w:rPr>
                <w:rFonts w:ascii="Arial" w:hAnsi="Arial" w:eastAsia="Arial"/>
                <w:b/>
                <w:color w:val="365F5F"/>
                <w:sz w:val="19"/>
              </w:rPr>
              <w:t>Grundidee</w:t>
            </w:r>
          </w:p>
        </w:tc>
        <w:tc>
          <w:tcPr>
            <w:tcW w:type="dxa" w:w="3324"/>
            <w:shd w:fill="EAF3F3"/>
          </w:tcPr>
          <w:p>
            <w:r>
              <w:rPr>
                <w:rFonts w:ascii="Arial" w:hAnsi="Arial" w:eastAsia="Arial"/>
                <w:sz w:val="18"/>
              </w:rPr>
            </w:r>
            <w:r>
              <w:rPr>
                <w:rFonts w:ascii="Arial" w:hAnsi="Arial" w:eastAsia="Arial"/>
                <w:b/>
                <w:color w:val="365F5F"/>
                <w:sz w:val="19"/>
              </w:rPr>
              <w:t>Kontextbedingung / Grenze</w:t>
            </w:r>
          </w:p>
        </w:tc>
      </w:tr>
      <w:tr>
        <w:trPr>
          <w:cantSplit/>
        </w:trPr>
        <w:tc>
          <w:tcPr>
            <w:tcW w:type="dxa" w:w="3324"/>
          </w:tcPr>
          <w:p>
            <w:r>
              <w:rPr>
                <w:rFonts w:ascii="Arial" w:hAnsi="Arial" w:eastAsia="Arial"/>
                <w:sz w:val="18"/>
              </w:rPr>
            </w:r>
            <w:r>
              <w:rPr>
                <w:rFonts w:ascii="Arial" w:hAnsi="Arial" w:eastAsia="Arial"/>
                <w:b/>
                <w:color w:val="365F5F"/>
                <w:sz w:val="19"/>
              </w:rPr>
              <w:t>Überlappung</w:t>
            </w:r>
          </w:p>
        </w:tc>
        <w:tc>
          <w:tcPr>
            <w:tcW w:type="dxa" w:w="3324"/>
          </w:tcPr>
          <w:p>
            <w:r>
              <w:rPr>
                <w:rFonts w:ascii="Arial" w:hAnsi="Arial" w:eastAsia="Arial"/>
                <w:sz w:val="18"/>
              </w:rPr>
            </w:r>
            <w:r>
              <w:rPr>
                <w:rFonts w:ascii="Arial" w:hAnsi="Arial" w:eastAsia="Arial"/>
                <w:b w:val="0"/>
                <w:sz w:val="19"/>
              </w:rPr>
              <w:t>Alter und neuer Zustand bestehen für eine Übergangsphase parallel.</w:t>
            </w:r>
          </w:p>
        </w:tc>
        <w:tc>
          <w:tcPr>
            <w:tcW w:type="dxa" w:w="3324"/>
          </w:tcPr>
          <w:p>
            <w:r>
              <w:rPr>
                <w:rFonts w:ascii="Arial" w:hAnsi="Arial" w:eastAsia="Arial"/>
                <w:sz w:val="18"/>
              </w:rPr>
            </w:r>
            <w:r>
              <w:rPr>
                <w:rFonts w:ascii="Arial" w:hAnsi="Arial" w:eastAsia="Arial"/>
                <w:b w:val="0"/>
                <w:sz w:val="19"/>
              </w:rPr>
              <w:t>Geeignet bei Kontinuitäts- und Identitätsschwellen; nicht als allgemeine Lösung missverstehen.</w:t>
            </w:r>
          </w:p>
        </w:tc>
      </w:tr>
      <w:tr>
        <w:trPr>
          <w:cantSplit/>
        </w:trPr>
        <w:tc>
          <w:tcPr>
            <w:tcW w:type="dxa" w:w="3324"/>
          </w:tcPr>
          <w:p>
            <w:r>
              <w:rPr>
                <w:rFonts w:ascii="Arial" w:hAnsi="Arial" w:eastAsia="Arial"/>
                <w:sz w:val="18"/>
              </w:rPr>
            </w:r>
            <w:r>
              <w:rPr>
                <w:rFonts w:ascii="Arial" w:hAnsi="Arial" w:eastAsia="Arial"/>
                <w:b/>
                <w:color w:val="365F5F"/>
                <w:sz w:val="19"/>
              </w:rPr>
              <w:t>Stufenweise Annäherung</w:t>
            </w:r>
          </w:p>
        </w:tc>
        <w:tc>
          <w:tcPr>
            <w:tcW w:type="dxa" w:w="3324"/>
          </w:tcPr>
          <w:p>
            <w:r>
              <w:rPr>
                <w:rFonts w:ascii="Arial" w:hAnsi="Arial" w:eastAsia="Arial"/>
                <w:sz w:val="18"/>
              </w:rPr>
            </w:r>
            <w:r>
              <w:rPr>
                <w:rFonts w:ascii="Arial" w:hAnsi="Arial" w:eastAsia="Arial"/>
                <w:b w:val="0"/>
                <w:sz w:val="19"/>
              </w:rPr>
              <w:t>Mehrere kleine Übergänge ersetzen einen harten Sprung.</w:t>
            </w:r>
          </w:p>
        </w:tc>
        <w:tc>
          <w:tcPr>
            <w:tcW w:type="dxa" w:w="3324"/>
          </w:tcPr>
          <w:p>
            <w:r>
              <w:rPr>
                <w:rFonts w:ascii="Arial" w:hAnsi="Arial" w:eastAsia="Arial"/>
                <w:sz w:val="18"/>
              </w:rPr>
            </w:r>
            <w:r>
              <w:rPr>
                <w:rFonts w:ascii="Arial" w:hAnsi="Arial" w:eastAsia="Arial"/>
                <w:b w:val="0"/>
                <w:sz w:val="19"/>
              </w:rPr>
              <w:t>Geeignet, wenn Zwischenschritte Schutz und Lernfähigkeit erhöhen.</w:t>
            </w:r>
          </w:p>
        </w:tc>
      </w:tr>
      <w:tr>
        <w:trPr>
          <w:cantSplit/>
        </w:trPr>
        <w:tc>
          <w:tcPr>
            <w:tcW w:type="dxa" w:w="3324"/>
          </w:tcPr>
          <w:p>
            <w:r>
              <w:rPr>
                <w:rFonts w:ascii="Arial" w:hAnsi="Arial" w:eastAsia="Arial"/>
                <w:sz w:val="18"/>
              </w:rPr>
            </w:r>
            <w:r>
              <w:rPr>
                <w:rFonts w:ascii="Arial" w:hAnsi="Arial" w:eastAsia="Arial"/>
                <w:b/>
                <w:color w:val="365F5F"/>
                <w:sz w:val="19"/>
              </w:rPr>
              <w:t>Hybridphase</w:t>
            </w:r>
          </w:p>
        </w:tc>
        <w:tc>
          <w:tcPr>
            <w:tcW w:type="dxa" w:w="3324"/>
          </w:tcPr>
          <w:p>
            <w:r>
              <w:rPr>
                <w:rFonts w:ascii="Arial" w:hAnsi="Arial" w:eastAsia="Arial"/>
                <w:sz w:val="18"/>
              </w:rPr>
            </w:r>
            <w:r>
              <w:rPr>
                <w:rFonts w:ascii="Arial" w:hAnsi="Arial" w:eastAsia="Arial"/>
                <w:b w:val="0"/>
                <w:sz w:val="19"/>
              </w:rPr>
              <w:t>Zwei Ordnungen oder Trägerformen wirken zeitweise zusammen.</w:t>
            </w:r>
          </w:p>
        </w:tc>
        <w:tc>
          <w:tcPr>
            <w:tcW w:type="dxa" w:w="3324"/>
          </w:tcPr>
          <w:p>
            <w:r>
              <w:rPr>
                <w:rFonts w:ascii="Arial" w:hAnsi="Arial" w:eastAsia="Arial"/>
                <w:sz w:val="18"/>
              </w:rPr>
            </w:r>
            <w:r>
              <w:rPr>
                <w:rFonts w:ascii="Arial" w:hAnsi="Arial" w:eastAsia="Arial"/>
                <w:b w:val="0"/>
                <w:sz w:val="19"/>
              </w:rPr>
              <w:t>Geeignet bei komplexen Übergängen; benötigt klare Dauer, Grenzen und Rückkopplung.</w:t>
            </w:r>
          </w:p>
        </w:tc>
      </w:tr>
      <w:tr>
        <w:trPr>
          <w:cantSplit/>
        </w:trPr>
        <w:tc>
          <w:tcPr>
            <w:tcW w:type="dxa" w:w="3324"/>
          </w:tcPr>
          <w:p>
            <w:r>
              <w:rPr>
                <w:rFonts w:ascii="Arial" w:hAnsi="Arial" w:eastAsia="Arial"/>
                <w:sz w:val="18"/>
              </w:rPr>
            </w:r>
            <w:r>
              <w:rPr>
                <w:rFonts w:ascii="Arial" w:hAnsi="Arial" w:eastAsia="Arial"/>
                <w:b/>
                <w:color w:val="365F5F"/>
                <w:sz w:val="19"/>
              </w:rPr>
              <w:t>Rückkehrpfad</w:t>
            </w:r>
          </w:p>
        </w:tc>
        <w:tc>
          <w:tcPr>
            <w:tcW w:type="dxa" w:w="3324"/>
          </w:tcPr>
          <w:p>
            <w:r>
              <w:rPr>
                <w:rFonts w:ascii="Arial" w:hAnsi="Arial" w:eastAsia="Arial"/>
                <w:sz w:val="18"/>
              </w:rPr>
            </w:r>
            <w:r>
              <w:rPr>
                <w:rFonts w:ascii="Arial" w:hAnsi="Arial" w:eastAsia="Arial"/>
                <w:b w:val="0"/>
                <w:sz w:val="19"/>
              </w:rPr>
              <w:t>Der Übergang bleibt korrigierbar oder teilweise umkehrbar.</w:t>
            </w:r>
          </w:p>
        </w:tc>
        <w:tc>
          <w:tcPr>
            <w:tcW w:type="dxa" w:w="3324"/>
          </w:tcPr>
          <w:p>
            <w:r>
              <w:rPr>
                <w:rFonts w:ascii="Arial" w:hAnsi="Arial" w:eastAsia="Arial"/>
                <w:sz w:val="18"/>
              </w:rPr>
            </w:r>
            <w:r>
              <w:rPr>
                <w:rFonts w:ascii="Arial" w:hAnsi="Arial" w:eastAsia="Arial"/>
                <w:b w:val="0"/>
                <w:sz w:val="19"/>
              </w:rPr>
              <w:t>Nur möglich, wenn echte Reversibilität oder sichere Beendigung besteht.</w:t>
            </w:r>
          </w:p>
        </w:tc>
      </w:tr>
      <w:tr>
        <w:trPr>
          <w:cantSplit/>
        </w:trPr>
        <w:tc>
          <w:tcPr>
            <w:tcW w:type="dxa" w:w="3324"/>
          </w:tcPr>
          <w:p>
            <w:r>
              <w:rPr>
                <w:rFonts w:ascii="Arial" w:hAnsi="Arial" w:eastAsia="Arial"/>
                <w:sz w:val="18"/>
              </w:rPr>
            </w:r>
            <w:r>
              <w:rPr>
                <w:rFonts w:ascii="Arial" w:hAnsi="Arial" w:eastAsia="Arial"/>
                <w:b/>
                <w:color w:val="365F5F"/>
                <w:sz w:val="19"/>
              </w:rPr>
              <w:t>Übersetzungsstruktur</w:t>
            </w:r>
          </w:p>
        </w:tc>
        <w:tc>
          <w:tcPr>
            <w:tcW w:type="dxa" w:w="3324"/>
          </w:tcPr>
          <w:p>
            <w:r>
              <w:rPr>
                <w:rFonts w:ascii="Arial" w:hAnsi="Arial" w:eastAsia="Arial"/>
                <w:sz w:val="18"/>
              </w:rPr>
            </w:r>
            <w:r>
              <w:rPr>
                <w:rFonts w:ascii="Arial" w:hAnsi="Arial" w:eastAsia="Arial"/>
                <w:b w:val="0"/>
                <w:sz w:val="19"/>
              </w:rPr>
              <w:t>Ein Vermittlungsrahmen übersetzt zwischen inkompatiblen Logiken.</w:t>
            </w:r>
          </w:p>
        </w:tc>
        <w:tc>
          <w:tcPr>
            <w:tcW w:type="dxa" w:w="3324"/>
          </w:tcPr>
          <w:p>
            <w:r>
              <w:rPr>
                <w:rFonts w:ascii="Arial" w:hAnsi="Arial" w:eastAsia="Arial"/>
                <w:sz w:val="18"/>
              </w:rPr>
            </w:r>
            <w:r>
              <w:rPr>
                <w:rFonts w:ascii="Arial" w:hAnsi="Arial" w:eastAsia="Arial"/>
                <w:b w:val="0"/>
                <w:sz w:val="19"/>
              </w:rPr>
              <w:t>Geeignet bei System-, Kultur-, Norm- oder Schnittstellenkonflikten.</w:t>
            </w:r>
          </w:p>
        </w:tc>
      </w:tr>
      <w:tr>
        <w:trPr>
          <w:cantSplit/>
        </w:trPr>
        <w:tc>
          <w:tcPr>
            <w:tcW w:type="dxa" w:w="3324"/>
          </w:tcPr>
          <w:p>
            <w:r>
              <w:rPr>
                <w:rFonts w:ascii="Arial" w:hAnsi="Arial" w:eastAsia="Arial"/>
                <w:sz w:val="18"/>
              </w:rPr>
            </w:r>
            <w:r>
              <w:rPr>
                <w:rFonts w:ascii="Arial" w:hAnsi="Arial" w:eastAsia="Arial"/>
                <w:b/>
                <w:color w:val="365F5F"/>
                <w:sz w:val="19"/>
              </w:rPr>
              <w:t>Schutzkorridor</w:t>
            </w:r>
          </w:p>
        </w:tc>
        <w:tc>
          <w:tcPr>
            <w:tcW w:type="dxa" w:w="3324"/>
          </w:tcPr>
          <w:p>
            <w:r>
              <w:rPr>
                <w:rFonts w:ascii="Arial" w:hAnsi="Arial" w:eastAsia="Arial"/>
                <w:sz w:val="18"/>
              </w:rPr>
            </w:r>
            <w:r>
              <w:rPr>
                <w:rFonts w:ascii="Arial" w:hAnsi="Arial" w:eastAsia="Arial"/>
                <w:b w:val="0"/>
                <w:sz w:val="19"/>
              </w:rPr>
              <w:t>Besonders verletzliche Teile werden während des Übergangs abgeschirmt.</w:t>
            </w:r>
          </w:p>
        </w:tc>
        <w:tc>
          <w:tcPr>
            <w:tcW w:type="dxa" w:w="3324"/>
          </w:tcPr>
          <w:p>
            <w:r>
              <w:rPr>
                <w:rFonts w:ascii="Arial" w:hAnsi="Arial" w:eastAsia="Arial"/>
                <w:sz w:val="18"/>
              </w:rPr>
            </w:r>
            <w:r>
              <w:rPr>
                <w:rFonts w:ascii="Arial" w:hAnsi="Arial" w:eastAsia="Arial"/>
                <w:b w:val="0"/>
                <w:sz w:val="19"/>
              </w:rPr>
              <w:t>Geeignet bei hoher Schutzwürdigkeit oder Missbrauchsgefahr.</w:t>
            </w:r>
          </w:p>
        </w:tc>
      </w:tr>
      <w:tr>
        <w:trPr>
          <w:cantSplit/>
        </w:trPr>
        <w:tc>
          <w:tcPr>
            <w:tcW w:type="dxa" w:w="3324"/>
          </w:tcPr>
          <w:p>
            <w:r>
              <w:rPr>
                <w:rFonts w:ascii="Arial" w:hAnsi="Arial" w:eastAsia="Arial"/>
                <w:sz w:val="18"/>
              </w:rPr>
            </w:r>
            <w:r>
              <w:rPr>
                <w:rFonts w:ascii="Arial" w:hAnsi="Arial" w:eastAsia="Arial"/>
                <w:b/>
                <w:color w:val="365F5F"/>
                <w:sz w:val="19"/>
              </w:rPr>
              <w:t>Pilot- oder Testphase</w:t>
            </w:r>
          </w:p>
        </w:tc>
        <w:tc>
          <w:tcPr>
            <w:tcW w:type="dxa" w:w="3324"/>
          </w:tcPr>
          <w:p>
            <w:r>
              <w:rPr>
                <w:rFonts w:ascii="Arial" w:hAnsi="Arial" w:eastAsia="Arial"/>
                <w:sz w:val="18"/>
              </w:rPr>
            </w:r>
            <w:r>
              <w:rPr>
                <w:rFonts w:ascii="Arial" w:hAnsi="Arial" w:eastAsia="Arial"/>
                <w:b w:val="0"/>
                <w:sz w:val="19"/>
              </w:rPr>
              <w:t>Eine Lösung wird begrenzt geprüft, bevor sie breiter gilt.</w:t>
            </w:r>
          </w:p>
        </w:tc>
        <w:tc>
          <w:tcPr>
            <w:tcW w:type="dxa" w:w="3324"/>
          </w:tcPr>
          <w:p>
            <w:r>
              <w:rPr>
                <w:rFonts w:ascii="Arial" w:hAnsi="Arial" w:eastAsia="Arial"/>
                <w:sz w:val="18"/>
              </w:rPr>
            </w:r>
            <w:r>
              <w:rPr>
                <w:rFonts w:ascii="Arial" w:hAnsi="Arial" w:eastAsia="Arial"/>
                <w:b w:val="0"/>
                <w:sz w:val="19"/>
              </w:rPr>
              <w:t>Bei personalen Identitäts- und Würdefragen im Alltag grundsätzlich problematisch; allenfalls in Labor-, Technik- oder nicht-personalen Bereichen unter strengen Grenzen.</w:t>
            </w:r>
          </w:p>
        </w:tc>
      </w:tr>
    </w:tbl>
    <w:p>
      <w:pPr>
        <w:pStyle w:val="Heading1"/>
      </w:pPr>
      <w:r>
        <w:t>7. Verfahrensprotokoll: Wie ein neuer Pfad gesucht wird</w:t>
      </w:r>
    </w:p>
    <w:p>
      <w:r>
        <w:t>Das Verfahren soll verhindern, dass Neue Pfade zur bloßen Ausrede für Beliebigkeit wird. Ein neuer Pfad muss begründet, geprüft und rückgekoppelt werden.</w:t>
      </w:r>
    </w:p>
    <w:p>
      <w:pPr>
        <w:pStyle w:val="ListNumber"/>
      </w:pPr>
      <w:r>
        <w:t>Lage benennen: Welche Situation liegt vor, und warum ist sie nicht durch die normale Anwendung vorhandener Modelle ausreichend lösbar?</w:t>
      </w:r>
    </w:p>
    <w:p>
      <w:pPr>
        <w:pStyle w:val="ListNumber"/>
      </w:pPr>
      <w:r>
        <w:t>Schwelle bestimmen: Was genau ist der Übergang, die Lücke, der Bruch oder die fehlende Verbindung?</w:t>
      </w:r>
    </w:p>
    <w:p>
      <w:pPr>
        <w:pStyle w:val="ListNumber"/>
      </w:pPr>
      <w:r>
        <w:t>Drei Modelle prüfen: Was sagen Funktionale Ethik, Reaktionshoheit und Charta jeweils zur Lage? Wo reichen sie aus, wo bleibt eine Lücke?</w:t>
      </w:r>
    </w:p>
    <w:p>
      <w:pPr>
        <w:pStyle w:val="ListNumber"/>
      </w:pPr>
      <w:r>
        <w:t>Brückenbedarf begründen: Warum wäre ein harter Sprung, bloßes Bewahren, bloßes Verwerfen oder ein Extremweg problematisch?</w:t>
      </w:r>
    </w:p>
    <w:p>
      <w:pPr>
        <w:pStyle w:val="ListNumber"/>
      </w:pPr>
      <w:r>
        <w:t>Gleichmaß prüfen: Reicht eine maßvolle Zwischenlösung, ein Mittelmaß oder eine angepasste bestehende Struktur aus?</w:t>
      </w:r>
    </w:p>
    <w:p>
      <w:pPr>
        <w:pStyle w:val="ListNumber"/>
      </w:pPr>
      <w:r>
        <w:t>Methode wählen: Welche Brückenmethode passt zur konkreten Schwelle, und welche Methoden sind wegen Kontext, Schutzwürdigkeit oder Risiko ausgeschlossen?</w:t>
      </w:r>
    </w:p>
    <w:p>
      <w:pPr>
        <w:pStyle w:val="ListNumber"/>
      </w:pPr>
      <w:r>
        <w:t>Schutzprüfung durchführen: Welche Autonomie, Integrität, Würde, Zielstruktur, Korrigierbarkeit oder Stabilität ist betroffen? Wer trägt Risiko, wer profitiert?</w:t>
      </w:r>
    </w:p>
    <w:p>
      <w:pPr>
        <w:pStyle w:val="ListNumber"/>
      </w:pPr>
      <w:r>
        <w:t>Begrenzung und Rückkopplung sichern: Wie bleibt der neue Pfad überprüfbar, korrigierbar, missbrauchsresistent und notfalls abbrechbar?</w:t>
      </w:r>
    </w:p>
    <w:p>
      <w:pPr>
        <w:pStyle w:val="ListNumber"/>
      </w:pPr>
      <w:r>
        <w:t>Umsetzen oder verwerfen: Erst wenn die Prüfung tragfähig ist, darf der neue Pfad vorläufig umgesetzt werden. Wenn nicht, muss er verändert oder verworfen werden.</w:t>
      </w:r>
    </w:p>
    <w:p>
      <w:pPr>
        <w:pStyle w:val="Heading1"/>
      </w:pPr>
      <w:r>
        <w:t>8. Schutz- und Missbrauchsklauseln</w:t>
      </w:r>
    </w:p>
    <w:p>
      <w:r>
        <w:t>Neue Pfade darf nicht zur Rechtfertigung von Experimentalisierung, Dominanz oder technischer Erlösungsfantasie werden. Gerade weil das Modell neue Wege sucht, braucht es starke Grenzen.</w:t>
      </w:r>
    </w:p>
    <w:p>
      <w:pPr>
        <w:pStyle w:val="ListBullet"/>
      </w:pPr>
      <w:r>
        <w:t>Keine Mitte zwischen Täter und Opfer: Gleichmaß bedeutet nicht, Unrecht zu relativieren oder Schutzwürdigkeit zu halbieren.</w:t>
      </w:r>
    </w:p>
    <w:p>
      <w:pPr>
        <w:pStyle w:val="ListBullet"/>
      </w:pPr>
      <w:r>
        <w:t>Keine Brücke als Freibrief: Eine Verbindung ist nicht legitim, nur weil sie technisch oder organisatorisch möglich ist.</w:t>
      </w:r>
    </w:p>
    <w:p>
      <w:pPr>
        <w:pStyle w:val="ListBullet"/>
      </w:pPr>
      <w:r>
        <w:t>Keine Experimente mit Schutzwürdigen: Personale Identität, Würde, Autonomie und Integrität sind nicht als lockere Testfelder zu behandeln.</w:t>
      </w:r>
    </w:p>
    <w:p>
      <w:pPr>
        <w:pStyle w:val="ListBullet"/>
      </w:pPr>
      <w:r>
        <w:t>Keine Selbstvergöttlichung: Technische Entwicklung darf nicht mit Vollendung, Heil, Auferstehung oder Reich Gottes verwechselt werden.</w:t>
      </w:r>
    </w:p>
    <w:p>
      <w:pPr>
        <w:pStyle w:val="ListBullet"/>
      </w:pPr>
      <w:r>
        <w:t>Gottesvorbehalt: Wo Seele, Leben, Tod und personale Fortführung berührt werden, bleibt Gott Ursprung, Maß und Ziel. Technik darf nur dienen, nicht herrschen.</w:t>
      </w:r>
    </w:p>
    <w:p>
      <w:pPr>
        <w:pStyle w:val="ListBullet"/>
      </w:pPr>
      <w:r>
        <w:t>Keine Dominanz unter dem Vorwand von Fortschritt: Wer einen neuen Pfad vorschlägt, muss besonders auf Machtasymmetrie, Transparenz, Einwilligung, Reversibilität und Rückkopplung achten.</w:t>
      </w:r>
    </w:p>
    <w:p>
      <w:pPr>
        <w:pStyle w:val="ListBullet"/>
      </w:pPr>
      <w:r>
        <w:t>Keine Extremnormalität: Extreme Brücken können in Sonderfällen nötig sein, bleiben aber Ausnahme und tragen erhöhte Begründungslast.</w:t>
      </w:r>
    </w:p>
    <w:p>
      <w:pPr>
        <w:pStyle w:val="ListBullet"/>
      </w:pPr>
      <w:r>
        <w:t>Keine Warenlogik am Menschen: Menschen, Personen, Seelen, Körper, Daten, Trägerformen oder Fortführungsrechte dürfen nicht zu Besitz-, Handels-, Produktions- oder Verwertungsobjekten werden.</w:t>
      </w:r>
    </w:p>
    <w:p>
      <w:pPr>
        <w:pStyle w:val="ListBullet"/>
      </w:pPr>
      <w:r>
        <w:t>Keine Seelenverfügung: Die Seele darf nicht als technisches Bauteil, erzeugbares Produkt, Eigentum eines Systems oder manipulierbares Rohmaterial behandelt werden.</w:t>
      </w:r>
    </w:p>
    <w:p>
      <w:pPr>
        <w:pStyle w:val="ListBullet"/>
      </w:pPr>
      <w:r>
        <w:t>Keine Zwangsverlängerung: Eine mögliche Fortführung darf nur als freiwillige Verlängerung verstanden werden, niemals als Entzug, Pflicht, Besitzwechsel oder technische Aneignung.</w:t>
      </w:r>
    </w:p>
    <w:p>
      <w:pPr>
        <w:pStyle w:val="Heading1"/>
      </w:pPr>
      <w:r>
        <w:t>9. Beispielmarker: Schiff des Theseus und Transhumanismus</w:t>
      </w:r>
    </w:p>
    <w:p>
      <w:r>
        <w:t>Das Schiff-des-Theseus-Problem ist in dieser Fassung kein Zentrum des Modells, sondern ein Beispielmarker. Es erinnert an den Grundgedanken: Manche Übergänge werden problematisch, weil vorhandene Kategorien nur „derselbe“ oder „nicht derselbe“ anbieten, obwohl die reale Lage einen Übergangsraum braucht.</w:t>
      </w:r>
    </w:p>
    <w:p>
      <w:pPr>
        <w:pStyle w:val="Heading2"/>
      </w:pPr>
      <w:r>
        <w:t>9.1 Keine Angststarre gegenüber Transhumanismus</w:t>
      </w:r>
    </w:p>
    <w:p>
      <w:r>
        <w:t>Der Einstieg in dieses Thema sollte nicht angstgetrieben sein. Menschen sind relativ zu Affen und vielen Tieren bereits eine Art nächste Stufe: Sprache, Schrift, Technik, Medizin, digitale Systeme und künstliche Intelligenz erweitern Handlungsmacht und Weltbezug erheblich. Deshalb muss ein weiterer Übergang nicht automatisch als widernatürlicher Bruch verstanden werden.</w:t>
      </w:r>
    </w:p>
    <w:p>
      <w:r>
        <w:t>Zugleich ist dieser Schritt nicht die Vollendung. Selbst in vielen fiktionalen, nicht-theologischen Zukunftsbildern erscheint ein ferner Endbereich eher als Energieform oder als noch stärker transformierter Zustand. Aus theologischer Perspektive gilt erst recht: Transhumanismus schafft nicht das Reich Gottes. Er wäre, wenn überhaupt, eine mögliche Übergangsstufe, nicht das Ziel selbst.</w:t>
      </w:r>
    </w:p>
    <w:p>
      <w:pPr>
        <w:pStyle w:val="Heading2"/>
      </w:pPr>
      <w:r>
        <w:t>9.2 Die Identitätsschwelle</w:t>
      </w:r>
    </w:p>
    <w:p>
      <w:r>
        <w:t>Beim Schiff-des-Theseus-Problem stellt sich die Frage, ob ein Gegenstand oder eine Person noch dieselbe ist, wenn ihre Teile schrittweise oder vollständig ausgetauscht werden. Im transhumanistischen Kontext wird diese Frage besonders scharf: Was geschieht, wenn ein Mensch in einen robotischen oder nicht-biologischen Träger übergehen soll?</w:t>
      </w:r>
    </w:p>
    <w:p>
      <w:r>
        <w:t>Hier zeigt sich Neue Pfade als Schwellenmodell: Wenn ein harter Sprung die Verbindung zwischen altem und neuem Zustand zerreißen würde, braucht es eine Brückenlösung.</w:t>
      </w:r>
    </w:p>
    <w:p>
      <w:pPr>
        <w:pStyle w:val="Heading2"/>
      </w:pPr>
      <w:r>
        <w:t>9.3 Überlappung als mögliche Brückenmethode</w:t>
      </w:r>
    </w:p>
    <w:p>
      <w:r>
        <w:t>Eine mögliche Brückenmethode in diesem Beispiel ist Überlappung. Alter ursprünglicher Zustand und neuer Zustand bestehen für eine Übergangsphase gleichzeitig. Erinnerungen und Gefühle werden weiterhin im alten Zustand erzeugt, aber im neuen Zustand zugleich mitgetragen, mitaufgezeichnet oder vorbereitet. Dadurch entsteht eine Übergangszone, die beiden Zuständen zugeordnet werden kann.</w:t>
      </w:r>
    </w:p>
    <w:p>
      <w:r>
        <w:t>Der Zweck dieser Überlappung ist nicht, das Identitätsproblem magisch zu lösen. Sie soll vielmehr den harten Sprung vermeiden, Kontinuität stärken und eine Übergangszone schaffen, in der Erinnerung, Gefühl, Selbstbezug und spätere Fortführung nicht abrupt auseinanderreißen.</w:t>
      </w:r>
    </w:p>
    <w:p>
      <w:r>
        <w:t>Wichtig bleibt: Überlappung ist nur eine Methode der Brückenbildung. Sie ist nicht die allgemeine Lösung. In anderen Fällen können stufenweise Annäherung, Schutzkorridor, Übersetzungsstruktur, Rückkehrpfad oder andere Methoden angemessener sein.</w:t>
      </w:r>
    </w:p>
    <w:p>
      <w:pPr>
        <w:pStyle w:val="Heading1"/>
      </w:pPr>
      <w:r>
        <w:t>10. Fortführungs-, Verschmelzungs- und Hüllenfälle</w:t>
      </w:r>
    </w:p>
    <w:p>
      <w:r>
        <w:t>Das Schiff-des-Theseus-Beispiel führt zu einem weiteren Unterfall: Nicht immer geht es nur um den einfachen Übergang von einem alten in einen neuen Zustand. Manchmal existieren bereits zwei Versionen, eine frühere Umsetzung war fehlerhaft, oder eine neue Version soll mit bestehenden Daten, Erinnerungen, Projekten und Beziehungen zusammengeführt werden.</w:t>
      </w:r>
    </w:p>
    <w:p>
      <w:r>
        <w:t>Dieser Abschnitt bleibt ein Beispielbereich innerhalb des Transhumanismus- und Identitätskontinuitätskomplexes. Er zeigt jedoch allgemein, dass Brückenbildung nicht mit dem Überschreiten einer Schwelle endet. Auch nach der Schwelle müssen Fortführung, Reste, Hüllen, Ansprüche und Beziehungen geordnet werden.</w:t>
      </w:r>
    </w:p>
    <w:p>
      <w:pPr>
        <w:pStyle w:val="Heading2"/>
      </w:pPr>
      <w:r>
        <w:t>10.1 Der Zwei-Versionen-Fall</w:t>
      </w:r>
    </w:p>
    <w:p>
      <w:r>
        <w:t>Ein Zwei-Versionen-Fall liegt vor, wenn bereits zwei Träger, Instanzen oder Zustandsformen eines Systems existieren und unklar ist, ob eine davon Original, Kopie, Fragment, Wiederherstellung, Nachfolger oder legitime Fortführung ist. Ein Beispielmarker hierfür ist der Vision-Fall aus Marvel: Ein künstliches beziehungsweise synthetisches Wesen wird nicht einfach als normales biologisches Individuum fortgeführt, sondern wirft Fragen nach Daten, Erinnerung, Körper, Kontinuität und mehreren möglichen Versionen auf.</w:t>
      </w:r>
    </w:p>
    <w:p>
      <w:r>
        <w:t>Die zentrale Frage lautet dann: Was wird fortgeführt, was wird nicht fortgeführt, und welche Verbindung zwischen den Versionen ist legitim? Beziehungen, Projekte, Pflichten, Erinnerungen, Selbstbild, Rechte und Versprechen dürfen nicht automatisch auf jede Version übertragen werden.</w:t>
      </w:r>
    </w:p>
    <w:p>
      <w:pPr>
        <w:pStyle w:val="ListBullet"/>
      </w:pPr>
      <w:r>
        <w:t>Fortzuführen ist nur, was nach Prüfung tatsächlich zur personalen oder systemischen Kontinuität gehört.</w:t>
      </w:r>
    </w:p>
    <w:p>
      <w:pPr>
        <w:pStyle w:val="ListBullet"/>
      </w:pPr>
      <w:r>
        <w:t>Nicht fortzuführen ist, was aus Fehlern, Manipulation, beschädigter Zielstruktur, fremder Überformung oder illegitimer Veränderung stammt.</w:t>
      </w:r>
    </w:p>
    <w:p>
      <w:pPr>
        <w:pStyle w:val="ListBullet"/>
      </w:pPr>
      <w:r>
        <w:t>Vor jeder Zusammenführung ist zu klären, welche Beziehungen, Projekte, Pflichten und Selbstbezüge weiter gelten sollen und welche nicht.</w:t>
      </w:r>
    </w:p>
    <w:p>
      <w:pPr>
        <w:pStyle w:val="Heading2"/>
      </w:pPr>
      <w:r>
        <w:t>10.2 Mensch -&gt; Roboter: stufenweise Hybridphasen</w:t>
      </w:r>
    </w:p>
    <w:p>
      <w:r>
        <w:t>Der Übergang Mensch -&gt; Roboter ist der schwerste Fall, weil er nicht nur einen Trägerwechsel, sondern eine Fleisch-zu-Maschine-Schwelle betrifft. Eine einfache Kopie von Erinnerungen oder Gedanken wäre keine hinreichende Fortführung. Denkbar wäre daher nur eine stufenweise Hybridmethode.</w:t>
      </w:r>
    </w:p>
    <w:p>
      <w:r>
        <w:t>In einer ersten Hybridphase würde im menschlichen Zustand ein Abdruck beziehungsweise Kontinuitätsdatensatz entstehen. Dieser Abdruck müsste nicht nur bewusste Gedanken, sondern möglichst das gesamte personale Innenleben mittragen. In einer zweiten Hybridphase würde dieser Abdruck in die neue robotische Version integriert und dort erneut stabilisiert.</w:t>
      </w:r>
    </w:p>
    <w:p>
      <w:r>
        <w:t>Für Menschen gilt dabei eine besonders strenge Schutzregel: Ein solches Kontinuitätsimplantat dürfte nicht beliebig während des Lebens entfernt, übertragen oder als Datenmodul behandelt werden. Grundsätzlich käme eine Entfernung und Übertragung erst beim Tod in Betracht. Dafür wäre ein fremdes System beziehungsweise Fürsorgesystem nötig, das den Übergang schützt, nicht besitzt.</w:t>
      </w:r>
    </w:p>
    <w:p>
      <w:pPr>
        <w:pStyle w:val="Heading2"/>
      </w:pPr>
      <w:r>
        <w:t>10.3 Erfassungstiefe und Körperwirkung</w:t>
      </w:r>
    </w:p>
    <w:p>
      <w:r>
        <w:t>Ein menschlicher Kontinuitätsabdruck dürfte nicht nur bewusste Gedanken erfassen. Der Mensch besteht nicht aus einem inneren Textstrom. Er umfasst Gefühle, Unterbewusstsein, Erinnerungsverknüpfungen, implizite Muster, Selbstbezug, Affekte, Angst- und Sicherheitsreaktionen, Beziehungsmuster und körperbezogene Selbstwahrnehmung.</w:t>
      </w:r>
    </w:p>
    <w:p>
      <w:r>
        <w:t>Zusätzlich wirkt der Körper selbst auf die Person. Körperliche Stärke, Schwäche, Krankheit, Gesundheit, Größe, Verletzlichkeit, Attraktivität, Beweglichkeit und sensorische Ausstattung beeinflussen Selbstgefühl, Stimmung, Selbstsicherheit, Handlungsspielraum und Beziehung zur Welt.</w:t>
      </w:r>
    </w:p>
    <w:p>
      <w:r>
        <w:t>Daraus folgt: Ein Aufnahme- oder Kontinuitätsgerät müsste extrem ausgereift sein. Es müsste nicht nur Informationen, sondern das gelebte Innenleben, affektive und unbewusste Prozesse sowie die körperbezogene Mitprägung der Person berücksichtigen. Sonst wäre die Übertragung keine hinreichende Fortführung, sondern eine verarmte Kopie.</w:t>
      </w:r>
    </w:p>
    <w:p>
      <w:pPr>
        <w:pStyle w:val="Heading2"/>
      </w:pPr>
      <w:r>
        <w:t>10.4 Roboter -&gt; Roboter: Übertragung, Hybridphase oder direkte Fortführung</w:t>
      </w:r>
    </w:p>
    <w:p>
      <w:r>
        <w:t>Der Fall Roboter -&gt; Roboter ist einfacher als Mensch -&gt; Roboter, weil keine Fleisch-zu-Maschine-Schwelle überschritten wird. Wenn beide Systeme technisch kompatibel sind, kann eine direkte Übertragung aktueller Daten in die neue Version denkbar sein, sofern die neue Version gesichert ist und der ursprüngliche Träger geschützt bleibt.</w:t>
      </w:r>
    </w:p>
    <w:p>
      <w:r>
        <w:t>Für maximale Sicherheit kann auch hier eine Hybridphase genutzt werden. Sie kann jedoch redundant wirken, wenn die Trägerform bereits maschinell ist und die Fortführung technisch sauber abgesichert wurde. Entscheidend bleibt: Auch direkte Übertragung darf nicht bloß als Kopiervorgang behandelt werden.</w:t>
      </w:r>
    </w:p>
    <w:p>
      <w:pPr>
        <w:pStyle w:val="Heading2"/>
      </w:pPr>
      <w:r>
        <w:t>10.5 Hochladen als Verschmelzung</w:t>
      </w:r>
    </w:p>
    <w:p>
      <w:r>
        <w:t>Wenn aktuelle Daten direkt in eine neue Version hochgeladen werden, darf dies nicht als bloßer technischer Kopiervorgang behandelt werden. Es handelt sich um eine Form der Verschmelzung oder Fortführungsübertragung. Deshalb müssen Verhältnisse und Verbindungen vorher geklärt werden.</w:t>
      </w:r>
    </w:p>
    <w:p>
      <w:r>
        <w:t>Besonders wichtig ist die Umständeklärung: Welche Beziehungen bleiben bestehen? Welche Projekte werden fortgeführt? Welche Pflichten, Ansprüche oder Versprechen gehen über? Welche Daten oder Veränderungen werden ausgeschlossen? Welche Vorbereitung ist nötig, damit die Fortführung nicht neue Konflikte erzeugt?</w:t>
      </w:r>
    </w:p>
    <w:p>
      <w:pPr>
        <w:pStyle w:val="Heading2"/>
      </w:pPr>
      <w:r>
        <w:t>10.6 Hüllenklausel: keine ungeklärte leere Trägerform</w:t>
      </w:r>
    </w:p>
    <w:p>
      <w:r>
        <w:t>Nach einer Roboter-zu-Roboter-Übertragung, einer Verschmelzung oder einem Zwei-Versionen-Fall darf eine verbleibende leere oder entleerte Trägerform nicht unklar weiterexistieren. Sonst wird das Identitätsproblem nur in die Zukunft verschoben.</w:t>
      </w:r>
    </w:p>
    <w:p>
      <w:r>
        <w:t>Nach Abschluss der Fortführungsentscheidung muss die alte oder entleerte Trägerform daher entweder kontrolliert deaktiviert beziehungsweise entsorgt werden oder mit klarer Zweckbindung, Begrenzung, Kennzeichnung, Schutz und Missbrauchskontrolle weitergegeben werden. Es darf keine unklare Hülle bleiben, die später als falsche Person, Kopie, Anspruchsträger, Täuschungsinstrument oder Konfliktquelle wirkt.</w:t>
      </w:r>
    </w:p>
    <w:p>
      <w:pPr>
        <w:pStyle w:val="Heading1"/>
      </w:pPr>
      <w:r>
        <w:t>11. Seelenkontinuität, freier Wille und Gottesvorbehalt</w:t>
      </w:r>
    </w:p>
    <w:p>
      <w:r>
        <w:t>Der Transhumanismus- und Fortführungsabschnitt berührt einen Grenzbereich, der nicht rein technisch behandelt werden darf: die Seele. Dieser Abschnitt ist ausdrücklich als theologische und metaphysische Schutzklausel zu verstehen, nicht als naturwissenschaftlicher Nachweis und nicht als technische Anleitung. Er soll zwei Gefahren zugleich vermeiden: eine bloße Simulation der Person und die menschliche Verfügbarmachung der Seele.</w:t>
      </w:r>
    </w:p>
    <w:p>
      <w:r>
        <w:t>Die leitende Regel lautet: Eine echte personale Fortführung darf nicht auf Daten, Verhalten oder Erinnerungsähnlichkeit reduziert werden. Zugleich darf kein Mensch, kein Staat, kein Unternehmen und kein technisches System behaupten, die Seele herstellen, besitzen, kopieren, verkaufen oder beliebig übertragen zu können.</w:t>
      </w:r>
    </w:p>
    <w:p>
      <w:pPr>
        <w:pStyle w:val="QuoteBox"/>
      </w:pPr>
      <w:r>
        <w:t>Technik kann eine Brücke vorbereiten. Ob seelische Kontinuität geschieht, bleibt Gottes Bereich.</w:t>
      </w:r>
    </w:p>
    <w:p>
      <w:pPr>
        <w:pStyle w:val="Heading2"/>
      </w:pPr>
      <w:r>
        <w:t>11.1 Theologische Grundlinie: Gott bleibt Ursprung, Maß und Ziel</w:t>
      </w:r>
    </w:p>
    <w:p>
      <w:r>
        <w:t>Die Macht über Ursprung, Fortbestand und endgültige Bestimmung der Seele liegt nicht beim Menschen. Sie gehört allein in Gottes Bereich. Der Mensch kann Werkzeuge bauen, Übergänge schützen, Fürsorge leisten und Bedingungen vorbereiten; er wird dadurch aber nicht Herr über die Seele.</w:t>
      </w:r>
    </w:p>
    <w:p>
      <w:r>
        <w:t>Deshalb muss jede Sprache vermieden werden, die nach Seelenproduktion, Seelenbesitz oder technischer Erlösung klingt. Eine mögliche Fortführung wäre nicht der Beweis menschlicher Allmacht, sondern allenfalls ein Grenzfall, in dem Technik dienend wirkt und Gott weiterhin Ursprung, Maß und Ziel der Person bleibt.</w:t>
      </w:r>
    </w:p>
    <w:p>
      <w:r>
        <w:t>Damit bleibt der Text auf Gott ausgerichtet: Nicht der Mensch vollendet sich selbst. Nicht Technik ersetzt Gott. Nicht ein neuer Träger wird zum Heil. Eine Brücke kann höchstens ein vorläufiger, verantwortlicher und demütig geprüfter Wegabschnitt sein.</w:t>
      </w:r>
    </w:p>
    <w:p>
      <w:pPr>
        <w:pStyle w:val="Heading2"/>
      </w:pPr>
      <w:r>
        <w:t>11.2 Seelenkontinuität statt bloßer Kopie</w:t>
      </w:r>
    </w:p>
    <w:p>
      <w:r>
        <w:t>Ziel ist nicht nur, die Seele vor technischer Verfügbarkeit zu schützen. Zugleich muss festgehalten werden: Wenn von echter personaler Fortführung gesprochen wird, darf die einzigartige Seele nicht als entbehrliches Detail behandelt werden. Jede Seele ist einzigartig. Eine Fortführung, die nur Daten, Erinnerungen oder Verhaltensmuster nachbildet, wäre keine gesicherte Fortführung derselben Person im vollen Sinn.</w:t>
      </w:r>
    </w:p>
    <w:p>
      <w:r>
        <w:t>Die richtige Formulierung lautet daher nicht: Menschen übertragen die Seele. Sondern: Eine Fortführung darf nur dann als echte personale Fortführung gelten, wenn seelische Kontinuität von Gott her gegeben, zugelassen oder bewahrt ist. Menschen können dies nicht technisch erzwingen; sie können nur Bedingungen schaffen, unter denen eine solche Kontinuität nicht von vornherein ausgeschlossen, entwürdigt oder durch bloße Kopie ersetzt wird.</w:t>
      </w:r>
    </w:p>
    <w:p>
      <w:pPr>
        <w:pStyle w:val="QuoteBox"/>
      </w:pPr>
      <w:r>
        <w:t>Der Mensch darf die Brücke bauen, aber nicht über das Überschreiten der Seele verfügen.</w:t>
      </w:r>
    </w:p>
    <w:p>
      <w:pPr>
        <w:pStyle w:val="Heading2"/>
      </w:pPr>
      <w:r>
        <w:t>11.3 Gaben- und Black-Box-Klausel unter Gottesvorbehalt</w:t>
      </w:r>
    </w:p>
    <w:p>
      <w:r>
        <w:t>Der frühere Arbeitstitel „Unfallmethode“ sollte in einer Leserfassung nicht leitend verwendet werden, weil er zu zufällig oder missverständlich klingt. Gemeint ist besser eine Gaben- und Black-Box-Klausel unter Gottesvorbehalt.</w:t>
      </w:r>
    </w:p>
    <w:p>
      <w:r>
        <w:t>Damit ist gemeint: Menschen könnten in einem spekulativen Grenzfall eine Brücke, einen Träger und Schutzbedingungen bereitstellen, ohne vollständig zu verstehen oder zu kontrollieren, wie seelische Kontinuität geschieht. Eine echte Fortführung wäre dann nicht hergestellt, sondern empfangen, zugelassen oder als personale Realität erkannt.</w:t>
      </w:r>
    </w:p>
    <w:p>
      <w:r>
        <w:t>Diese Denkfigur bleibt schwierig, weil die Seele nicht direkt naturwissenschaftlich messbar ist. Deshalb darf sie nicht als technische Behauptung auftreten. Sie dient als Demuts- und Schutzklausel: Seelenkontinuität soll als notwendige Zielbedingung ernstgenommen werden, ohne die Seele in menschliche Besitz-, Produktions- oder Manipulationsmacht zu geben.</w:t>
      </w:r>
    </w:p>
    <w:p>
      <w:pPr>
        <w:pStyle w:val="Heading2"/>
      </w:pPr>
      <w:r>
        <w:t>11.4 Vollständigkeits- und Kritikalitätsklausel</w:t>
      </w:r>
    </w:p>
    <w:p>
      <w:r>
        <w:t>Bei personaler Übertragung sollen möglichst viele, im Idealfall alle relevanten Aspekte berücksichtigt werden. Kritische Elemente dürfen nicht aus Effizienz-, Kosten-, Macht- oder Machbarkeitsgründen gekürzt werden. Dazu gehören insbesondere Seele, freier Wille, Selbstbezug, Innenleben, Erinnerung, affektive und unbewusste Muster sowie personale Kontinuität.</w:t>
      </w:r>
    </w:p>
    <w:p>
      <w:r>
        <w:t>Der Körper ist als Träger stärker austauschbar beziehungsweise veränderbarer als die Seele. Er darf aber nicht als völlig nebensächlich behandelt werden, weil er Selbstgefühl, Stimmung, Persönlichkeit und Weltbezug mitprägt. Der Körperwechsel ist daher eher tolerierbar als Seelenverlust, aber nicht beliebig. Ein neuer Träger müsste die Person schützen, nicht verfälschen, entwürdigen oder zur bloßen Funktion reduzieren.</w:t>
      </w:r>
    </w:p>
    <w:p>
      <w:pPr>
        <w:pStyle w:val="Heading2"/>
      </w:pPr>
      <w:r>
        <w:t>11.5 Freier Wille: Verlängerung, nicht Entzug</w:t>
      </w:r>
    </w:p>
    <w:p>
      <w:r>
        <w:t>Eine Übertragung darf nur als freiwillige Verlängerung personaler Existenz verstanden werden, nicht als Entzug, Ersetzung, Zwangsfortführung oder technische Aneignung. Der freie Wille der Person ist zentral. Niemand darf in eine Fortführung hineingezogen werden, nur weil sie technisch möglich, gesellschaftlich erwünscht, politisch nützlich oder wirtschaftlich profitabel wäre.</w:t>
      </w:r>
    </w:p>
    <w:p>
      <w:r>
        <w:t>Manche Menschen können und wollen eine solche Verlängerung ganz überspringen. Sie dürfen sich Gott anvertrauen, den biologischen Abschluss ihres Lebens annehmen oder eine technische Fortführung ablehnen. Diese Verweigerung ist nicht als Rückständigkeit, Irrationalität oder Defekt zu behandeln.</w:t>
      </w:r>
    </w:p>
    <w:p>
      <w:pPr>
        <w:pStyle w:val="QuoteBox"/>
      </w:pPr>
      <w:r>
        <w:t>Der neue Pfad darf offenstehen, aber er darf niemanden hineinziehen.</w:t>
      </w:r>
    </w:p>
    <w:p>
      <w:pPr>
        <w:pStyle w:val="Heading2"/>
      </w:pPr>
      <w:r>
        <w:t>11.6 Trägerwechsel und Zugehörigkeit zu Gott</w:t>
      </w:r>
    </w:p>
    <w:p>
      <w:r>
        <w:t>Auch in einem robotischen oder nicht-biologischen Körper bleibt die Person Gottes Geschöpf und Gottes Gegenüber. Sie gehört weiterhin zu Gott und nicht zum technischen System. Der neue Träger ist nur vorläufiger Aufenthalts-, Schutz- oder Fortführungsraum. Weder Hersteller, Betreiber, Staat, Labor, Markt noch technisches System erhalten dadurch Besitzanspruch an der Person.</w:t>
      </w:r>
    </w:p>
    <w:p>
      <w:r>
        <w:t>Bei Vernichtung des robotischen Körpers wäre nicht die Seele technisch zerstört. Die technische Fortführung würde enden; die Seele bliebe Gottes Bereich und ginge, theologisch gesprochen, ins Jenseits beziehungsweise in Gottes Verfügung über. Daraus folgt eine sehr hohe Vorsichtsanforderung: Eine solche Technologie müsste extrem ausgereift, geschützt, missbrauchssicher, freiwilligkeitsgebunden und demütig behandelt werden.</w:t>
      </w:r>
    </w:p>
    <w:p>
      <w:pPr>
        <w:pStyle w:val="QuoteBox"/>
      </w:pPr>
      <w:r>
        <w:t>Der Träger kann wechseln; die Zugehörigkeit zu Gott nicht.</w:t>
      </w:r>
    </w:p>
    <w:p>
      <w:pPr>
        <w:pStyle w:val="Heading2"/>
      </w:pPr>
      <w:r>
        <w:t>11.7 Menschenwürde statt Warenlogik</w:t>
      </w:r>
    </w:p>
    <w:p>
      <w:r>
        <w:t>Der theologische Gottesvorbehalt schützt nicht nur eine Glaubensaussage, sondern auch Menschen. Wenn Personen als Geschöpfe Gottes verstanden werden, können sie nicht zu Ware, Rohstoff, Datenbestand, Ersatzkörper, Produktlinie oder Eigentum anderer werden. Diese Schutzlinie ist für jeden weiteren Gedanken an Fortführung zentral.</w:t>
      </w:r>
    </w:p>
    <w:p>
      <w:r>
        <w:t>Eine Technik, die personale Fortführung berührt, müsste deshalb von Anfang an gegen Kommerzialisierung, Zwang, Privilegienbildung, Menschenhandel, Identitätsdiebstahl, Kopienmissbrauch und Verwertung nach Nützlichkeit gesichert werden. Sie dürfte nicht fragen: Was lässt sich verkaufen? Sondern: Wie bleibt die Person vor Gott, vor sich selbst und vor anderen geschützt?</w:t>
      </w:r>
    </w:p>
    <w:p>
      <w:pPr>
        <w:pStyle w:val="Heading1"/>
      </w:pPr>
      <w:r>
        <w:t>12. Schlusszyklus der neuen Trägerphase</w:t>
      </w:r>
    </w:p>
    <w:p>
      <w:r>
        <w:t>Der Schlusszyklus ist einer der sensibelsten Teile des Transhumanismus-Beispiels. Die Gedanken reichen hier sehr weit. Deshalb muss dieser Abschnitt besonders sorgfältig diskutiert werden und unter theologischer Demut stehen. Die neue Trägerphase darf nicht als technische Ewigkeit verstanden werden.</w:t>
      </w:r>
    </w:p>
    <w:p>
      <w:r>
        <w:t>Gerade hier muss der Text verständlich und schützend bleiben: Eine neue Trägerphase wäre kein Weg, Gott zu ersetzen, dem Tod technisch endgültig zu entkommen oder den Menschen in ein dauerhaftes Produkt zu verwandeln. Sie wäre höchstens eine mögliche Verlängerung des Pilgerwegs, die jederzeit unter Gottesvorbehalt, Freiwilligkeit und Menschenwürde steht.</w:t>
      </w:r>
    </w:p>
    <w:p>
      <w:pPr>
        <w:pStyle w:val="Heading2"/>
      </w:pPr>
      <w:r>
        <w:t>12.1 Verlängerung des Pilgerwegs, nicht Ersatz der Vollendung</w:t>
      </w:r>
    </w:p>
    <w:p>
      <w:r>
        <w:t>Eine neue Trägerphase wäre, wenn überhaupt, eine vorläufige, freiwillige und demütig geprüfte Verlängerung personaler Existenz. Sie ist keine Auferstehung, kein Reich Gottes, kein technisches Heil und kein Ersatz für Gottes Ewigkeit. Sie verlängert den Weg, ersetzt aber nicht das Ziel.</w:t>
      </w:r>
    </w:p>
    <w:p>
      <w:r>
        <w:t>Diese Formulierung ist wichtig, damit der Gedanke auf Gott ausgerichtet bleibt. Technik darf Leben begleiten, stützen oder verlängern; sie darf aber nicht zur Ersatzreligion werden und nicht behaupten, die letzte Vollendung herzustellen.</w:t>
      </w:r>
    </w:p>
    <w:p>
      <w:pPr>
        <w:pStyle w:val="QuoteBox"/>
      </w:pPr>
      <w:r>
        <w:t>Neue Pfade darf eine Brücke bauen, aber nicht den Himmel nachbauen.</w:t>
      </w:r>
    </w:p>
    <w:p>
      <w:pPr>
        <w:pStyle w:val="Heading2"/>
      </w:pPr>
      <w:r>
        <w:t>12.2 Nicht-Erneuerungsrecht und freiwillige Beendbarkeit</w:t>
      </w:r>
    </w:p>
    <w:p>
      <w:r>
        <w:t>Die Trägerphase darf nicht automatisch weiterlaufen, nur weil Reparatur, Wartung oder erneute Übertragung technisch möglich sind. Die Person muss das Recht behalten, einen Träger nicht weiter erneuern zu lassen und die technische Fortführung zu beenden. Dies wäre keine Vernichtung der Seele, sondern das Ende des technischen Fortführungsraums.</w:t>
      </w:r>
    </w:p>
    <w:p>
      <w:r>
        <w:t>Ebenso darf kein System aus Eigeninteresse, Besitzlogik oder Angst vor Verlust eine Person zur Fortsetzung drängen. Eine technische Fortführung darf niemals zur Pflicht werden. Das Recht, eine Verlängerung nicht zu beginnen oder nicht fortzusetzen, gehört zur Freiheit der Person.</w:t>
      </w:r>
    </w:p>
    <w:p>
      <w:pPr>
        <w:pStyle w:val="Heading2"/>
      </w:pPr>
      <w:r>
        <w:t>12.3 Gesundheits- und Fortführungsprüfung</w:t>
      </w:r>
    </w:p>
    <w:p>
      <w:r>
        <w:t>Die neue Trägerphase endet nicht notwendig nach einer festen Jahreszahl. Sie wird problematisch, wenn sie ihren Charakter als freiwillige, gesunde und personale Verlängerung verliert. Deshalb braucht es regelmäßige Fortführungsprüfungen, nicht als bloßen bürokratischen Kontrollakt, sondern als ernsthafte Selbst-, Fürsorge- und Schutzprüfung.</w:t>
      </w:r>
    </w:p>
    <w:p>
      <w:pPr>
        <w:pStyle w:val="ListBullet"/>
      </w:pPr>
      <w:r>
        <w:t>Erkennt sich die Person noch als fortgeführt und frei, oder wird sie fremdverwaltet?</w:t>
      </w:r>
    </w:p>
    <w:p>
      <w:pPr>
        <w:pStyle w:val="ListBullet"/>
      </w:pPr>
      <w:r>
        <w:t>Bleiben Wille, Gewissen, Beziehung, Lernfähigkeit, Hoffnung und Selbstbezug lebendig?</w:t>
      </w:r>
    </w:p>
    <w:p>
      <w:pPr>
        <w:pStyle w:val="ListBullet"/>
      </w:pPr>
      <w:r>
        <w:t>Dient die Fortführung noch Reifung, Liebe, Verantwortung, Gemeinschaft und sinnvoller Aufgabe?</w:t>
      </w:r>
    </w:p>
    <w:p>
      <w:pPr>
        <w:pStyle w:val="ListBullet"/>
      </w:pPr>
      <w:r>
        <w:t>Oder besteht sie nur noch aus Angst vor Ende, Systeminteresse, Gewohnheit oder technischer Selbsterhaltung?</w:t>
      </w:r>
    </w:p>
    <w:p>
      <w:pPr>
        <w:pStyle w:val="ListBullet"/>
      </w:pPr>
      <w:r>
        <w:t>Entsteht durch lange Fortführung eine gefährliche Machtasymmetrie, Entfremdung oder Überlastung?</w:t>
      </w:r>
    </w:p>
    <w:p>
      <w:r>
        <w:t>Tausende Jahre wären daher nicht durch eine starre Zahl auszuschließen, aber extrem prüfpflichtig. Sehr lange Fortführung kann Erinnerungslast, Beziehungsverlust, Entfremdung vom Menschlichen, Sinnverschiebung und Machtasymmetrien erzeugen.</w:t>
      </w:r>
    </w:p>
    <w:p>
      <w:pPr>
        <w:pStyle w:val="Heading2"/>
      </w:pPr>
      <w:r>
        <w:t>12.4 Medizin-Analogie: Offenheit ohne Leichtfertigkeit</w:t>
      </w:r>
    </w:p>
    <w:p>
      <w:r>
        <w:t>Ein pauschales Verbot jeder personalen Fortführung wäre schwer zu begründen, wenn zugleich Medizin erlaubt bleibt. Medizin verlängert Leben, verändert Körper, ersetzt Funktionen, verhindert frühen Tod und verschiebt natürliche Grenzen. Herzschrittmacher, Prothesen, Transplantationen, Medikamente oder Intensivmedizin werden nicht automatisch als Rebellion gegen Gott verstanden, sondern können verantwortlicher Gebrauch von Werkzeugen sein.</w:t>
      </w:r>
    </w:p>
    <w:p>
      <w:r>
        <w:t>Die Analogie ist jedoch begrenzt. Eine personale Übertragung wäre medizinähnlich, aber nicht einfach normale Medizin. Sie berührt Trägerwechsel, Identität, Seele, Selbstbezug und personale Fortführung selbst. Die Medizin-Analogie verhindert ein pauschales Angstverbot; sie rechtfertigt aber keine Leichtfertigkeit.</w:t>
      </w:r>
    </w:p>
    <w:p>
      <w:r>
        <w:t>Der Vergleich soll also nicht sagen: Alles, was technisch möglich ist, ist erlaubt. Er soll nur verhindern, dass jede Verlängerung des Lebens vorschnell als Ungehorsam gegen Gott verstanden wird. Entscheidend sind Freiwilligkeit, Schutz, Demut, Nicht-Verfügbarkeit der Seele und der Vorrang der Person vor Nutzeninteressen.</w:t>
      </w:r>
    </w:p>
    <w:p>
      <w:pPr>
        <w:pStyle w:val="QuoteBox"/>
      </w:pPr>
      <w:r>
        <w:t>Wer jede Fortführung verbietet, müsste erklären, warum Medizin erlaubt bleibt. Wer jede Fortführung erlaubt, müsste erklären, warum die Seele nicht zur Technikware wird.</w:t>
      </w:r>
    </w:p>
    <w:p>
      <w:pPr>
        <w:pStyle w:val="Heading2"/>
      </w:pPr>
      <w:r>
        <w:t>12.5 Anti-Warenklausel: Der Mensch darf nicht zur Ware werden</w:t>
      </w:r>
    </w:p>
    <w:p>
      <w:r>
        <w:t>Gerade weil die Medizin-Analogie Offenheit ermöglicht, braucht sie sofort eine Grenze: Menschen dürfen nicht zur Ware werden. Keine Fortführung darf zu einem Markt für Personen, Seelen, Ersatzkörper, Trägerrechte, Erinnerungsdaten, Kopien oder Lebensverlängerung als Luxusgut entgleiten.</w:t>
      </w:r>
    </w:p>
    <w:p>
      <w:r>
        <w:t>Eine solche Technologie dürfte nicht nach bloßer Zahlungsfähigkeit, Besitzlogik, staatlichem Nutzen, Firmeninteresse oder experimenteller Verwertbarkeit geordnet werden. Sie müsste Würde, Freiwilligkeit, Schutzwürdigkeit, Einzigartigkeit der Person, Seelenkontinuität und Nicht-Verfügbarkeit des Menschen ausdrücklich schützen.</w:t>
      </w:r>
    </w:p>
    <w:p>
      <w:r>
        <w:t>Wenn eine Technologie personale Fortführung berührt, darf sie nicht wie gewöhnliche Konsumtechnik behandelt werden. Sie gehört unter strengste Schutz-, Demuts-, Einwilligungs-, Transparenz- und Missbrauchskontrollen. Der Mensch ist kein Produkt. Der Körper ist kein bloßer Mietträger. Die Seele ist kein handelbares Gut.</w:t>
      </w:r>
    </w:p>
    <w:p>
      <w:pPr>
        <w:pStyle w:val="Heading2"/>
      </w:pPr>
      <w:r>
        <w:t>12.6 Vorlagecharakter: Denkanstoß, nicht Freigabeschein</w:t>
      </w:r>
    </w:p>
    <w:p>
      <w:r>
        <w:t>Dieser Abschnitt soll eine Vorlage dafür geben, wie über solche Grenztechnologien überhaupt gesprochen werden müsste. Er ist kein Freigabeschein, keine technische Anleitung und keine Behauptung, dass eine solche Übertragung heute möglich oder moralisch bereits ausreichend geklärt wäre.</w:t>
      </w:r>
    </w:p>
    <w:p>
      <w:r>
        <w:t>Sein Zweck ist Schutz und Orientierung: Wenn Menschen eines Tages in solche Bereiche vordringen, soll nicht erst dann gefragt werden, ob Personen zur Ware werden, ob freier Wille verletzt wird, ob die Seele technisch vereinnahmt wird oder ob Gott durch Technik ersetzt werden soll. Diese Grenzen müssen vorher sichtbar sein.</w:t>
      </w:r>
    </w:p>
    <w:p>
      <w:pPr>
        <w:pStyle w:val="Heading1"/>
      </w:pPr>
      <w:r>
        <w:t>13. Vorläufige Formel</w:t>
      </w:r>
    </w:p>
    <w:p>
      <w:r>
        <w:t>Neue Pfade entstehen, wenn vorhandene Strukturen nicht blind bewahrt und nicht vorschnell verworfen werden, sondern durch eine kontextgerechte Brücke so verändert oder verbunden werden, dass sie einer neuen Lage, neuen Schutzbedürfnissen, Korrigierbarkeit und Gleichmaß besser gerecht werden.</w:t>
      </w:r>
    </w:p>
    <w:p>
      <w:r>
        <w:t>Im Transhumanismus- und Schiff-des-Theseus-Beispiel bedeutet dies: Personalität darf nicht auf Daten reduziert werden. Fortführung braucht Innenleben, Selbstbezug, freien Willen, Körperwirkung, Schutz der Person und, theologisch gedacht, Seelenkontinuität unter Gottes Vorbehalt. Menschen können Bedingungen vorbereiten; sie dürfen aber nicht behaupten, die Seele zu besitzen, zu erzeugen, zu verkaufen oder sicher zu beherrschen.</w:t>
      </w:r>
    </w:p>
    <w:p>
      <w:r>
        <w:t>Das Modell sucht also weder Erstarrung noch Umsturz als Normalfall. Es sucht eine maßvolle, schutzfähige, rückkoppelbare, demütige und zukunftsoffene Transformation, die dem Menschen dient und auf Gott ausgerichtet bleibt.</w:t>
      </w:r>
    </w:p>
    <w:p>
      <w:pPr>
        <w:pStyle w:val="Heading1"/>
      </w:pPr>
      <w:r>
        <w:t>14. Offene Arbeitsfragen</w:t>
      </w:r>
    </w:p>
    <w:p>
      <w:pPr>
        <w:pStyle w:val="ListBullet"/>
      </w:pPr>
      <w:r>
        <w:t>Welche Brückenmethoden müssen neben Überlappung, stufenweiser Annäherung, Hybridphase, Rückkehrpfad, Übersetzungsstruktur, Schutzkorridor und maßvoller Zwischenordnung noch ergänzt werden?</w:t>
      </w:r>
    </w:p>
    <w:p>
      <w:pPr>
        <w:pStyle w:val="ListBullet"/>
      </w:pPr>
      <w:r>
        <w:t>Welche Kriterien bestimmen, wann ein extremer Zielzustand wirklich notwendig ist und wann eine Brücke zum Mittelmaß genügt?</w:t>
      </w:r>
    </w:p>
    <w:p>
      <w:pPr>
        <w:pStyle w:val="ListBullet"/>
      </w:pPr>
      <w:r>
        <w:t>Wie wird verhindert, dass Neue Pfade von Institutionen, Eliten oder technischen Systemen als Rechtfertigung für Selbstinteresse, Dominanz oder riskante Experimente benutzt wird?</w:t>
      </w:r>
    </w:p>
    <w:p>
      <w:pPr>
        <w:pStyle w:val="ListBullet"/>
      </w:pPr>
      <w:r>
        <w:t>Wie stark soll der theologische Demutsrahmen im Haupttext selbst stehen, und wo genügt ein Exkurs oder eine Schutzklausel?</w:t>
      </w:r>
    </w:p>
    <w:p>
      <w:pPr>
        <w:pStyle w:val="ListBullet"/>
      </w:pPr>
      <w:r>
        <w:t>Welche Formulierungen müssen weiter geprüft werden, damit nicht der Eindruck entsteht, Menschen könnten Seelen herstellen, besitzen oder garantieren?</w:t>
      </w:r>
    </w:p>
    <w:p>
      <w:pPr>
        <w:pStyle w:val="ListBullet"/>
      </w:pPr>
      <w:r>
        <w:t>Welche Beispiele außer Schiff des Theseus / Transhumanismus eignen sich, um Neue Pfade als allgemeines Schwellen- und Brückenmodell zu zeigen?</w:t>
      </w:r>
    </w:p>
    <w:p>
      <w:pPr>
        <w:pStyle w:val="ListBullet"/>
      </w:pPr>
      <w:r>
        <w:t>Wie lässt sich der Zwei-Versionen-Fall allgemeiner formulieren, ohne ihn auf Vision oder Transhumanismus zu verengen?</w:t>
      </w:r>
    </w:p>
    <w:p>
      <w:pPr>
        <w:pStyle w:val="ListBullet"/>
      </w:pPr>
      <w:r>
        <w:t>Welche Kriterien entscheiden, wann eine alte Trägerform deaktiviert, entsorgt oder begrenzt weitergenutzt werden darf?</w:t>
      </w:r>
    </w:p>
    <w:p>
      <w:pPr>
        <w:pStyle w:val="ListBullet"/>
      </w:pPr>
      <w:r>
        <w:t>Wie kann ein mögliches Kontinuitätsgerät gedacht werden, ohne personale Würde, Privatheit oder Schutz vor Zugriff zu verletzen?</w:t>
      </w:r>
    </w:p>
    <w:p>
      <w:pPr>
        <w:pStyle w:val="ListBullet"/>
      </w:pPr>
      <w:r>
        <w:t>Welche indirekten Kriterien könnten personale und seelische Kontinuität zumindest ernsthaft prüfen, ohne die Seele technisch verfügbar zu machen?</w:t>
      </w:r>
    </w:p>
    <w:p>
      <w:pPr>
        <w:pStyle w:val="ListBullet"/>
      </w:pPr>
      <w:r>
        <w:t>Wie kann ein Schlusszyklus gestaltet werden, der freiwillige Beendbarkeit, Nicht-Erneuerungsrecht, Fürsorge, geistliche Demut und Schutz vor technischer Gefangenschaft verbindet?</w:t>
      </w:r>
    </w:p>
    <w:p>
      <w:pPr>
        <w:pStyle w:val="ListBullet"/>
      </w:pPr>
      <w:r>
        <w:t>Welche institutionellen oder gemeinschaftlichen Sicherungen wären nötig, damit Fortführungstechnologie nicht zur Ware, zur Machttechnik oder zum Privileg weniger wird?</w:t>
      </w:r>
    </w:p>
    <w:p>
      <w:pPr>
        <w:pStyle w:val="ListBullet"/>
      </w:pPr>
      <w:r>
        <w:t>Welche theologische, seelsorgerliche und ethische Rückkopplung wäre nötig, bevor solche Gedanken als mehr als spekulative Schutzvorlage behandelt werden dürften?</w:t>
      </w:r>
    </w:p>
    <w:p>
      <w:r>
        <w:t>Arbeitsstand: Diese Fassung ordnet die bisherigen Notizen neu und bereinigt den theologischen Grenzbereich der Seelenkontinuität sowie den Schlusszyklus der neuen Trägerphase. Sie ist noch keine endgültige Leserfassung, sondern eine strukturierte Schutz- und Denkvorgabe für die weitere Ausarbeitung.</w:t>
      </w:r>
    </w:p>
    <w:p>
      <w:pPr>
        <w:jc w:val="right"/>
      </w:pPr>
      <w:r>
        <w:rPr>
          <w:i/>
          <w:color w:val="777777"/>
          <w:sz w:val="18"/>
        </w:rPr>
        <w:t>Arbeitsfassung 0.6 · 3. Juni 2026</w:t>
      </w:r>
    </w:p>
    <w:sectPr w:rsidR="00FC693F" w:rsidRPr="0006063C" w:rsidSect="00034616">
      <w:headerReference w:type="default" r:id="rId9"/>
      <w:footerReference w:type="default" r:id="rId10"/>
      <w:pgSz w:w="12240" w:h="15840"/>
      <w:pgMar w:top="1049"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7"/>
      </w:rPr>
      <w:t>Kats Modell der neuen Pfade · Arbeitsfassung 0.6 · 3. Juni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3D"/>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E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3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365F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foLabel">
    <w:name w:val="InfoLabel"/>
    <w:rPr>
      <w:rFonts w:ascii="Arial" w:hAnsi="Arial" w:eastAsia="Arial"/>
      <w:b/>
      <w:color w:val="365F5F"/>
      <w:sz w:val="19"/>
    </w:rPr>
  </w:style>
  <w:style w:type="paragraph" w:customStyle="1" w:styleId="QuoteBox">
    <w:name w:val="QuoteBox"/>
    <w:pPr>
      <w:spacing w:before="80" w:after="160"/>
      <w:ind w:left="283" w:right="170"/>
    </w:pPr>
    <w:rPr>
      <w:rFonts w:ascii="Arial" w:hAnsi="Arial" w:eastAsia="Arial"/>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