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3347" w14:textId="77777777" w:rsidR="00127037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OmniFHIR-AI: A Local AI Approach to Clinical Data Abstraction for HEDIS Compliance</w:t>
      </w:r>
    </w:p>
    <w:p w14:paraId="6E75DCFE" w14:textId="77777777" w:rsidR="00127037" w:rsidRDefault="00000000">
      <w:pPr>
        <w:spacing w:after="40"/>
        <w:jc w:val="center"/>
      </w:pPr>
      <w:r>
        <w:rPr>
          <w:rFonts w:ascii="Calibri" w:eastAsia="Calibri" w:hAnsi="Calibri" w:cs="Calibri"/>
          <w:i/>
          <w:iCs/>
          <w:color w:val="3D5A73"/>
          <w:sz w:val="21"/>
          <w:szCs w:val="21"/>
        </w:rPr>
        <w:t>Prepared for Cotiviti — Intern Assessment Submission</w:t>
      </w:r>
    </w:p>
    <w:p w14:paraId="3AABF0F0" w14:textId="5C93E585" w:rsidR="00127037" w:rsidRDefault="005F3CB3">
      <w:pPr>
        <w:spacing w:after="200"/>
        <w:jc w:val="center"/>
      </w:pPr>
      <w:r>
        <w:rPr>
          <w:rFonts w:ascii="Calibri" w:eastAsia="Calibri" w:hAnsi="Calibri" w:cs="Calibri"/>
          <w:color w:val="3D5A73"/>
          <w:sz w:val="21"/>
          <w:szCs w:val="21"/>
        </w:rPr>
        <w:t xml:space="preserve">Ramakrishna </w:t>
      </w:r>
      <w:r w:rsidR="00BE0E2E">
        <w:rPr>
          <w:rFonts w:ascii="Calibri" w:eastAsia="Calibri" w:hAnsi="Calibri" w:cs="Calibri"/>
          <w:color w:val="3D5A73"/>
          <w:sz w:val="21"/>
          <w:szCs w:val="21"/>
        </w:rPr>
        <w:t>Saravanan | Northwestern</w:t>
      </w:r>
      <w:r>
        <w:rPr>
          <w:rFonts w:ascii="Calibri" w:eastAsia="Calibri" w:hAnsi="Calibri" w:cs="Calibri"/>
          <w:color w:val="3D5A73"/>
          <w:sz w:val="21"/>
          <w:szCs w:val="21"/>
        </w:rPr>
        <w:t xml:space="preserve"> University</w:t>
      </w:r>
    </w:p>
    <w:p w14:paraId="7146F9FB" w14:textId="77777777" w:rsidR="00127037" w:rsidRDefault="00000000">
      <w:pPr>
        <w:pStyle w:val="Heading1"/>
        <w:pBdr>
          <w:bottom w:val="single" w:sz="6" w:space="2" w:color="1F3A5F"/>
        </w:pBdr>
        <w:spacing w:before="160" w:after="8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Concept Definition &amp; Industry Trends</w:t>
      </w:r>
    </w:p>
    <w:p w14:paraId="4AF1075F" w14:textId="77777777" w:rsidR="00127037" w:rsidRDefault="00000000">
      <w:pPr>
        <w:spacing w:after="120" w:line="252" w:lineRule="auto"/>
        <w:jc w:val="both"/>
      </w:pPr>
      <w:r>
        <w:rPr>
          <w:rFonts w:ascii="Calibri" w:eastAsia="Calibri" w:hAnsi="Calibri" w:cs="Calibri"/>
          <w:sz w:val="21"/>
          <w:szCs w:val="21"/>
        </w:rPr>
        <w:t>This report addresses Clinical Natural Language Technology for Health Care through OmniFHIR-AI, a working proof-of-concept I built to test whether fully local, open-weight AI models can extract HEDIS-relevant data from unstructured clinical documents. It is a feasibility demonstrator built to validate one technical hypothesis end-to-end — not a production system.</w:t>
      </w:r>
    </w:p>
    <w:p w14:paraId="1BB4A4A6" w14:textId="77777777" w:rsidR="00127037" w:rsidRDefault="00000000">
      <w:pPr>
        <w:spacing w:after="120" w:line="252" w:lineRule="auto"/>
        <w:jc w:val="both"/>
      </w:pPr>
      <w:r>
        <w:rPr>
          <w:rFonts w:ascii="Calibri" w:eastAsia="Calibri" w:hAnsi="Calibri" w:cs="Calibri"/>
          <w:sz w:val="21"/>
          <w:szCs w:val="21"/>
        </w:rPr>
        <w:t>Healthcare payers process enormous volumes of unstructured clinical material — scanned charts, handwritten faxes, multi-page TIFFs — and manual abstraction remains slow, costly, and error-prone. NCQA is phasing out traditional hybrid HEDIS reporting in favor of Electronic Clinical Data Systems (ECDS) and FHIR-computable digital quality measures (dQMs), targeting full transition by 2029. In parallel, local open-weight models are emerging as a way to keep Protected Health Information inside a payer's own perimeter, avoiding the Business Associate Agreement complexity of sending PHI to cloud AI APIs. OmniFHIR-AI tests this local-inference approach directly.</w:t>
      </w:r>
    </w:p>
    <w:p w14:paraId="7C1D45AC" w14:textId="77777777" w:rsidR="00127037" w:rsidRDefault="00000000">
      <w:pPr>
        <w:pStyle w:val="Heading1"/>
        <w:pBdr>
          <w:bottom w:val="single" w:sz="6" w:space="2" w:color="1F3A5F"/>
        </w:pBdr>
        <w:spacing w:before="160" w:after="8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Current POC: Baseline Architecture &amp; Scope</w:t>
      </w:r>
    </w:p>
    <w:p w14:paraId="0A06E1BB" w14:textId="77777777" w:rsidR="00127037" w:rsidRDefault="00000000">
      <w:pPr>
        <w:spacing w:after="120" w:line="252" w:lineRule="auto"/>
        <w:jc w:val="both"/>
      </w:pPr>
      <w:r>
        <w:rPr>
          <w:rFonts w:ascii="Calibri" w:eastAsia="Calibri" w:hAnsi="Calibri" w:cs="Calibri"/>
          <w:sz w:val="21"/>
          <w:szCs w:val="21"/>
        </w:rPr>
        <w:t>OmniFHIR-AI is a six-stage pipeline — ingestion, OCR, GenAI extraction, validation, rules evaluation, and FHIR output — that processes .txt, .pdf, .png, .jpg, .tiff, and .docx files entirely through local models via Ollama. Llama 3.2 Vision performs primary extraction from images and scans, with a deterministic Tesseract OCR fallback on low-confidence results; multi-page TIFFs are split and processed frame-by-frame to handle legacy fax transmissions without data loss. Mistral 7B (Jiang et al., 2023) then converts raw text into a strict, Pydantic-validated JSON schema, producing patient ID, test values, and a source snippet showing exactly where each value was found. Output is packaged as an HL7 FHIR R4 Observation resource.</w:t>
      </w:r>
    </w:p>
    <w:p w14:paraId="450E7B5B" w14:textId="5E38A1B3" w:rsidR="00127037" w:rsidRDefault="00000000">
      <w:pPr>
        <w:spacing w:after="120" w:line="252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The current build runs on synthetic clinical notes and lab slips generated across all supported formats, and tests one clinical rule — HbA1c control against the 8.0% threshold (LOINC 4548-4) — as a </w:t>
      </w:r>
      <w:r w:rsidR="00BE0E2E">
        <w:rPr>
          <w:rFonts w:ascii="Calibri" w:eastAsia="Calibri" w:hAnsi="Calibri" w:cs="Calibri"/>
          <w:sz w:val="21"/>
          <w:szCs w:val="21"/>
        </w:rPr>
        <w:t xml:space="preserve">heavily </w:t>
      </w:r>
      <w:r>
        <w:rPr>
          <w:rFonts w:ascii="Calibri" w:eastAsia="Calibri" w:hAnsi="Calibri" w:cs="Calibri"/>
          <w:sz w:val="21"/>
          <w:szCs w:val="21"/>
        </w:rPr>
        <w:t>simplified proxy to validate the full ingestion-to-FHIR flow. This proxy does not yet implement the full HEDIS/GSD measure specification, which requires eligible-population criteria, exclusions, continuous enrollment, and most-recent-result-in-year logic; expanding to that full logic is proposed under Strategic Option 1 below.</w:t>
      </w:r>
    </w:p>
    <w:p w14:paraId="579F2348" w14:textId="77777777" w:rsidR="00127037" w:rsidRDefault="00000000">
      <w:pPr>
        <w:pStyle w:val="Heading1"/>
        <w:pBdr>
          <w:bottom w:val="single" w:sz="6" w:space="2" w:color="1F3A5F"/>
        </w:pBdr>
        <w:spacing w:before="160" w:after="8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Opportunities</w:t>
      </w:r>
    </w:p>
    <w:p w14:paraId="0F19571A" w14:textId="77777777" w:rsidR="00127037" w:rsidRDefault="00000000">
      <w:pPr>
        <w:spacing w:after="120" w:line="252" w:lineRule="auto"/>
        <w:jc w:val="both"/>
      </w:pPr>
      <w:r>
        <w:rPr>
          <w:rFonts w:ascii="Calibri" w:eastAsia="Calibri" w:hAnsi="Calibri" w:cs="Calibri"/>
          <w:sz w:val="21"/>
          <w:szCs w:val="21"/>
        </w:rPr>
        <w:t>Cotiviti already operates NLP-driven abstraction at scale — Medical Record Coding and Abstraction, and Chart Review, a digital HEDIS engine built with Astrata on FHIR and CQL (Astrata, 2024). OmniFHIR-AI is not proposed as a replacement for that infrastructure; it demonstrates a specific complement: fully local inference. Three opportunities follow. First, zero cloud dependency removes BAA exposure and makes the approach viable in network-isolated or air-gapped environments that cloud-based tools cannot reach. Second, the vision pipeline extracts directly from raw, non-digitized source material — handwritten faxes, scanned multi-page TIFFs — a harder input class than the pre-digitized EHR text most NLP tools operate on. Third, once deployed, local inference carries zero marginal cost per document, compared to licensed or per-seat vendor pricing.</w:t>
      </w:r>
    </w:p>
    <w:p w14:paraId="5A2F4108" w14:textId="77777777" w:rsidR="00127037" w:rsidRDefault="00000000">
      <w:pPr>
        <w:pStyle w:val="Heading1"/>
        <w:pBdr>
          <w:bottom w:val="single" w:sz="6" w:space="2" w:color="1F3A5F"/>
        </w:pBdr>
        <w:spacing w:before="160" w:after="8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Threats, Governance &amp; Local SLM Limitations</w:t>
      </w:r>
    </w:p>
    <w:p w14:paraId="61DEBFC6" w14:textId="77777777" w:rsidR="00127037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454F1F2B" wp14:editId="076B8BFE">
            <wp:extent cx="4381500" cy="2047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F00A" w14:textId="3CF656AA" w:rsidR="00127037" w:rsidRDefault="00000000">
      <w:pPr>
        <w:spacing w:after="120" w:line="252" w:lineRule="auto"/>
        <w:jc w:val="both"/>
      </w:pPr>
      <w:r>
        <w:rPr>
          <w:rFonts w:ascii="Calibri" w:eastAsia="Calibri" w:hAnsi="Calibri" w:cs="Calibri"/>
          <w:sz w:val="21"/>
          <w:szCs w:val="21"/>
        </w:rPr>
        <w:t>Small local models can struggle with open-ended autonomous tasks, so OmniFHIR-AI enforces quarantine by default: every extraction receives an AI-generated confidence score, and anything below 0.7 routes to a Streamlit human-in-the-loop dashboard showing the source document, the generated FHIR JSON, and the exact source snippet used for the determination, side by side. No FHIR data exports without human sign-off, and every stage transition and reviewer action is logged to an auditable provenance trail. One known limitation: confidence scores are currently self-reported by the same model performing extraction and are not independently calibrated (Kadavath et al., 2022); a production path would validate these scores against a labeled dataset or cross-check agreement with the Tesseract</w:t>
      </w:r>
      <w:r w:rsidR="00F26056">
        <w:rPr>
          <w:rFonts w:ascii="Calibri" w:eastAsia="Calibri" w:hAnsi="Calibri" w:cs="Calibri"/>
          <w:sz w:val="21"/>
          <w:szCs w:val="21"/>
        </w:rPr>
        <w:t xml:space="preserve"> and not use it as a fallback</w:t>
      </w:r>
      <w:r>
        <w:rPr>
          <w:rFonts w:ascii="Calibri" w:eastAsia="Calibri" w:hAnsi="Calibri" w:cs="Calibri"/>
          <w:sz w:val="21"/>
          <w:szCs w:val="21"/>
        </w:rPr>
        <w:t>. Pydantic schema enforcement guarantees structurally valid output regardless.</w:t>
      </w:r>
    </w:p>
    <w:p w14:paraId="165872B2" w14:textId="77777777" w:rsidR="00127037" w:rsidRDefault="00000000">
      <w:pPr>
        <w:pStyle w:val="Heading1"/>
        <w:pBdr>
          <w:bottom w:val="single" w:sz="6" w:space="2" w:color="1F3A5F"/>
        </w:pBdr>
        <w:spacing w:before="160" w:after="8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Strategic Options for Cotiviti</w:t>
      </w:r>
    </w:p>
    <w:p w14:paraId="5A34DFF1" w14:textId="77777777" w:rsidR="00127037" w:rsidRDefault="00000000">
      <w:pPr>
        <w:spacing w:after="120" w:line="252" w:lineRule="auto"/>
        <w:jc w:val="both"/>
      </w:pPr>
      <w:r>
        <w:rPr>
          <w:rFonts w:ascii="Calibri" w:eastAsia="Calibri" w:hAnsi="Calibri" w:cs="Calibri"/>
          <w:sz w:val="21"/>
          <w:szCs w:val="21"/>
        </w:rPr>
        <w:t>Option 1 — Dataset &amp; Rule Library Expansion: test the pipeline against large-scale de-identified datasets such as MIMIC-IV (Johnson et al., 2023) and Synthea (Walonoski et al., 2018), and expand the rules engine from the HbA1c proxy to full HEDIS/GSD-compliant logic, plus additional ECDS measures such as Colorectal Cancer Screening, Breast Cancer Screening, and Blood Pressure Control. A natural extension is re-authoring the rule library directly in HL7's Clinical Quality Language (HL7 International, n.d.) — the specification NCQA already uses for its own digital HEDIS content — so extracted values plug into NCQA-certified measure logic rather than a parallel custom implementation.</w:t>
      </w:r>
    </w:p>
    <w:p w14:paraId="3980131E" w14:textId="77777777" w:rsidR="00127037" w:rsidRDefault="00000000">
      <w:pPr>
        <w:spacing w:after="120" w:line="252" w:lineRule="auto"/>
        <w:jc w:val="both"/>
      </w:pPr>
      <w:r>
        <w:rPr>
          <w:rFonts w:ascii="Calibri" w:eastAsia="Calibri" w:hAnsi="Calibri" w:cs="Calibri"/>
          <w:sz w:val="21"/>
          <w:szCs w:val="21"/>
        </w:rPr>
        <w:t>Option 2 — Deterministic Micro-Agent Architecture: evolve the single-prompt flow into specialized Triage, Extraction, and Verification agents, with edge cases escalating to private cloud models or human queues while routine charts process locally at zero marginal cost — operating alongside, not instead of, existing cloud NLP capacity. A Verification agent could specifically cross-check the Extraction agent's confidence score against Tesseract OCR agreement, giving the cascade an independent second signal before anything reaches automated FHIR output, directly addressing the calibration limitation noted above.</w:t>
      </w:r>
    </w:p>
    <w:p w14:paraId="016A3554" w14:textId="77777777" w:rsidR="00127037" w:rsidRDefault="00000000">
      <w:pPr>
        <w:spacing w:after="120" w:line="252" w:lineRule="auto"/>
        <w:jc w:val="both"/>
      </w:pPr>
      <w:r>
        <w:rPr>
          <w:rFonts w:ascii="Calibri" w:eastAsia="Calibri" w:hAnsi="Calibri" w:cs="Calibri"/>
          <w:sz w:val="21"/>
          <w:szCs w:val="21"/>
        </w:rPr>
        <w:t>Option 3 — Integration with Quality Intelligence and Edifecs: embed OmniFHIR-AI as an on-premise, edge-inference layer within Cotiviti's Quality Intelligence suite and the Edifecs FHIR interoperability platform, acquired in March 2025 (Cotiviti, 2025), handling the network-isolated or cost-sensitive segment that cloud-based abstraction is least suited to serve. Positioned this way, OmniFHIR-AI would sit closest to the point of data intake, reducing the volume of raw unstructured material that ever needs to leave a plan's own environment before reaching Edifecs' interoperability layer.</w:t>
      </w:r>
    </w:p>
    <w:p w14:paraId="628C794E" w14:textId="77777777" w:rsidR="00127037" w:rsidRDefault="00000000">
      <w:pPr>
        <w:spacing w:after="120" w:line="252" w:lineRule="auto"/>
        <w:jc w:val="both"/>
      </w:pPr>
      <w:r>
        <w:rPr>
          <w:rFonts w:ascii="Calibri" w:eastAsia="Calibri" w:hAnsi="Calibri" w:cs="Calibri"/>
          <w:i/>
          <w:iCs/>
          <w:sz w:val="21"/>
          <w:szCs w:val="21"/>
        </w:rPr>
        <w:t>OmniFHIR-AI's value is not in replacing Cotiviti's existing abstraction capability, but in proving that local, open-weight inference is a viable complement for the segments that capability cannot reach: isolated networks, cost-sensitive volumes, and the hardest class of non-digitized source material.</w:t>
      </w:r>
    </w:p>
    <w:p w14:paraId="4216A278" w14:textId="77777777" w:rsidR="00127037" w:rsidRDefault="00000000">
      <w:pPr>
        <w:pageBreakBefore/>
      </w:pPr>
      <w:r>
        <w:lastRenderedPageBreak/>
        <w:br/>
      </w:r>
    </w:p>
    <w:p w14:paraId="7963A191" w14:textId="77777777" w:rsidR="00127037" w:rsidRDefault="00000000">
      <w:pPr>
        <w:pStyle w:val="Heading1"/>
        <w:pBdr>
          <w:bottom w:val="single" w:sz="6" w:space="2" w:color="1F3A5F"/>
        </w:pBdr>
        <w:spacing w:before="160" w:after="8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References</w:t>
      </w:r>
    </w:p>
    <w:p w14:paraId="7E3A3EEB" w14:textId="4C351C4D" w:rsidR="00127037" w:rsidRDefault="00000000">
      <w:pPr>
        <w:spacing w:after="160" w:line="252" w:lineRule="auto"/>
        <w:ind w:left="360" w:hanging="360"/>
      </w:pPr>
      <w:r>
        <w:rPr>
          <w:rFonts w:ascii="Calibri" w:eastAsia="Calibri" w:hAnsi="Calibri" w:cs="Calibri"/>
          <w:sz w:val="21"/>
          <w:szCs w:val="21"/>
        </w:rPr>
        <w:t xml:space="preserve">Astrata. (2024). Chart review: NLP-assisted abstraction. Astrata.co. </w:t>
      </w:r>
      <w:hyperlink r:id="rId6" w:history="1"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https://www.astrata.co/pro</w:t>
        </w:r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d</w:t>
        </w:r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ucts/chart-review/</w:t>
        </w:r>
      </w:hyperlink>
    </w:p>
    <w:p w14:paraId="1B8CB855" w14:textId="77777777" w:rsidR="00127037" w:rsidRDefault="00000000">
      <w:pPr>
        <w:spacing w:after="160" w:line="252" w:lineRule="auto"/>
        <w:ind w:left="360" w:hanging="360"/>
      </w:pPr>
      <w:r>
        <w:rPr>
          <w:rFonts w:ascii="Calibri" w:eastAsia="Calibri" w:hAnsi="Calibri" w:cs="Calibri"/>
          <w:sz w:val="21"/>
          <w:szCs w:val="21"/>
        </w:rPr>
        <w:t>Centers for Medicare &amp; Medicaid Services. (2024). Interoperability and prior authorization final rule (CMS-0057-F). U.S. Department of Health and Human Services.</w:t>
      </w:r>
    </w:p>
    <w:p w14:paraId="00884B35" w14:textId="72DC5A81" w:rsidR="00127037" w:rsidRDefault="00000000">
      <w:pPr>
        <w:spacing w:after="160" w:line="252" w:lineRule="auto"/>
        <w:ind w:left="360" w:hanging="360"/>
      </w:pPr>
      <w:r>
        <w:rPr>
          <w:rFonts w:ascii="Calibri" w:eastAsia="Calibri" w:hAnsi="Calibri" w:cs="Calibri"/>
          <w:sz w:val="21"/>
          <w:szCs w:val="21"/>
        </w:rPr>
        <w:t xml:space="preserve">Cotiviti. (2025, March 31). Cotiviti completes acquisition of Edifecs [Press release]. </w:t>
      </w:r>
      <w:hyperlink r:id="rId7" w:history="1"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https://w</w:t>
        </w:r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w</w:t>
        </w:r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w.cotiviti.com/press-release/cotiviti-completes-acquisition-of-edifecs</w:t>
        </w:r>
      </w:hyperlink>
    </w:p>
    <w:p w14:paraId="07B9D7D2" w14:textId="0826E88A" w:rsidR="00127037" w:rsidRDefault="00000000">
      <w:pPr>
        <w:spacing w:after="160" w:line="252" w:lineRule="auto"/>
        <w:ind w:left="360" w:hanging="360"/>
      </w:pPr>
      <w:r>
        <w:rPr>
          <w:rFonts w:ascii="Calibri" w:eastAsia="Calibri" w:hAnsi="Calibri" w:cs="Calibri"/>
          <w:sz w:val="21"/>
          <w:szCs w:val="21"/>
        </w:rPr>
        <w:t xml:space="preserve">Cotiviti. (2026). Medical record abstraction. Cotiviti.com. </w:t>
      </w:r>
      <w:hyperlink r:id="rId8" w:history="1"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https://www.cotiviti.com/solutions/quality-and-performance/medical-record-a</w:t>
        </w:r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b</w:t>
        </w:r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straction</w:t>
        </w:r>
      </w:hyperlink>
    </w:p>
    <w:p w14:paraId="7F99432A" w14:textId="77777777" w:rsidR="00127037" w:rsidRDefault="00000000">
      <w:pPr>
        <w:spacing w:after="160" w:line="252" w:lineRule="auto"/>
        <w:ind w:left="360" w:hanging="360"/>
      </w:pPr>
      <w:r>
        <w:rPr>
          <w:rFonts w:ascii="Calibri" w:eastAsia="Calibri" w:hAnsi="Calibri" w:cs="Calibri"/>
          <w:sz w:val="21"/>
          <w:szCs w:val="21"/>
        </w:rPr>
        <w:t>HL7 International. (2019). HL7 FHIR release 4: Observation resource specification. Health Level Seven International.</w:t>
      </w:r>
    </w:p>
    <w:p w14:paraId="35B2B096" w14:textId="162B9506" w:rsidR="00127037" w:rsidRDefault="00000000">
      <w:pPr>
        <w:spacing w:after="160" w:line="252" w:lineRule="auto"/>
        <w:ind w:left="360" w:hanging="360"/>
      </w:pPr>
      <w:r>
        <w:rPr>
          <w:rFonts w:ascii="Calibri" w:eastAsia="Calibri" w:hAnsi="Calibri" w:cs="Calibri"/>
          <w:sz w:val="21"/>
          <w:szCs w:val="21"/>
        </w:rPr>
        <w:t xml:space="preserve">HL7 International. (n.d.). Clinical Quality Language (CQL) specification, Release 1 (Version 1.5.3). Health Level Seven International. </w:t>
      </w:r>
      <w:hyperlink r:id="rId9" w:history="1"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https://cql.h</w:t>
        </w:r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l</w:t>
        </w:r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7.org/</w:t>
        </w:r>
      </w:hyperlink>
    </w:p>
    <w:p w14:paraId="232D3233" w14:textId="477270D6" w:rsidR="00127037" w:rsidRDefault="00000000">
      <w:pPr>
        <w:spacing w:after="160" w:line="252" w:lineRule="auto"/>
        <w:ind w:left="360" w:hanging="360"/>
      </w:pPr>
      <w:r>
        <w:rPr>
          <w:rFonts w:ascii="Calibri" w:eastAsia="Calibri" w:hAnsi="Calibri" w:cs="Calibri"/>
          <w:sz w:val="21"/>
          <w:szCs w:val="21"/>
        </w:rPr>
        <w:t xml:space="preserve">Jiang, A. Q., Sablayrolles, A., Mensch, A., Bamford, C., Chaplot, D. S., de las Casas, D., Bressand, F., Lengyel, G., Lample, G., Saulnier, L., Lavaud, L. R., Lachaux, M.-A., Stock, P., Le Scao, T., Lavril, T., Wang, T., Lacroix, T., &amp; El Sayed, W. (2023). Mistral 7B (arXiv:2310.06825). arXiv. </w:t>
      </w:r>
      <w:hyperlink r:id="rId10" w:history="1"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https://doi.org/10.48550/a</w:t>
        </w:r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r</w:t>
        </w:r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Xiv.2310.06825</w:t>
        </w:r>
      </w:hyperlink>
    </w:p>
    <w:p w14:paraId="17EBA1DA" w14:textId="3C139023" w:rsidR="00127037" w:rsidRDefault="00000000">
      <w:pPr>
        <w:spacing w:after="160" w:line="252" w:lineRule="auto"/>
        <w:ind w:left="360" w:hanging="360"/>
      </w:pPr>
      <w:r>
        <w:rPr>
          <w:rFonts w:ascii="Calibri" w:eastAsia="Calibri" w:hAnsi="Calibri" w:cs="Calibri"/>
          <w:sz w:val="21"/>
          <w:szCs w:val="21"/>
        </w:rPr>
        <w:t xml:space="preserve">Johnson, A. E. W., Bulgarelli, L., Shen, L., Gayles, A., Shammout, A., Horng, S., Pollard, T. J., Hao, S., Moody, B., Gow, B., Lehman, L. H., Celi, L. A., &amp; Mark, R. G. (2023). MIMIC-IV, a freely accessible electronic health record dataset. Scientific Data, 10(1), 1. </w:t>
      </w:r>
      <w:hyperlink r:id="rId11" w:history="1"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https://doi.org/10.1038/s4159</w:t>
        </w:r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7</w:t>
        </w:r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-022-01899-x</w:t>
        </w:r>
      </w:hyperlink>
    </w:p>
    <w:p w14:paraId="45ACDB12" w14:textId="4DB00527" w:rsidR="00127037" w:rsidRDefault="00000000">
      <w:pPr>
        <w:spacing w:after="160" w:line="252" w:lineRule="auto"/>
        <w:ind w:left="360" w:hanging="360"/>
      </w:pPr>
      <w:r>
        <w:rPr>
          <w:rFonts w:ascii="Calibri" w:eastAsia="Calibri" w:hAnsi="Calibri" w:cs="Calibri"/>
          <w:sz w:val="21"/>
          <w:szCs w:val="21"/>
        </w:rPr>
        <w:t xml:space="preserve">Kadavath, S., Conerly, T., Askell, A., Henighan, T., Drain, D., Perez, E., Schiefer, N., Hatfield-Dodds, Z., DasSarma, N., Tran-Johnson, E., Johnston, S., El-Showk, S., Jones, A., Elhage, N., Hume, T., Chen, A., Bai, Y., Bowman, S., Fort, S., . . . Kaplan, J. (2022). Language models (mostly) know what they know (arXiv:2207.05221). arXiv. </w:t>
      </w:r>
      <w:hyperlink r:id="rId12" w:history="1"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https://doi.org/10.48550/arXiv.2207.0</w:t>
        </w:r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5</w:t>
        </w:r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221</w:t>
        </w:r>
      </w:hyperlink>
    </w:p>
    <w:p w14:paraId="135D2832" w14:textId="77777777" w:rsidR="00127037" w:rsidRDefault="00000000">
      <w:pPr>
        <w:spacing w:after="160" w:line="252" w:lineRule="auto"/>
        <w:ind w:left="360" w:hanging="360"/>
      </w:pPr>
      <w:r>
        <w:rPr>
          <w:rFonts w:ascii="Calibri" w:eastAsia="Calibri" w:hAnsi="Calibri" w:cs="Calibri"/>
          <w:sz w:val="21"/>
          <w:szCs w:val="21"/>
        </w:rPr>
        <w:t>National Committee for Quality Assurance. (2023). Transitioning to digital quality measures (dQMs) and electronic clinical data systems (ECDS). NCQA HEDIS Technical Specifications.</w:t>
      </w:r>
    </w:p>
    <w:p w14:paraId="77DBB3CB" w14:textId="1B4B56BB" w:rsidR="00127037" w:rsidRDefault="00000000">
      <w:pPr>
        <w:spacing w:after="160" w:line="252" w:lineRule="auto"/>
        <w:ind w:left="360" w:hanging="360"/>
      </w:pPr>
      <w:r>
        <w:rPr>
          <w:rFonts w:ascii="Calibri" w:eastAsia="Calibri" w:hAnsi="Calibri" w:cs="Calibri"/>
          <w:sz w:val="21"/>
          <w:szCs w:val="21"/>
        </w:rPr>
        <w:t xml:space="preserve">Ollama Authors. (2024). Ollama: Open-weight large language models locally [GitHub repository]. </w:t>
      </w:r>
      <w:hyperlink r:id="rId13" w:history="1"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https://github.com/ollama/ollama</w:t>
        </w:r>
      </w:hyperlink>
    </w:p>
    <w:p w14:paraId="428D6456" w14:textId="79E879D3" w:rsidR="00127037" w:rsidRDefault="00000000">
      <w:pPr>
        <w:spacing w:after="160" w:line="252" w:lineRule="auto"/>
        <w:ind w:left="360" w:hanging="360"/>
      </w:pPr>
      <w:r>
        <w:rPr>
          <w:rFonts w:ascii="Calibri" w:eastAsia="Calibri" w:hAnsi="Calibri" w:cs="Calibri"/>
          <w:sz w:val="21"/>
          <w:szCs w:val="21"/>
        </w:rPr>
        <w:t xml:space="preserve">Walonoski, J., Kramer, M., Nichols, J., Quina, A., Moesel, C., Hall, D., Duffett, C., Dube, K., Gallagher, T., &amp; McLachlan, S. (2018). Synthea: An approach, method, and software mechanism for generating synthetic patients and the synthetic electronic health care record. Journal of the American Medical Informatics Association, 25(3), 230–238. </w:t>
      </w:r>
      <w:hyperlink r:id="rId14" w:history="1"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https://doi.org/10.1093/ja</w:t>
        </w:r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m</w:t>
        </w:r>
        <w:r w:rsidRPr="00BE0E2E">
          <w:rPr>
            <w:rStyle w:val="Hyperlink"/>
            <w:rFonts w:ascii="Calibri" w:eastAsia="Calibri" w:hAnsi="Calibri" w:cs="Calibri"/>
            <w:sz w:val="21"/>
            <w:szCs w:val="21"/>
          </w:rPr>
          <w:t>ia/ocx079</w:t>
        </w:r>
      </w:hyperlink>
    </w:p>
    <w:sectPr w:rsidR="00127037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F3B81"/>
    <w:multiLevelType w:val="hybridMultilevel"/>
    <w:tmpl w:val="7236F8AA"/>
    <w:lvl w:ilvl="0" w:tplc="342A9392">
      <w:start w:val="1"/>
      <w:numFmt w:val="bullet"/>
      <w:lvlText w:val="●"/>
      <w:lvlJc w:val="left"/>
      <w:pPr>
        <w:ind w:left="720" w:hanging="360"/>
      </w:pPr>
    </w:lvl>
    <w:lvl w:ilvl="1" w:tplc="BF629F9C">
      <w:start w:val="1"/>
      <w:numFmt w:val="bullet"/>
      <w:lvlText w:val="○"/>
      <w:lvlJc w:val="left"/>
      <w:pPr>
        <w:ind w:left="1440" w:hanging="360"/>
      </w:pPr>
    </w:lvl>
    <w:lvl w:ilvl="2" w:tplc="92FEB838">
      <w:start w:val="1"/>
      <w:numFmt w:val="bullet"/>
      <w:lvlText w:val="■"/>
      <w:lvlJc w:val="left"/>
      <w:pPr>
        <w:ind w:left="2160" w:hanging="360"/>
      </w:pPr>
    </w:lvl>
    <w:lvl w:ilvl="3" w:tplc="F5C8A130">
      <w:start w:val="1"/>
      <w:numFmt w:val="bullet"/>
      <w:lvlText w:val="●"/>
      <w:lvlJc w:val="left"/>
      <w:pPr>
        <w:ind w:left="2880" w:hanging="360"/>
      </w:pPr>
    </w:lvl>
    <w:lvl w:ilvl="4" w:tplc="1C761AE0">
      <w:start w:val="1"/>
      <w:numFmt w:val="bullet"/>
      <w:lvlText w:val="○"/>
      <w:lvlJc w:val="left"/>
      <w:pPr>
        <w:ind w:left="3600" w:hanging="360"/>
      </w:pPr>
    </w:lvl>
    <w:lvl w:ilvl="5" w:tplc="705E1E14">
      <w:start w:val="1"/>
      <w:numFmt w:val="bullet"/>
      <w:lvlText w:val="■"/>
      <w:lvlJc w:val="left"/>
      <w:pPr>
        <w:ind w:left="4320" w:hanging="360"/>
      </w:pPr>
    </w:lvl>
    <w:lvl w:ilvl="6" w:tplc="55924DF8">
      <w:start w:val="1"/>
      <w:numFmt w:val="bullet"/>
      <w:lvlText w:val="●"/>
      <w:lvlJc w:val="left"/>
      <w:pPr>
        <w:ind w:left="5040" w:hanging="360"/>
      </w:pPr>
    </w:lvl>
    <w:lvl w:ilvl="7" w:tplc="80DAB2B4">
      <w:start w:val="1"/>
      <w:numFmt w:val="bullet"/>
      <w:lvlText w:val="●"/>
      <w:lvlJc w:val="left"/>
      <w:pPr>
        <w:ind w:left="5760" w:hanging="360"/>
      </w:pPr>
    </w:lvl>
    <w:lvl w:ilvl="8" w:tplc="1CF2FA56">
      <w:start w:val="1"/>
      <w:numFmt w:val="bullet"/>
      <w:lvlText w:val="●"/>
      <w:lvlJc w:val="left"/>
      <w:pPr>
        <w:ind w:left="6480" w:hanging="360"/>
      </w:pPr>
    </w:lvl>
  </w:abstractNum>
  <w:num w:numId="1" w16cid:durableId="312564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037"/>
    <w:rsid w:val="00071C85"/>
    <w:rsid w:val="00127037"/>
    <w:rsid w:val="005F3CB3"/>
    <w:rsid w:val="00BE0E2E"/>
    <w:rsid w:val="00F2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953EF"/>
  <w15:docId w15:val="{DE60290E-0B77-4886-AE49-EFC2DDA93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E0E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0E2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tiviti.com/solutions/quality-and-performance/medical-record-abstraction" TargetMode="External"/><Relationship Id="rId13" Type="http://schemas.openxmlformats.org/officeDocument/2006/relationships/hyperlink" Target="https://github.com/ollama/ollam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tiviti.com/press-release/cotiviti-completes-acquisition-of-edifecs" TargetMode="External"/><Relationship Id="rId12" Type="http://schemas.openxmlformats.org/officeDocument/2006/relationships/hyperlink" Target="https://doi.org/10.48550/arXiv.2207.0522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strata.co/products/chart-review/" TargetMode="External"/><Relationship Id="rId11" Type="http://schemas.openxmlformats.org/officeDocument/2006/relationships/hyperlink" Target="https://doi.org/10.1038/s41597-022-01899-x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doi.org/10.48550/arXiv.2310.0682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ql.hl7.org/" TargetMode="External"/><Relationship Id="rId14" Type="http://schemas.openxmlformats.org/officeDocument/2006/relationships/hyperlink" Target="https://doi.org/10.1093/jamia/ocx0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1458</Words>
  <Characters>8317</Characters>
  <Application>Microsoft Office Word</Application>
  <DocSecurity>0</DocSecurity>
  <Lines>69</Lines>
  <Paragraphs>19</Paragraphs>
  <ScaleCrop>false</ScaleCrop>
  <Company/>
  <LinksUpToDate>false</LinksUpToDate>
  <CharactersWithSpaces>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ramakrishna s</cp:lastModifiedBy>
  <cp:revision>4</cp:revision>
  <dcterms:created xsi:type="dcterms:W3CDTF">2026-08-10T06:57:00Z</dcterms:created>
  <dcterms:modified xsi:type="dcterms:W3CDTF">2026-08-10T17:09:00Z</dcterms:modified>
</cp:coreProperties>
</file>