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hief-technology-officer-cto"/>
    <w:p>
      <w:pPr>
        <w:pStyle w:val="Heading1"/>
      </w:pPr>
      <w:r>
        <w:t xml:space="preserve">Chief Technology Officer (CTO)</w:t>
      </w:r>
    </w:p>
    <w:p>
      <w:pPr>
        <w:pStyle w:val="FirstParagraph"/>
      </w:pPr>
      <w:r>
        <w:t xml:space="preserve">The executive responsible for enterprise-wide technology vision, engineering and product strategy alignment, organisational capability, technical governance, commercial and financial stewardship of technology, and representing the company’s technology posture externally. Demonstrates corporate influence, long-horizon planning, and exemplary engineering leadership.</w:t>
      </w:r>
    </w:p>
    <w:p>
      <w:pPr>
        <w:pStyle w:val="BodyText"/>
      </w:pPr>
      <w:r>
        <w:t xml:space="preserve">Candidates should use the</w:t>
      </w:r>
      <w:r>
        <w:t xml:space="preserve"> </w:t>
      </w:r>
      <w:r>
        <w:rPr>
          <w:bCs/>
          <w:b/>
        </w:rPr>
        <w:t xml:space="preserve">STAR method</w:t>
      </w:r>
      <w:r>
        <w:t xml:space="preserve"> </w:t>
      </w:r>
      <w:r>
        <w:t xml:space="preserve">(Situation, Task, Action, Result). This assessment is about demonstrated experience, not theoretical understanding.</w:t>
      </w:r>
    </w:p>
    <w:p>
      <w:r>
        <w:pict>
          <v:rect style="width:0;height:1.5pt" o:hralign="center" o:hrstd="t" o:hr="t"/>
        </w:pict>
      </w:r>
    </w:p>
    <w:bookmarkStart w:id="21" w:name="a---technology-vision-strategy"/>
    <w:p>
      <w:pPr>
        <w:pStyle w:val="Heading2"/>
      </w:pPr>
      <w:r>
        <w:t xml:space="preserve">A - Technology Vision &amp; Strategy</w:t>
      </w:r>
    </w:p>
    <w:bookmarkStart w:id="20" w:name="X3861f4cd741bbdb99a0f9044fe4dd56303bafd3"/>
    <w:p>
      <w:pPr>
        <w:pStyle w:val="Heading4"/>
      </w:pPr>
      <w:r>
        <w:rPr>
          <w:bCs/>
          <w:b/>
        </w:rPr>
        <w:t xml:space="preserve">00:10</w:t>
      </w:r>
      <w:r>
        <w:t xml:space="preserve"> </w:t>
      </w:r>
      <w:r>
        <w:t xml:space="preserve">- UK-SPEC CEng A / SFIA STPL Level 6–7 / ARCH Level 6 / EMRG Level 6</w:t>
      </w:r>
    </w:p>
    <w:p>
      <w:pPr>
        <w:pStyle w:val="FirstParagraph"/>
      </w:pPr>
      <w:r>
        <w:t xml:space="preserve">Defining and communicating a technology vision that shapes the organisation’s future, aligns with corporate strategy, and directs multi-year investment.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1"/>
        </w:numPr>
        <w:pStyle w:val="Compact"/>
      </w:pPr>
      <w:r>
        <w:t xml:space="preserve">Has defined a multi-year technical vision across multiple business areas or divisions</w:t>
      </w:r>
    </w:p>
    <w:p>
      <w:pPr>
        <w:numPr>
          <w:ilvl w:val="0"/>
          <w:numId w:val="1001"/>
        </w:numPr>
        <w:pStyle w:val="Compact"/>
      </w:pPr>
      <w:r>
        <w:t xml:space="preserve">Demonstrated ability to shape enterprise architecture to support strategic goals</w:t>
      </w:r>
    </w:p>
    <w:p>
      <w:pPr>
        <w:numPr>
          <w:ilvl w:val="0"/>
          <w:numId w:val="1001"/>
        </w:numPr>
        <w:pStyle w:val="Compact"/>
      </w:pPr>
      <w:r>
        <w:t xml:space="preserve">Evaluates emerging technology, identifies strategic opportunities, and defines adoption timelines</w:t>
      </w:r>
    </w:p>
    <w:p>
      <w:pPr>
        <w:numPr>
          <w:ilvl w:val="0"/>
          <w:numId w:val="1001"/>
        </w:numPr>
        <w:pStyle w:val="Compact"/>
      </w:pPr>
      <w:r>
        <w:t xml:space="preserve">Balances innovation with risk, cost, operational constraints, and long-term scalability</w:t>
      </w:r>
    </w:p>
    <w:p>
      <w:pPr>
        <w:numPr>
          <w:ilvl w:val="0"/>
          <w:numId w:val="1001"/>
        </w:numPr>
        <w:pStyle w:val="Compact"/>
      </w:pPr>
      <w:r>
        <w:t xml:space="preserve">Can clearly articulate a technology strategy that the board and executive team can execute against</w:t>
      </w:r>
    </w:p>
    <w:p>
      <w:pPr>
        <w:numPr>
          <w:ilvl w:val="0"/>
          <w:numId w:val="1001"/>
        </w:numPr>
        <w:pStyle w:val="Compact"/>
      </w:pPr>
      <w:r>
        <w:t xml:space="preserve">Translates technology trends into business opportunities and competitive advantages</w:t>
      </w:r>
    </w:p>
    <w:p>
      <w:pPr>
        <w:numPr>
          <w:ilvl w:val="0"/>
          <w:numId w:val="1001"/>
        </w:numPr>
        <w:pStyle w:val="Compact"/>
      </w:pPr>
      <w:r>
        <w:t xml:space="preserve">Makes strategic technology decisions that position the company for future growth</w:t>
      </w:r>
    </w:p>
    <w:p>
      <w:pPr>
        <w:numPr>
          <w:ilvl w:val="0"/>
          <w:numId w:val="1001"/>
        </w:numPr>
        <w:pStyle w:val="Compact"/>
      </w:pPr>
      <w:r>
        <w:t xml:space="preserve">Aligns technology investments with market evolution and customer needs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b---organisational-leadership-governance"/>
    <w:p>
      <w:pPr>
        <w:pStyle w:val="Heading2"/>
      </w:pPr>
      <w:r>
        <w:t xml:space="preserve">B - Organisational Leadership &amp; Governance</w:t>
      </w:r>
    </w:p>
    <w:bookmarkStart w:id="22" w:name="X9fff9d0a540c5e0bef2069531b3ccdaeaf55a05"/>
    <w:p>
      <w:pPr>
        <w:pStyle w:val="Heading4"/>
      </w:pPr>
      <w:r>
        <w:rPr>
          <w:bCs/>
          <w:b/>
        </w:rPr>
        <w:t xml:space="preserve">00:15</w:t>
      </w:r>
      <w:r>
        <w:t xml:space="preserve"> </w:t>
      </w:r>
      <w:r>
        <w:t xml:space="preserve">- UK-SPEC CEng B &amp; C / SFIA GOVN Level 6–7 / POMG Level 6–7 / ITMG Level 7 / SLEN Level 6</w:t>
      </w:r>
    </w:p>
    <w:p>
      <w:pPr>
        <w:pStyle w:val="FirstParagraph"/>
      </w:pPr>
      <w:r>
        <w:t xml:space="preserve">Building and structuring the technology organisation, establishing governance, ensuring operational excellence, and overseeing mission-critical platforms.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2"/>
        </w:numPr>
        <w:pStyle w:val="Compact"/>
      </w:pPr>
      <w:r>
        <w:t xml:space="preserve">Led multi-layered technology organisations (Directors, Heads, Principal Engineers, Architects)</w:t>
      </w:r>
    </w:p>
    <w:p>
      <w:pPr>
        <w:numPr>
          <w:ilvl w:val="0"/>
          <w:numId w:val="1002"/>
        </w:numPr>
        <w:pStyle w:val="Compact"/>
      </w:pPr>
      <w:r>
        <w:t xml:space="preserve">Built and governed technology operating models, decision frameworks, and lifecycle processes</w:t>
      </w:r>
    </w:p>
    <w:p>
      <w:pPr>
        <w:numPr>
          <w:ilvl w:val="0"/>
          <w:numId w:val="1002"/>
        </w:numPr>
        <w:pStyle w:val="Compact"/>
      </w:pPr>
      <w:r>
        <w:t xml:space="preserve">Oversaw portfolio delivery across product, platform, infrastructure, data and security functions</w:t>
      </w:r>
    </w:p>
    <w:p>
      <w:pPr>
        <w:numPr>
          <w:ilvl w:val="0"/>
          <w:numId w:val="1002"/>
        </w:numPr>
        <w:pStyle w:val="Compact"/>
      </w:pPr>
      <w:r>
        <w:t xml:space="preserve">Introduced governance structures ensuring service reliability, compliance, and operational readiness</w:t>
      </w:r>
    </w:p>
    <w:p>
      <w:pPr>
        <w:numPr>
          <w:ilvl w:val="0"/>
          <w:numId w:val="1002"/>
        </w:numPr>
        <w:pStyle w:val="Compact"/>
      </w:pPr>
      <w:r>
        <w:t xml:space="preserve">Demonstrated leadership during crises, incidents, large-scale outages, or organisational transformations</w:t>
      </w:r>
    </w:p>
    <w:p>
      <w:pPr>
        <w:numPr>
          <w:ilvl w:val="0"/>
          <w:numId w:val="1002"/>
        </w:numPr>
        <w:pStyle w:val="Compact"/>
      </w:pPr>
      <w:r>
        <w:t xml:space="preserve">Established decision-making frameworks that scale across the organisation</w:t>
      </w:r>
    </w:p>
    <w:p>
      <w:pPr>
        <w:numPr>
          <w:ilvl w:val="0"/>
          <w:numId w:val="1002"/>
        </w:numPr>
        <w:pStyle w:val="Compact"/>
      </w:pPr>
      <w:r>
        <w:t xml:space="preserve">Balanced governance rigor with organisational agility and speed of execution</w:t>
      </w:r>
    </w:p>
    <w:p>
      <w:pPr>
        <w:numPr>
          <w:ilvl w:val="0"/>
          <w:numId w:val="1002"/>
        </w:numPr>
        <w:pStyle w:val="Compact"/>
      </w:pPr>
      <w:r>
        <w:t xml:space="preserve">Created accountability structures that empower teams while ensuring oversight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c---commercial-financial-stewardship"/>
    <w:p>
      <w:pPr>
        <w:pStyle w:val="Heading2"/>
      </w:pPr>
      <w:r>
        <w:t xml:space="preserve">C - Commercial &amp; Financial Stewardship</w:t>
      </w:r>
    </w:p>
    <w:bookmarkStart w:id="24" w:name="X350544fc598ae990acbbe9f5585b5140a9249e6"/>
    <w:p>
      <w:pPr>
        <w:pStyle w:val="Heading4"/>
      </w:pPr>
      <w:r>
        <w:rPr>
          <w:bCs/>
          <w:b/>
        </w:rPr>
        <w:t xml:space="preserve">00:20</w:t>
      </w:r>
      <w:r>
        <w:t xml:space="preserve"> </w:t>
      </w:r>
      <w:r>
        <w:t xml:space="preserve">- UK-SPEC CEng C / SFIA FMIT Level 6 / SINT Level 6 / ITMG Level 7</w:t>
      </w:r>
    </w:p>
    <w:p>
      <w:pPr>
        <w:pStyle w:val="FirstParagraph"/>
      </w:pPr>
      <w:r>
        <w:t xml:space="preserve">Technology economics, vendor strategy, investment portfolio, and alignment between technology and business outcomes.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3"/>
        </w:numPr>
        <w:pStyle w:val="Compact"/>
      </w:pPr>
      <w:r>
        <w:t xml:space="preserve">Managed multi-million-pound technology budgets and long-term investment plans</w:t>
      </w:r>
    </w:p>
    <w:p>
      <w:pPr>
        <w:numPr>
          <w:ilvl w:val="0"/>
          <w:numId w:val="1003"/>
        </w:numPr>
        <w:pStyle w:val="Compact"/>
      </w:pPr>
      <w:r>
        <w:t xml:space="preserve">Built investment cases for platform changes, re-architecture, or major engineering initiatives</w:t>
      </w:r>
    </w:p>
    <w:p>
      <w:pPr>
        <w:numPr>
          <w:ilvl w:val="0"/>
          <w:numId w:val="1003"/>
        </w:numPr>
        <w:pStyle w:val="Compact"/>
      </w:pPr>
      <w:r>
        <w:t xml:space="preserve">Governed or negotiated strategic vendor contracts, cloud agreements, and enterprise licences</w:t>
      </w:r>
    </w:p>
    <w:p>
      <w:pPr>
        <w:numPr>
          <w:ilvl w:val="0"/>
          <w:numId w:val="1003"/>
        </w:numPr>
        <w:pStyle w:val="Compact"/>
      </w:pPr>
      <w:r>
        <w:t xml:space="preserve">Demonstrated cost optimisation, ROI awareness, and strong technology–business alignment</w:t>
      </w:r>
    </w:p>
    <w:p>
      <w:pPr>
        <w:numPr>
          <w:ilvl w:val="0"/>
          <w:numId w:val="1003"/>
        </w:numPr>
        <w:pStyle w:val="Compact"/>
      </w:pPr>
      <w:r>
        <w:t xml:space="preserve">Ensured technology strategy supports commercial goals (scalability, reliability, margins, revenue enablement)</w:t>
      </w:r>
    </w:p>
    <w:p>
      <w:pPr>
        <w:numPr>
          <w:ilvl w:val="0"/>
          <w:numId w:val="1003"/>
        </w:numPr>
        <w:pStyle w:val="Compact"/>
      </w:pPr>
      <w:r>
        <w:t xml:space="preserve">Made strategic build vs. buy vs. partner decisions with clear financial rationale</w:t>
      </w:r>
    </w:p>
    <w:p>
      <w:pPr>
        <w:numPr>
          <w:ilvl w:val="0"/>
          <w:numId w:val="1003"/>
        </w:numPr>
        <w:pStyle w:val="Compact"/>
      </w:pPr>
      <w:r>
        <w:t xml:space="preserve">Optimised total cost of ownership across technology estate</w:t>
      </w:r>
    </w:p>
    <w:p>
      <w:pPr>
        <w:numPr>
          <w:ilvl w:val="0"/>
          <w:numId w:val="1003"/>
        </w:numPr>
        <w:pStyle w:val="Compact"/>
      </w:pPr>
      <w:r>
        <w:t xml:space="preserve">Articulates technology value in business and financial terms to board and investors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890104e990e06100329bf75b6c39df9fd2f67bf"/>
    <w:p>
      <w:pPr>
        <w:pStyle w:val="Heading2"/>
      </w:pPr>
      <w:r>
        <w:t xml:space="preserve">D - Executive Communication &amp; External Representation</w:t>
      </w:r>
    </w:p>
    <w:bookmarkStart w:id="26" w:name="Xae9dae189d0dcd66ae5cd3b1a30fd5f80403013"/>
    <w:p>
      <w:pPr>
        <w:pStyle w:val="Heading4"/>
      </w:pPr>
      <w:r>
        <w:rPr>
          <w:bCs/>
          <w:b/>
        </w:rPr>
        <w:t xml:space="preserve">00:25</w:t>
      </w:r>
      <w:r>
        <w:t xml:space="preserve"> </w:t>
      </w:r>
      <w:r>
        <w:t xml:space="preserve">- UK-SPEC CEng D / SFIA RLMT Level 6–7 / MKTG Level 6</w:t>
      </w:r>
    </w:p>
    <w:p>
      <w:pPr>
        <w:pStyle w:val="FirstParagraph"/>
      </w:pPr>
      <w:r>
        <w:t xml:space="preserve">Influencing at the highest levels inside and outside the company, including board-level communication, cross-executive alignment, and representing technology to external stakeholders.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4"/>
        </w:numPr>
        <w:pStyle w:val="Compact"/>
      </w:pPr>
      <w:r>
        <w:t xml:space="preserve">Communicates complex technical strategy clearly to board, investors, and executive peers</w:t>
      </w:r>
    </w:p>
    <w:p>
      <w:pPr>
        <w:numPr>
          <w:ilvl w:val="0"/>
          <w:numId w:val="1004"/>
        </w:numPr>
        <w:pStyle w:val="Compact"/>
      </w:pPr>
      <w:r>
        <w:t xml:space="preserve">Aligns technology, product, commercial, and operational strategies across the organisation</w:t>
      </w:r>
    </w:p>
    <w:p>
      <w:pPr>
        <w:numPr>
          <w:ilvl w:val="0"/>
          <w:numId w:val="1004"/>
        </w:numPr>
        <w:pStyle w:val="Compact"/>
      </w:pPr>
      <w:r>
        <w:t xml:space="preserve">Represents the company in external forums (industry events, standards bodies, analysts, customers)</w:t>
      </w:r>
    </w:p>
    <w:p>
      <w:pPr>
        <w:numPr>
          <w:ilvl w:val="0"/>
          <w:numId w:val="1004"/>
        </w:numPr>
        <w:pStyle w:val="Compact"/>
      </w:pPr>
      <w:r>
        <w:t xml:space="preserve">Manages high-stakes disagreements constructively at executive or board level</w:t>
      </w:r>
    </w:p>
    <w:p>
      <w:pPr>
        <w:numPr>
          <w:ilvl w:val="0"/>
          <w:numId w:val="1004"/>
        </w:numPr>
        <w:pStyle w:val="Compact"/>
      </w:pPr>
      <w:r>
        <w:t xml:space="preserve">Builds and maintains strategic external relationships (partners, cloud providers, regulators)</w:t>
      </w:r>
    </w:p>
    <w:p>
      <w:pPr>
        <w:numPr>
          <w:ilvl w:val="0"/>
          <w:numId w:val="1004"/>
        </w:numPr>
        <w:pStyle w:val="Compact"/>
      </w:pPr>
      <w:r>
        <w:t xml:space="preserve">Shapes company reputation as a technology leader in the market</w:t>
      </w:r>
    </w:p>
    <w:p>
      <w:pPr>
        <w:numPr>
          <w:ilvl w:val="0"/>
          <w:numId w:val="1004"/>
        </w:numPr>
        <w:pStyle w:val="Compact"/>
      </w:pPr>
      <w:r>
        <w:t xml:space="preserve">Influences industry direction through thought leadership and strategic partnerships</w:t>
      </w:r>
    </w:p>
    <w:p>
      <w:pPr>
        <w:numPr>
          <w:ilvl w:val="0"/>
          <w:numId w:val="1004"/>
        </w:numPr>
        <w:pStyle w:val="Compact"/>
      </w:pPr>
      <w:r>
        <w:t xml:space="preserve">Translates technology capabilities into competitive positioning and market differentiation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e---professional-standards-capability"/>
    <w:p>
      <w:pPr>
        <w:pStyle w:val="Heading2"/>
      </w:pPr>
      <w:r>
        <w:t xml:space="preserve">E - Professional Standards &amp; Capability</w:t>
      </w:r>
    </w:p>
    <w:bookmarkStart w:id="28" w:name="X29636c302b1546969bfc738570dc0677e125c04"/>
    <w:p>
      <w:pPr>
        <w:pStyle w:val="Heading4"/>
      </w:pPr>
      <w:r>
        <w:rPr>
          <w:bCs/>
          <w:b/>
        </w:rPr>
        <w:t xml:space="preserve">00:30</w:t>
      </w:r>
      <w:r>
        <w:t xml:space="preserve"> </w:t>
      </w:r>
      <w:r>
        <w:t xml:space="preserve">- UK-SPEC CEng E / SFIA PEMT Level 6 / PDSV Level 6 / SCTY Level 6</w:t>
      </w:r>
    </w:p>
    <w:p>
      <w:pPr>
        <w:pStyle w:val="FirstParagraph"/>
      </w:pPr>
      <w:r>
        <w:t xml:space="preserve">Ethics, leadership integrity, talent strategy, and ensuring that security and compliance are embedded at every level of the organisation.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5"/>
        </w:numPr>
        <w:pStyle w:val="Compact"/>
      </w:pPr>
      <w:r>
        <w:t xml:space="preserve">Set and reinforced organisation-wide engineering culture, ethics, and professional standards</w:t>
      </w:r>
    </w:p>
    <w:p>
      <w:pPr>
        <w:numPr>
          <w:ilvl w:val="0"/>
          <w:numId w:val="1005"/>
        </w:numPr>
        <w:pStyle w:val="Compact"/>
      </w:pPr>
      <w:r>
        <w:t xml:space="preserve">Created leadership development pathways, succession planning, and capability frameworks</w:t>
      </w:r>
    </w:p>
    <w:p>
      <w:pPr>
        <w:numPr>
          <w:ilvl w:val="0"/>
          <w:numId w:val="1005"/>
        </w:numPr>
        <w:pStyle w:val="Compact"/>
      </w:pPr>
      <w:r>
        <w:t xml:space="preserve">Ensured robust security strategy (e.g., SOC2/ISO27001 posture, secure development lifecycle, risk management)</w:t>
      </w:r>
    </w:p>
    <w:p>
      <w:pPr>
        <w:numPr>
          <w:ilvl w:val="0"/>
          <w:numId w:val="1005"/>
        </w:numPr>
        <w:pStyle w:val="Compact"/>
      </w:pPr>
      <w:r>
        <w:t xml:space="preserve">Acted as a role model for professional integrity and engineering accountability</w:t>
      </w:r>
    </w:p>
    <w:p>
      <w:pPr>
        <w:numPr>
          <w:ilvl w:val="0"/>
          <w:numId w:val="1005"/>
        </w:numPr>
        <w:pStyle w:val="Compact"/>
      </w:pPr>
      <w:r>
        <w:t xml:space="preserve">Led organisational responses to audits, compliance requirements, and security incidents</w:t>
      </w:r>
    </w:p>
    <w:p>
      <w:pPr>
        <w:numPr>
          <w:ilvl w:val="0"/>
          <w:numId w:val="1005"/>
        </w:numPr>
        <w:pStyle w:val="Compact"/>
      </w:pPr>
      <w:r>
        <w:t xml:space="preserve">Built diverse and inclusive technology organisation with intentional talent strategies</w:t>
      </w:r>
    </w:p>
    <w:p>
      <w:pPr>
        <w:numPr>
          <w:ilvl w:val="0"/>
          <w:numId w:val="1005"/>
        </w:numPr>
        <w:pStyle w:val="Compact"/>
      </w:pPr>
      <w:r>
        <w:t xml:space="preserve">Established continuous learning and professional development culture</w:t>
      </w:r>
    </w:p>
    <w:p>
      <w:pPr>
        <w:numPr>
          <w:ilvl w:val="0"/>
          <w:numId w:val="1005"/>
        </w:numPr>
        <w:pStyle w:val="Compact"/>
      </w:pPr>
      <w:r>
        <w:t xml:space="preserve">Embedded security, privacy, and ethical considerations into technology decision-making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coring-matrix"/>
    <w:p>
      <w:pPr>
        <w:pStyle w:val="Heading2"/>
      </w:pPr>
      <w:r>
        <w:t xml:space="preserve">Scoring Matrix</w:t>
      </w:r>
    </w:p>
    <w:p>
      <w:pPr>
        <w:pStyle w:val="FirstParagraph"/>
      </w:pPr>
      <w:r>
        <w:rPr>
          <w:bCs/>
          <w:b/>
        </w:rPr>
        <w:t xml:space="preserve">Thresholds:</w:t>
      </w:r>
      <w:r>
        <w:t xml:space="preserve"> </w:t>
      </w:r>
      <w:r>
        <w:rPr>
          <w:iCs/>
          <w:i/>
        </w:rPr>
        <w:t xml:space="preserve">20+</w:t>
      </w:r>
      <w:r>
        <w:t xml:space="preserve"> </w:t>
      </w:r>
      <w:r>
        <w:t xml:space="preserve">is a pass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- Technology Vision &amp; Strategy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- Organisational Leadership &amp; Governance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  <w:r>
              <w:t xml:space="preserve"> </w:t>
            </w:r>
            <w:r>
              <w:t xml:space="preserve">- Commercial &amp; Financial Stewardship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  <w:r>
              <w:t xml:space="preserve"> </w:t>
            </w:r>
            <w:r>
              <w:t xml:space="preserve">- Executive Communication &amp; External Representation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  <w:r>
              <w:t xml:space="preserve"> </w:t>
            </w:r>
            <w:r>
              <w:t xml:space="preserve">- Professional Standards &amp; Capability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0"/>
    <w:bookmarkEnd w:id="31"/>
    <w:sectPr w:rsidR="00A875E2" w:rsidSect="00EF592E">
      <w:pgSz w:h="15840" w:w="12240"/>
      <w:pgMar w:bottom="284" w:footer="720" w:gutter="0" w:header="720" w:left="284" w:right="284" w:top="284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C4DEF13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36976398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rsid w:val="00BE4A71"/>
    <w:pPr>
      <w:keepNext/>
      <w:keepLines/>
      <w:spacing w:after="120"/>
      <w:outlineLvl w:val="0"/>
    </w:pPr>
    <w:rPr>
      <w:rFonts w:ascii="Arial" w:cstheme="majorBidi" w:eastAsiaTheme="majorEastAsia" w:hAnsi="Arial"/>
      <w:b/>
      <w:bCs/>
      <w:color w:themeColor="text2" w:val="1F497D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BE4A71"/>
    <w:pPr>
      <w:keepNext/>
      <w:keepLines/>
      <w:spacing w:after="0" w:before="200"/>
      <w:outlineLvl w:val="1"/>
    </w:pPr>
    <w:rPr>
      <w:rFonts w:ascii="Arial" w:cstheme="majorBidi" w:eastAsiaTheme="majorEastAsia" w:hAnsi="Arial"/>
      <w:b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BE4A71"/>
    <w:pPr>
      <w:keepNext/>
      <w:keepLines/>
      <w:spacing w:after="0" w:before="200"/>
      <w:outlineLvl w:val="2"/>
    </w:pPr>
    <w:rPr>
      <w:rFonts w:ascii="Arial" w:cstheme="majorBidi" w:eastAsiaTheme="majorEastAsia" w:hAnsi="Arial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BE4A71"/>
    <w:pPr>
      <w:keepNext/>
      <w:keepLines/>
      <w:spacing w:after="0"/>
      <w:outlineLvl w:val="3"/>
    </w:pPr>
    <w:rPr>
      <w:rFonts w:ascii="Arial" w:cstheme="majorBidi" w:eastAsiaTheme="majorEastAsia" w:hAnsi="Arial"/>
      <w:bCs/>
      <w:i/>
      <w:color w:themeColor="text2" w:themeShade="BF" w:val="17365D"/>
      <w:sz w:val="20"/>
    </w:rPr>
  </w:style>
  <w:style w:styleId="Heading5" w:type="paragraph">
    <w:name w:val="heading 5"/>
    <w:basedOn w:val="Normal"/>
    <w:next w:val="BodyText"/>
    <w:uiPriority w:val="9"/>
    <w:unhideWhenUsed/>
    <w:qFormat/>
    <w:rsid w:val="00BE4A71"/>
    <w:pPr>
      <w:keepNext/>
      <w:keepLines/>
      <w:spacing w:after="0"/>
      <w:outlineLvl w:val="4"/>
    </w:pPr>
    <w:rPr>
      <w:rFonts w:ascii="Arial" w:cstheme="majorBidi" w:eastAsiaTheme="majorEastAsia" w:hAnsi="Arial"/>
      <w:iCs/>
      <w:color w:themeColor="text2" w:themeShade="BF" w:val="17365D"/>
      <w:sz w:val="20"/>
    </w:rPr>
  </w:style>
  <w:style w:styleId="Heading6" w:type="paragraph">
    <w:name w:val="heading 6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5"/>
    </w:pPr>
    <w:rPr>
      <w:rFonts w:ascii="Arial" w:cstheme="majorBidi" w:eastAsiaTheme="majorEastAsia" w:hAnsi="Arial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6"/>
    </w:pPr>
    <w:rPr>
      <w:rFonts w:ascii="Arial" w:cstheme="majorBidi" w:eastAsiaTheme="majorEastAsia" w:hAnsi="Arial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7"/>
    </w:pPr>
    <w:rPr>
      <w:rFonts w:ascii="Arial" w:cstheme="majorBidi" w:eastAsiaTheme="majorEastAsia" w:hAnsi="Arial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8"/>
    </w:pPr>
    <w:rPr>
      <w:rFonts w:ascii="Arial" w:cstheme="majorBidi" w:eastAsiaTheme="majorEastAsia" w:hAnsi="Arial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705273"/>
    <w:pPr>
      <w:spacing w:after="120" w:before="120"/>
    </w:pPr>
    <w:rPr>
      <w:rFonts w:ascii="Arial" w:hAnsi="Arial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2105D6"/>
    <w:pPr>
      <w:keepNext/>
      <w:keepLines/>
      <w:spacing w:after="120" w:before="120"/>
      <w:jc w:val="center"/>
    </w:pPr>
    <w:rPr>
      <w:rFonts w:ascii="Arial" w:cstheme="majorBidi" w:eastAsiaTheme="majorEastAsia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rsid w:val="002105D6"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2105D6"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rsid w:val="002105D6"/>
    <w:pPr>
      <w:keepNext/>
      <w:keepLines/>
      <w:jc w:val="center"/>
    </w:pPr>
    <w:rPr>
      <w:rFonts w:ascii="Arial" w:hAnsi="Arial"/>
    </w:rPr>
  </w:style>
  <w:style w:customStyle="1" w:styleId="Abstract" w:type="paragraph">
    <w:name w:val="Abstract"/>
    <w:basedOn w:val="Normal"/>
    <w:next w:val="BodyText"/>
    <w:qFormat/>
    <w:rsid w:val="002105D6"/>
    <w:pPr>
      <w:keepNext/>
      <w:keepLines/>
      <w:spacing w:after="300" w:before="3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qFormat/>
    <w:rsid w:val="002105D6"/>
    <w:rPr>
      <w:rFonts w:ascii="Arial" w:hAnsi="Arial"/>
    </w:rPr>
  </w:style>
  <w:style w:styleId="BlockText" w:type="paragraph">
    <w:name w:val="Block Text"/>
    <w:basedOn w:val="BodyText"/>
    <w:next w:val="BodyText"/>
    <w:uiPriority w:val="9"/>
    <w:unhideWhenUsed/>
    <w:qFormat/>
    <w:rsid w:val="00705273"/>
    <w:pPr>
      <w:spacing w:after="100"/>
      <w:ind w:left="482" w:right="482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BE4A71"/>
    <w:rPr>
      <w:rFonts w:ascii="Arial" w:hAnsi="Arial"/>
    </w:rPr>
    <w:tblPr>
      <w:tblInd w:type="dxa" w:w="397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type="dxa" w:w="142"/>
        <w:left w:type="dxa" w:w="284"/>
        <w:bottom w:type="dxa" w:w="142"/>
        <w:right w:type="dxa" w:w="284"/>
      </w:tblCellMar>
    </w:tblPr>
    <w:tcPr>
      <w:vAlign w:val="center"/>
    </w:tcPr>
    <w:tblStylePr w:type="firstRow">
      <w:rPr>
        <w:rFonts w:ascii="Arial" w:hAnsi="Arial"/>
        <w:b/>
        <w:sz w:val="28"/>
      </w:rPr>
      <w:tblPr/>
      <w:tcPr>
        <w:shd w:color="auto" w:fill="8DB3E2" w:themeFill="text2" w:themeFillTint="66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2105D6"/>
    <w:pPr>
      <w:spacing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55</Words>
  <Characters>370</Characters>
  <Application>Microsoft Office Word</Application>
  <DocSecurity>0</DocSecurity>
  <Lines>10</Lines>
  <Paragraphs>7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2025-12-06T14:53:08Z</dcterms:created>
  <dcterms:modified xsi:type="dcterms:W3CDTF">2025-12-06T14:53:08Z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