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hief-principal-architect"/>
    <w:p>
      <w:pPr>
        <w:pStyle w:val="Heading1"/>
      </w:pPr>
      <w:r>
        <w:t xml:space="preserve">Chief / Principal Architect</w:t>
      </w:r>
    </w:p>
    <w:p>
      <w:pPr>
        <w:pStyle w:val="FirstParagraph"/>
      </w:pPr>
      <w:r>
        <w:t xml:space="preserve">Responsible for the organisation’s overall architectural direction, coherence, standards, and long-term technology evolution. Provides high-level technical leadership across domains, guides complex architectural decisions, and ensures alignment between business strategy and technical capability.</w:t>
      </w:r>
    </w:p>
    <w:p>
      <w:pPr>
        <w:pStyle w:val="BodyText"/>
      </w:pPr>
      <w:r>
        <w:t xml:space="preserve">Candidates should use the</w:t>
      </w:r>
      <w:r>
        <w:t xml:space="preserve"> </w:t>
      </w:r>
      <w:r>
        <w:rPr>
          <w:bCs/>
          <w:b/>
        </w:rPr>
        <w:t xml:space="preserve">STAR method</w:t>
      </w:r>
      <w:r>
        <w:t xml:space="preserve"> </w:t>
      </w:r>
      <w:r>
        <w:t xml:space="preserve">(Situation, Task, Action, Result). This assessment is about demonstrated experience, not theoretical understanding.</w:t>
      </w:r>
    </w:p>
    <w:p>
      <w:r>
        <w:pict>
          <v:rect style="width:0;height:1.5pt" o:hralign="center" o:hrstd="t" o:hr="t"/>
        </w:pict>
      </w:r>
    </w:p>
    <w:bookmarkStart w:id="21" w:name="a---enterprise-strategy-direction"/>
    <w:p>
      <w:pPr>
        <w:pStyle w:val="Heading2"/>
      </w:pPr>
      <w:r>
        <w:t xml:space="preserve">A - Enterprise Strategy &amp; Direction</w:t>
      </w:r>
    </w:p>
    <w:bookmarkStart w:id="20" w:name="sfia-stpl-arch-level-67"/>
    <w:p>
      <w:pPr>
        <w:pStyle w:val="Heading4"/>
      </w:pPr>
      <w:r>
        <w:rPr>
          <w:bCs/>
          <w:b/>
        </w:rPr>
        <w:t xml:space="preserve">00:10</w:t>
      </w:r>
      <w:r>
        <w:t xml:space="preserve"> </w:t>
      </w:r>
      <w:r>
        <w:t xml:space="preserve">- SFIA STPL / ARCH Level 6–7</w:t>
      </w:r>
    </w:p>
    <w:p>
      <w:pPr>
        <w:pStyle w:val="FirstParagraph"/>
      </w:pPr>
      <w:r>
        <w:t xml:space="preserve">Defining long-term enterprise architecture strategy, shaping technology roadmaps, and aligning architecture with business and commercial strategy.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1"/>
        </w:numPr>
        <w:pStyle w:val="Compact"/>
      </w:pPr>
      <w:r>
        <w:t xml:space="preserve">Defined long-term enterprise architecture strategy spanning multiple domains (cloud, data, integration, applications)</w:t>
      </w:r>
    </w:p>
    <w:p>
      <w:pPr>
        <w:numPr>
          <w:ilvl w:val="0"/>
          <w:numId w:val="1001"/>
        </w:numPr>
        <w:pStyle w:val="Compact"/>
      </w:pPr>
      <w:r>
        <w:t xml:space="preserve">Shaped technology roadmaps, principles, patterns, and platform evolution plans at organisational scale</w:t>
      </w:r>
    </w:p>
    <w:p>
      <w:pPr>
        <w:numPr>
          <w:ilvl w:val="0"/>
          <w:numId w:val="1001"/>
        </w:numPr>
        <w:pStyle w:val="Compact"/>
      </w:pPr>
      <w:r>
        <w:t xml:space="preserve">Aligned architecture with business, product, and commercial strategy through executive engagement</w:t>
      </w:r>
    </w:p>
    <w:p>
      <w:pPr>
        <w:numPr>
          <w:ilvl w:val="0"/>
          <w:numId w:val="1001"/>
        </w:numPr>
        <w:pStyle w:val="Compact"/>
      </w:pPr>
      <w:r>
        <w:t xml:space="preserve">Evaluated disruptive or emerging technologies and recommended adoption, experimentation, or avoidance</w:t>
      </w:r>
    </w:p>
    <w:p>
      <w:pPr>
        <w:numPr>
          <w:ilvl w:val="0"/>
          <w:numId w:val="1001"/>
        </w:numPr>
        <w:pStyle w:val="Compact"/>
      </w:pPr>
      <w:r>
        <w:t xml:space="preserve">Demonstrated systemic thinking across cloud, data, integration, security, and application architectures</w:t>
      </w:r>
    </w:p>
    <w:p>
      <w:pPr>
        <w:numPr>
          <w:ilvl w:val="0"/>
          <w:numId w:val="1001"/>
        </w:numPr>
        <w:pStyle w:val="Compact"/>
      </w:pPr>
      <w:r>
        <w:t xml:space="preserve">Influenced multi-year investment decisions through architectural insights and strategic analysis</w:t>
      </w:r>
    </w:p>
    <w:p>
      <w:pPr>
        <w:numPr>
          <w:ilvl w:val="0"/>
          <w:numId w:val="1001"/>
        </w:numPr>
        <w:pStyle w:val="Compact"/>
      </w:pPr>
      <w:r>
        <w:t xml:space="preserve">Articulated compelling architectural vision that inspired and mobilised diverse stakeholder groups</w:t>
      </w:r>
    </w:p>
    <w:p>
      <w:pPr>
        <w:numPr>
          <w:ilvl w:val="0"/>
          <w:numId w:val="1001"/>
        </w:numPr>
        <w:pStyle w:val="Compact"/>
      </w:pPr>
      <w:r>
        <w:t xml:space="preserve">Delivered measurable business value through strategic architectural decisions and direction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b---governance-standards"/>
    <w:p>
      <w:pPr>
        <w:pStyle w:val="Heading2"/>
      </w:pPr>
      <w:r>
        <w:t xml:space="preserve">B - Governance &amp; Standards</w:t>
      </w:r>
    </w:p>
    <w:bookmarkStart w:id="22" w:name="sfia-govn-pomg-metl-level-57"/>
    <w:p>
      <w:pPr>
        <w:pStyle w:val="Heading4"/>
      </w:pPr>
      <w:r>
        <w:rPr>
          <w:bCs/>
          <w:b/>
        </w:rPr>
        <w:t xml:space="preserve">00:15</w:t>
      </w:r>
      <w:r>
        <w:t xml:space="preserve"> </w:t>
      </w:r>
      <w:r>
        <w:t xml:space="preserve">- SFIA GOVN / POMG / METL Level 5–7</w:t>
      </w:r>
    </w:p>
    <w:p>
      <w:pPr>
        <w:pStyle w:val="FirstParagraph"/>
      </w:pPr>
      <w:r>
        <w:t xml:space="preserve">Establishing architecture governance, defining enterprise-wide standards, and ensuring architectural compliance and portfolio alignment.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2"/>
        </w:numPr>
        <w:pStyle w:val="Compact"/>
      </w:pPr>
      <w:r>
        <w:t xml:space="preserve">Established architecture governance frameworks (review boards, design authorities, ADR/RFC processes)</w:t>
      </w:r>
    </w:p>
    <w:p>
      <w:pPr>
        <w:numPr>
          <w:ilvl w:val="0"/>
          <w:numId w:val="1002"/>
        </w:numPr>
        <w:pStyle w:val="Compact"/>
      </w:pPr>
      <w:r>
        <w:t xml:space="preserve">Defined enterprise-wide patterns, reference models, templates, and architectural standards</w:t>
      </w:r>
    </w:p>
    <w:p>
      <w:pPr>
        <w:numPr>
          <w:ilvl w:val="0"/>
          <w:numId w:val="1002"/>
        </w:numPr>
        <w:pStyle w:val="Compact"/>
      </w:pPr>
      <w:r>
        <w:t xml:space="preserve">Ensured architectural compliance and coherence across multiple delivery groups or business units</w:t>
      </w:r>
    </w:p>
    <w:p>
      <w:pPr>
        <w:numPr>
          <w:ilvl w:val="0"/>
          <w:numId w:val="1002"/>
        </w:numPr>
        <w:pStyle w:val="Compact"/>
      </w:pPr>
      <w:r>
        <w:t xml:space="preserve">Identified and managed architectural risks early through structured governance and escalation</w:t>
      </w:r>
    </w:p>
    <w:p>
      <w:pPr>
        <w:numPr>
          <w:ilvl w:val="0"/>
          <w:numId w:val="1002"/>
        </w:numPr>
        <w:pStyle w:val="Compact"/>
      </w:pPr>
      <w:r>
        <w:t xml:space="preserve">Maintained portfolio investments aligned with long-term technical direction and architectural principles</w:t>
      </w:r>
    </w:p>
    <w:p>
      <w:pPr>
        <w:numPr>
          <w:ilvl w:val="0"/>
          <w:numId w:val="1002"/>
        </w:numPr>
        <w:pStyle w:val="Compact"/>
      </w:pPr>
      <w:r>
        <w:t xml:space="preserve">Governed adoption of architecture tooling, methods, and frameworks at enterprise scale</w:t>
      </w:r>
    </w:p>
    <w:p>
      <w:pPr>
        <w:numPr>
          <w:ilvl w:val="0"/>
          <w:numId w:val="1002"/>
        </w:numPr>
        <w:pStyle w:val="Compact"/>
      </w:pPr>
      <w:r>
        <w:t xml:space="preserve">Balanced governance rigor with organisational agility, enabling teams rather than blocking them</w:t>
      </w:r>
    </w:p>
    <w:p>
      <w:pPr>
        <w:numPr>
          <w:ilvl w:val="0"/>
          <w:numId w:val="1002"/>
        </w:numPr>
        <w:pStyle w:val="Compact"/>
      </w:pPr>
      <w:r>
        <w:t xml:space="preserve">Created decision-making frameworks that scale across the organisation while ensuring oversight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c---complex-design-integration"/>
    <w:p>
      <w:pPr>
        <w:pStyle w:val="Heading2"/>
      </w:pPr>
      <w:r>
        <w:t xml:space="preserve">C - Complex Design &amp; Integration</w:t>
      </w:r>
    </w:p>
    <w:bookmarkStart w:id="24" w:name="sfia-desn-sint-datm-level-56"/>
    <w:p>
      <w:pPr>
        <w:pStyle w:val="Heading4"/>
      </w:pPr>
      <w:r>
        <w:rPr>
          <w:bCs/>
          <w:b/>
        </w:rPr>
        <w:t xml:space="preserve">00:20</w:t>
      </w:r>
      <w:r>
        <w:t xml:space="preserve"> </w:t>
      </w:r>
      <w:r>
        <w:t xml:space="preserve">- SFIA DESN / SINT / DATM Level 5–6</w:t>
      </w:r>
    </w:p>
    <w:p>
      <w:pPr>
        <w:pStyle w:val="FirstParagraph"/>
      </w:pPr>
      <w:r>
        <w:t xml:space="preserve">Designing complex multi-domain systems, integration architectures, and data strategies that solve enterprise-scale technical challenges.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3"/>
        </w:numPr>
        <w:pStyle w:val="Compact"/>
      </w:pPr>
      <w:r>
        <w:t xml:space="preserve">Designed systems spanning multiple platforms, teams, data domains, or cloud environments</w:t>
      </w:r>
    </w:p>
    <w:p>
      <w:pPr>
        <w:numPr>
          <w:ilvl w:val="0"/>
          <w:numId w:val="1003"/>
        </w:numPr>
        <w:pStyle w:val="Compact"/>
      </w:pPr>
      <w:r>
        <w:t xml:space="preserve">Demonstrated strong integration architecture capability (events, APIs, pipelines, streaming, interoperability)</w:t>
      </w:r>
    </w:p>
    <w:p>
      <w:pPr>
        <w:numPr>
          <w:ilvl w:val="0"/>
          <w:numId w:val="1003"/>
        </w:numPr>
        <w:pStyle w:val="Compact"/>
      </w:pPr>
      <w:r>
        <w:t xml:space="preserve">Anticipated cross-system impacts (scalability, failure modes, security, data consistency, operational complexity)</w:t>
      </w:r>
    </w:p>
    <w:p>
      <w:pPr>
        <w:numPr>
          <w:ilvl w:val="0"/>
          <w:numId w:val="1003"/>
        </w:numPr>
        <w:pStyle w:val="Compact"/>
      </w:pPr>
      <w:r>
        <w:t xml:space="preserve">Solved deep-rooted architectural issues (scalability bottlenecks, technical entropy, cross-domain coupling)</w:t>
      </w:r>
    </w:p>
    <w:p>
      <w:pPr>
        <w:numPr>
          <w:ilvl w:val="0"/>
          <w:numId w:val="1003"/>
        </w:numPr>
        <w:pStyle w:val="Compact"/>
      </w:pPr>
      <w:r>
        <w:t xml:space="preserve">Balanced design trade-offs with operational, financial, organisational, and timeline constraints</w:t>
      </w:r>
    </w:p>
    <w:p>
      <w:pPr>
        <w:numPr>
          <w:ilvl w:val="0"/>
          <w:numId w:val="1003"/>
        </w:numPr>
        <w:pStyle w:val="Compact"/>
      </w:pPr>
      <w:r>
        <w:t xml:space="preserve">Designed data architectures ensuring consistency, quality, lineage, and governance at enterprise scale</w:t>
      </w:r>
    </w:p>
    <w:p>
      <w:pPr>
        <w:numPr>
          <w:ilvl w:val="0"/>
          <w:numId w:val="1003"/>
        </w:numPr>
        <w:pStyle w:val="Compact"/>
      </w:pPr>
      <w:r>
        <w:t xml:space="preserve">Led development of organisational systems integration capabilities including automation and CI/CD</w:t>
      </w:r>
    </w:p>
    <w:p>
      <w:pPr>
        <w:numPr>
          <w:ilvl w:val="0"/>
          <w:numId w:val="1003"/>
        </w:numPr>
        <w:pStyle w:val="Compact"/>
      </w:pPr>
      <w:r>
        <w:t xml:space="preserve">Delivered architectural solutions that proved robust, scalable, and maintainable in production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d---executive-influence-advisory"/>
    <w:p>
      <w:pPr>
        <w:pStyle w:val="Heading2"/>
      </w:pPr>
      <w:r>
        <w:t xml:space="preserve">D - Executive Influence &amp; Advisory</w:t>
      </w:r>
    </w:p>
    <w:bookmarkStart w:id="26" w:name="sfia-rlmt-cnsl-level-6"/>
    <w:p>
      <w:pPr>
        <w:pStyle w:val="Heading4"/>
      </w:pPr>
      <w:r>
        <w:rPr>
          <w:bCs/>
          <w:b/>
        </w:rPr>
        <w:t xml:space="preserve">00:25</w:t>
      </w:r>
      <w:r>
        <w:t xml:space="preserve"> </w:t>
      </w:r>
      <w:r>
        <w:t xml:space="preserve">- SFIA RLMT / CNSL Level 6</w:t>
      </w:r>
    </w:p>
    <w:p>
      <w:pPr>
        <w:pStyle w:val="FirstParagraph"/>
      </w:pPr>
      <w:r>
        <w:t xml:space="preserve">Influencing C-suite and senior stakeholders, providing architectural consultancy, and acting as trusted advisor on strategic technical decisions.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4"/>
        </w:numPr>
        <w:pStyle w:val="Compact"/>
      </w:pPr>
      <w:r>
        <w:t xml:space="preserve">Influenced C-suite, senior product, commercial, and engineering leaders on strategic architectural decisions</w:t>
      </w:r>
    </w:p>
    <w:p>
      <w:pPr>
        <w:numPr>
          <w:ilvl w:val="0"/>
          <w:numId w:val="1004"/>
        </w:numPr>
        <w:pStyle w:val="Compact"/>
      </w:pPr>
      <w:r>
        <w:t xml:space="preserve">Presented architectural options with clear trade-offs, risks, costs, and business implications to executives</w:t>
      </w:r>
    </w:p>
    <w:p>
      <w:pPr>
        <w:numPr>
          <w:ilvl w:val="0"/>
          <w:numId w:val="1004"/>
        </w:numPr>
        <w:pStyle w:val="Compact"/>
      </w:pPr>
      <w:r>
        <w:t xml:space="preserve">Managed disagreements or competing priorities constructively, diplomatically, and with evidence-based reasoning</w:t>
      </w:r>
    </w:p>
    <w:p>
      <w:pPr>
        <w:numPr>
          <w:ilvl w:val="0"/>
          <w:numId w:val="1004"/>
        </w:numPr>
        <w:pStyle w:val="Compact"/>
      </w:pPr>
      <w:r>
        <w:t xml:space="preserve">Acted as trusted advisor to executives, engineering groups, and customer stakeholders on complex decisions</w:t>
      </w:r>
    </w:p>
    <w:p>
      <w:pPr>
        <w:numPr>
          <w:ilvl w:val="0"/>
          <w:numId w:val="1004"/>
        </w:numPr>
        <w:pStyle w:val="Compact"/>
      </w:pPr>
      <w:r>
        <w:t xml:space="preserve">Communicated complex architectural concepts in clear, structured language tailored to diverse audiences</w:t>
      </w:r>
    </w:p>
    <w:p>
      <w:pPr>
        <w:numPr>
          <w:ilvl w:val="0"/>
          <w:numId w:val="1004"/>
        </w:numPr>
        <w:pStyle w:val="Compact"/>
      </w:pPr>
      <w:r>
        <w:t xml:space="preserve">Established long-term strategic relationships with key stakeholders ensuring alignment and delivery</w:t>
      </w:r>
    </w:p>
    <w:p>
      <w:pPr>
        <w:numPr>
          <w:ilvl w:val="0"/>
          <w:numId w:val="1004"/>
        </w:numPr>
        <w:pStyle w:val="Compact"/>
      </w:pPr>
      <w:r>
        <w:t xml:space="preserve">Navigated organisational politics and competing agendas to achieve architectural outcomes</w:t>
      </w:r>
    </w:p>
    <w:p>
      <w:pPr>
        <w:numPr>
          <w:ilvl w:val="0"/>
          <w:numId w:val="1004"/>
        </w:numPr>
        <w:pStyle w:val="Compact"/>
      </w:pPr>
      <w:r>
        <w:t xml:space="preserve">Built credibility and authority through delivery, transparency, technical depth, and strategic insight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e---capability-leadership"/>
    <w:p>
      <w:pPr>
        <w:pStyle w:val="Heading2"/>
      </w:pPr>
      <w:r>
        <w:t xml:space="preserve">E - Capability &amp; Leadership</w:t>
      </w:r>
    </w:p>
    <w:bookmarkStart w:id="28" w:name="sfia-pdsv-pemt-scty-level-56"/>
    <w:p>
      <w:pPr>
        <w:pStyle w:val="Heading4"/>
      </w:pPr>
      <w:r>
        <w:rPr>
          <w:bCs/>
          <w:b/>
        </w:rPr>
        <w:t xml:space="preserve">00:30</w:t>
      </w:r>
      <w:r>
        <w:t xml:space="preserve"> </w:t>
      </w:r>
      <w:r>
        <w:t xml:space="preserve">- SFIA PDSV / PEMT / SCTY Level 5–6</w:t>
      </w:r>
    </w:p>
    <w:p>
      <w:pPr>
        <w:pStyle w:val="FirstParagraph"/>
      </w:pPr>
      <w:r>
        <w:t xml:space="preserve">Building architectural capability, leading architect cohorts, embedding professional standards, and ensuring security is architectural.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5"/>
        </w:numPr>
        <w:pStyle w:val="Compact"/>
      </w:pPr>
      <w:r>
        <w:t xml:space="preserve">Mentored Solution Architects, Principal Engineers, Enterprise Architects, and Architecture Leads</w:t>
      </w:r>
    </w:p>
    <w:p>
      <w:pPr>
        <w:numPr>
          <w:ilvl w:val="0"/>
          <w:numId w:val="1005"/>
        </w:numPr>
        <w:pStyle w:val="Compact"/>
      </w:pPr>
      <w:r>
        <w:t xml:space="preserve">Defined architecture competency frameworks, career pathways, and professional development standards</w:t>
      </w:r>
    </w:p>
    <w:p>
      <w:pPr>
        <w:numPr>
          <w:ilvl w:val="0"/>
          <w:numId w:val="1005"/>
        </w:numPr>
        <w:pStyle w:val="Compact"/>
      </w:pPr>
      <w:r>
        <w:t xml:space="preserve">Established architecture communities of practice (CoPs), guilds, or centres of excellence</w:t>
      </w:r>
    </w:p>
    <w:p>
      <w:pPr>
        <w:numPr>
          <w:ilvl w:val="0"/>
          <w:numId w:val="1005"/>
        </w:numPr>
        <w:pStyle w:val="Compact"/>
      </w:pPr>
      <w:r>
        <w:t xml:space="preserve">Embedded secure-by-design, compliance, and risk management principles into architectural processes</w:t>
      </w:r>
    </w:p>
    <w:p>
      <w:pPr>
        <w:numPr>
          <w:ilvl w:val="0"/>
          <w:numId w:val="1005"/>
        </w:numPr>
        <w:pStyle w:val="Compact"/>
      </w:pPr>
      <w:r>
        <w:t xml:space="preserve">Role-modelled high professional standards, ethics, integrity, and architectural judgement</w:t>
      </w:r>
    </w:p>
    <w:p>
      <w:pPr>
        <w:numPr>
          <w:ilvl w:val="0"/>
          <w:numId w:val="1005"/>
        </w:numPr>
        <w:pStyle w:val="Compact"/>
      </w:pPr>
      <w:r>
        <w:t xml:space="preserve">Developed organisational capability to make sound architectural decisions autonomously</w:t>
      </w:r>
    </w:p>
    <w:p>
      <w:pPr>
        <w:numPr>
          <w:ilvl w:val="0"/>
          <w:numId w:val="1005"/>
        </w:numPr>
        <w:pStyle w:val="Compact"/>
      </w:pPr>
      <w:r>
        <w:t xml:space="preserve">Created learning opportunities through reviews, ADR discussions, design critiques, and knowledge sharing</w:t>
      </w:r>
    </w:p>
    <w:p>
      <w:pPr>
        <w:numPr>
          <w:ilvl w:val="0"/>
          <w:numId w:val="1005"/>
        </w:numPr>
        <w:pStyle w:val="Compact"/>
      </w:pPr>
      <w:r>
        <w:t xml:space="preserve">Ensured security strategy, controls, and practices are embedded at architectural design time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coring-matrix"/>
    <w:p>
      <w:pPr>
        <w:pStyle w:val="Heading2"/>
      </w:pPr>
      <w:r>
        <w:t xml:space="preserve">Scoring Matrix</w:t>
      </w:r>
    </w:p>
    <w:p>
      <w:pPr>
        <w:pStyle w:val="FirstParagraph"/>
      </w:pPr>
      <w:r>
        <w:rPr>
          <w:bCs/>
          <w:b/>
        </w:rPr>
        <w:t xml:space="preserve">Thresholds:</w:t>
      </w:r>
      <w:r>
        <w:t xml:space="preserve"> </w:t>
      </w:r>
      <w:r>
        <w:rPr>
          <w:iCs/>
          <w:i/>
        </w:rPr>
        <w:t xml:space="preserve">20+</w:t>
      </w:r>
      <w:r>
        <w:t xml:space="preserve"> </w:t>
      </w:r>
      <w:r>
        <w:t xml:space="preserve">is a pass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Competency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- Enterprise Strategy &amp; Direction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  <w:r>
              <w:t xml:space="preserve"> </w:t>
            </w:r>
            <w:r>
              <w:t xml:space="preserve">- Governance &amp; Standards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  <w:r>
              <w:t xml:space="preserve"> </w:t>
            </w:r>
            <w:r>
              <w:t xml:space="preserve">- Complex Design &amp; Integration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  <w:r>
              <w:t xml:space="preserve"> </w:t>
            </w:r>
            <w:r>
              <w:t xml:space="preserve">- Executive Influence &amp; Advisory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  <w:r>
              <w:t xml:space="preserve"> </w:t>
            </w:r>
            <w:r>
              <w:t xml:space="preserve">- Capability &amp; Leadership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0"/>
    <w:bookmarkEnd w:id="31"/>
    <w:sectPr w:rsidR="00A875E2" w:rsidSect="00EF592E">
      <w:pgSz w:h="15840" w:w="12240"/>
      <w:pgMar w:bottom="284" w:footer="720" w:gutter="0" w:header="720" w:left="284" w:right="284" w:top="284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C4DEF13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36976398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rsid w:val="00BE4A71"/>
    <w:pPr>
      <w:keepNext/>
      <w:keepLines/>
      <w:spacing w:after="120"/>
      <w:outlineLvl w:val="0"/>
    </w:pPr>
    <w:rPr>
      <w:rFonts w:ascii="Arial" w:cstheme="majorBidi" w:eastAsiaTheme="majorEastAsia" w:hAnsi="Arial"/>
      <w:b/>
      <w:bCs/>
      <w:color w:themeColor="text2" w:val="1F497D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BE4A71"/>
    <w:pPr>
      <w:keepNext/>
      <w:keepLines/>
      <w:spacing w:after="0" w:before="200"/>
      <w:outlineLvl w:val="1"/>
    </w:pPr>
    <w:rPr>
      <w:rFonts w:ascii="Arial" w:cstheme="majorBidi" w:eastAsiaTheme="majorEastAsia" w:hAnsi="Arial"/>
      <w:b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BE4A71"/>
    <w:pPr>
      <w:keepNext/>
      <w:keepLines/>
      <w:spacing w:after="0" w:before="200"/>
      <w:outlineLvl w:val="2"/>
    </w:pPr>
    <w:rPr>
      <w:rFonts w:ascii="Arial" w:cstheme="majorBidi" w:eastAsiaTheme="majorEastAsia" w:hAnsi="Arial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BE4A71"/>
    <w:pPr>
      <w:keepNext/>
      <w:keepLines/>
      <w:spacing w:after="0"/>
      <w:outlineLvl w:val="3"/>
    </w:pPr>
    <w:rPr>
      <w:rFonts w:ascii="Arial" w:cstheme="majorBidi" w:eastAsiaTheme="majorEastAsia" w:hAnsi="Arial"/>
      <w:bCs/>
      <w:i/>
      <w:color w:themeColor="text2" w:themeShade="BF" w:val="17365D"/>
      <w:sz w:val="20"/>
    </w:rPr>
  </w:style>
  <w:style w:styleId="Heading5" w:type="paragraph">
    <w:name w:val="heading 5"/>
    <w:basedOn w:val="Normal"/>
    <w:next w:val="BodyText"/>
    <w:uiPriority w:val="9"/>
    <w:unhideWhenUsed/>
    <w:qFormat/>
    <w:rsid w:val="00BE4A71"/>
    <w:pPr>
      <w:keepNext/>
      <w:keepLines/>
      <w:spacing w:after="0"/>
      <w:outlineLvl w:val="4"/>
    </w:pPr>
    <w:rPr>
      <w:rFonts w:ascii="Arial" w:cstheme="majorBidi" w:eastAsiaTheme="majorEastAsia" w:hAnsi="Arial"/>
      <w:iCs/>
      <w:color w:themeColor="text2" w:themeShade="BF" w:val="17365D"/>
      <w:sz w:val="20"/>
    </w:rPr>
  </w:style>
  <w:style w:styleId="Heading6" w:type="paragraph">
    <w:name w:val="heading 6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5"/>
    </w:pPr>
    <w:rPr>
      <w:rFonts w:ascii="Arial" w:cstheme="majorBidi" w:eastAsiaTheme="majorEastAsia" w:hAnsi="Arial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6"/>
    </w:pPr>
    <w:rPr>
      <w:rFonts w:ascii="Arial" w:cstheme="majorBidi" w:eastAsiaTheme="majorEastAsia" w:hAnsi="Arial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7"/>
    </w:pPr>
    <w:rPr>
      <w:rFonts w:ascii="Arial" w:cstheme="majorBidi" w:eastAsiaTheme="majorEastAsia" w:hAnsi="Arial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8"/>
    </w:pPr>
    <w:rPr>
      <w:rFonts w:ascii="Arial" w:cstheme="majorBidi" w:eastAsiaTheme="majorEastAsia" w:hAnsi="Arial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705273"/>
    <w:pPr>
      <w:spacing w:after="120" w:before="120"/>
    </w:pPr>
    <w:rPr>
      <w:rFonts w:ascii="Arial" w:hAnsi="Arial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2105D6"/>
    <w:pPr>
      <w:keepNext/>
      <w:keepLines/>
      <w:spacing w:after="120" w:before="120"/>
      <w:jc w:val="center"/>
    </w:pPr>
    <w:rPr>
      <w:rFonts w:ascii="Arial" w:cstheme="majorBidi" w:eastAsiaTheme="majorEastAsia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rsid w:val="002105D6"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2105D6"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rsid w:val="002105D6"/>
    <w:pPr>
      <w:keepNext/>
      <w:keepLines/>
      <w:jc w:val="center"/>
    </w:pPr>
    <w:rPr>
      <w:rFonts w:ascii="Arial" w:hAnsi="Arial"/>
    </w:rPr>
  </w:style>
  <w:style w:customStyle="1" w:styleId="Abstract" w:type="paragraph">
    <w:name w:val="Abstract"/>
    <w:basedOn w:val="Normal"/>
    <w:next w:val="BodyText"/>
    <w:qFormat/>
    <w:rsid w:val="002105D6"/>
    <w:pPr>
      <w:keepNext/>
      <w:keepLines/>
      <w:spacing w:after="300" w:before="3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qFormat/>
    <w:rsid w:val="002105D6"/>
    <w:rPr>
      <w:rFonts w:ascii="Arial" w:hAnsi="Arial"/>
    </w:rPr>
  </w:style>
  <w:style w:styleId="BlockText" w:type="paragraph">
    <w:name w:val="Block Text"/>
    <w:basedOn w:val="BodyText"/>
    <w:next w:val="BodyText"/>
    <w:uiPriority w:val="9"/>
    <w:unhideWhenUsed/>
    <w:qFormat/>
    <w:rsid w:val="00705273"/>
    <w:pPr>
      <w:spacing w:after="100"/>
      <w:ind w:left="482" w:right="482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BE4A71"/>
    <w:rPr>
      <w:rFonts w:ascii="Arial" w:hAnsi="Arial"/>
    </w:rPr>
    <w:tblPr>
      <w:tblInd w:type="dxa" w:w="397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type="dxa" w:w="142"/>
        <w:left w:type="dxa" w:w="284"/>
        <w:bottom w:type="dxa" w:w="142"/>
        <w:right w:type="dxa" w:w="284"/>
      </w:tblCellMar>
    </w:tblPr>
    <w:tcPr>
      <w:vAlign w:val="center"/>
    </w:tcPr>
    <w:tblStylePr w:type="firstRow">
      <w:rPr>
        <w:rFonts w:ascii="Arial" w:hAnsi="Arial"/>
        <w:b/>
        <w:sz w:val="28"/>
      </w:rPr>
      <w:tblPr/>
      <w:tcPr>
        <w:shd w:color="auto" w:fill="8DB3E2" w:themeFill="text2" w:themeFillTint="66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2105D6"/>
    <w:pPr>
      <w:spacing w:line="259" w:lineRule="auto"/>
      <w:outlineLvl w:val="9"/>
    </w:pPr>
    <w:rPr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55</Words>
  <Characters>370</Characters>
  <Application>Microsoft Office Word</Application>
  <DocSecurity>0</DocSecurity>
  <Lines>10</Lines>
  <Paragraphs>7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2025-12-06T15:32:15Z</dcterms:created>
  <dcterms:modified xsi:type="dcterms:W3CDTF">2025-12-06T15:32:15Z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