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1" w:name="director-of-engineering"/>
    <w:p>
      <w:pPr>
        <w:pStyle w:val="Heading1"/>
      </w:pPr>
      <w:r>
        <w:t xml:space="preserve">Director of Engineering</w:t>
      </w:r>
    </w:p>
    <w:p>
      <w:pPr>
        <w:pStyle w:val="FirstParagraph"/>
      </w:pPr>
      <w:r>
        <w:t xml:space="preserve">Responsible for setting organisation-wide engineering strategy, technical direction, and capability growth. Provides commercial, operational, and technical leadership across multiple product and platform groups, ensuring alignment with business strategy, customer outcomes, and long-term organisational goals.</w:t>
      </w:r>
    </w:p>
    <w:p>
      <w:pPr>
        <w:pStyle w:val="BodyText"/>
      </w:pPr>
      <w:r>
        <w:t xml:space="preserve">Candidates should use the</w:t>
      </w:r>
      <w:r>
        <w:t xml:space="preserve"> </w:t>
      </w:r>
      <w:r>
        <w:rPr>
          <w:bCs/>
          <w:b/>
        </w:rPr>
        <w:t xml:space="preserve">STAR method</w:t>
      </w:r>
      <w:r>
        <w:t xml:space="preserve"> </w:t>
      </w:r>
      <w:r>
        <w:t xml:space="preserve">(Situation, Task, Action, Result). This assessment is about demonstrated experience, not theoretical understanding.</w:t>
      </w:r>
    </w:p>
    <w:p>
      <w:r>
        <w:pict>
          <v:rect style="width:0;height:1.5pt" o:hralign="center" o:hrstd="t" o:hr="t"/>
        </w:pict>
      </w:r>
    </w:p>
    <w:bookmarkStart w:id="21" w:name="a---technical-strategy"/>
    <w:p>
      <w:pPr>
        <w:pStyle w:val="Heading2"/>
      </w:pPr>
      <w:r>
        <w:t xml:space="preserve">A - Technical Strategy</w:t>
      </w:r>
    </w:p>
    <w:bookmarkStart w:id="20" w:name="Xed28c07c39df5d1b0e328ce9fb3ea9e4c2b5e2a"/>
    <w:p>
      <w:pPr>
        <w:pStyle w:val="Heading4"/>
      </w:pPr>
      <w:r>
        <w:rPr>
          <w:bCs/>
          <w:b/>
        </w:rPr>
        <w:t xml:space="preserve">00:10</w:t>
      </w:r>
      <w:r>
        <w:t xml:space="preserve"> </w:t>
      </w:r>
      <w:r>
        <w:t xml:space="preserve">- UK-SPEC CEng A / SFIA EMRG Level 6–7 / INOV Level 6</w:t>
      </w:r>
    </w:p>
    <w:p>
      <w:pPr>
        <w:pStyle w:val="FirstParagraph"/>
      </w:pPr>
      <w:r>
        <w:t xml:space="preserve">Developing long-range technical strategy, evaluating emerging technologies, and making organisation-wide technical decisions under uncertainty.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1"/>
        </w:numPr>
        <w:pStyle w:val="Compact"/>
      </w:pPr>
      <w:r>
        <w:t xml:space="preserve">Demonstrated development of multi-year engineering or technology strategies</w:t>
      </w:r>
    </w:p>
    <w:p>
      <w:pPr>
        <w:numPr>
          <w:ilvl w:val="0"/>
          <w:numId w:val="1001"/>
        </w:numPr>
        <w:pStyle w:val="Compact"/>
      </w:pPr>
      <w:r>
        <w:t xml:space="preserve">Ability to evaluate emerging technologies, assess risks, and shape adoption plans</w:t>
      </w:r>
    </w:p>
    <w:p>
      <w:pPr>
        <w:numPr>
          <w:ilvl w:val="0"/>
          <w:numId w:val="1001"/>
        </w:numPr>
        <w:pStyle w:val="Compact"/>
      </w:pPr>
      <w:r>
        <w:t xml:space="preserve">Clear architectural north stars, reference models, and strategic direction-setting</w:t>
      </w:r>
    </w:p>
    <w:p>
      <w:pPr>
        <w:numPr>
          <w:ilvl w:val="0"/>
          <w:numId w:val="1001"/>
        </w:numPr>
        <w:pStyle w:val="Compact"/>
      </w:pPr>
      <w:r>
        <w:t xml:space="preserve">Structured justification of investments, build/buy decisions, and platform evolution</w:t>
      </w:r>
    </w:p>
    <w:p>
      <w:pPr>
        <w:numPr>
          <w:ilvl w:val="0"/>
          <w:numId w:val="1001"/>
        </w:numPr>
        <w:pStyle w:val="Compact"/>
      </w:pPr>
      <w:r>
        <w:t xml:space="preserve">Ability to define strategic technical priorities aligned with company goals</w:t>
      </w:r>
    </w:p>
    <w:p>
      <w:pPr>
        <w:numPr>
          <w:ilvl w:val="0"/>
          <w:numId w:val="1001"/>
        </w:numPr>
        <w:pStyle w:val="Compact"/>
      </w:pPr>
      <w:r>
        <w:t xml:space="preserve">Anticipates business impacts of technology trends and positions the organisation accordingly</w:t>
      </w:r>
    </w:p>
    <w:p>
      <w:pPr>
        <w:numPr>
          <w:ilvl w:val="0"/>
          <w:numId w:val="1001"/>
        </w:numPr>
        <w:pStyle w:val="Compact"/>
      </w:pPr>
      <w:r>
        <w:t xml:space="preserve">Balances innovation with operational stability and technical debt management</w:t>
      </w:r>
    </w:p>
    <w:p>
      <w:pPr>
        <w:numPr>
          <w:ilvl w:val="0"/>
          <w:numId w:val="1001"/>
        </w:numPr>
        <w:pStyle w:val="Compact"/>
      </w:pPr>
      <w:r>
        <w:t xml:space="preserve">Makes high-stakes technical decisions with incomplete information and manages the associated risks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3" w:name="b---engineering-organisation-design"/>
    <w:p>
      <w:pPr>
        <w:pStyle w:val="Heading2"/>
      </w:pPr>
      <w:r>
        <w:t xml:space="preserve">B - Engineering Organisation Design</w:t>
      </w:r>
    </w:p>
    <w:bookmarkStart w:id="22" w:name="X919276c4da8d1bf8d58f3f0e37d61b881e741b6"/>
    <w:p>
      <w:pPr>
        <w:pStyle w:val="Heading4"/>
      </w:pPr>
      <w:r>
        <w:rPr>
          <w:bCs/>
          <w:b/>
        </w:rPr>
        <w:t xml:space="preserve">00:15</w:t>
      </w:r>
      <w:r>
        <w:t xml:space="preserve"> </w:t>
      </w:r>
      <w:r>
        <w:t xml:space="preserve">- UK-SPEC CEng B / SFIA STPL Level 6–7 / ARCH Level 6</w:t>
      </w:r>
    </w:p>
    <w:p>
      <w:pPr>
        <w:pStyle w:val="FirstParagraph"/>
      </w:pPr>
      <w:r>
        <w:t xml:space="preserve">Designing engineering operating models, delivery structures, and architectural governance across multiple teams or business units.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2"/>
        </w:numPr>
        <w:pStyle w:val="Compact"/>
      </w:pPr>
      <w:r>
        <w:t xml:space="preserve">Designed or reshaped engineering organisations, operating models, or delivery processes</w:t>
      </w:r>
    </w:p>
    <w:p>
      <w:pPr>
        <w:numPr>
          <w:ilvl w:val="0"/>
          <w:numId w:val="1002"/>
        </w:numPr>
        <w:pStyle w:val="Compact"/>
      </w:pPr>
      <w:r>
        <w:t xml:space="preserve">Demonstrated ability to solve large cross-platform or cross-company engineering problems</w:t>
      </w:r>
    </w:p>
    <w:p>
      <w:pPr>
        <w:numPr>
          <w:ilvl w:val="0"/>
          <w:numId w:val="1002"/>
        </w:numPr>
        <w:pStyle w:val="Compact"/>
      </w:pPr>
      <w:r>
        <w:t xml:space="preserve">Built portfolio-level architecture governance (e.g., ADR frameworks, company-wide standards)</w:t>
      </w:r>
    </w:p>
    <w:p>
      <w:pPr>
        <w:numPr>
          <w:ilvl w:val="0"/>
          <w:numId w:val="1002"/>
        </w:numPr>
        <w:pStyle w:val="Compact"/>
      </w:pPr>
      <w:r>
        <w:t xml:space="preserve">Balanced technical, financial, operational, and customer constraints holistically</w:t>
      </w:r>
    </w:p>
    <w:p>
      <w:pPr>
        <w:numPr>
          <w:ilvl w:val="0"/>
          <w:numId w:val="1002"/>
        </w:numPr>
        <w:pStyle w:val="Compact"/>
      </w:pPr>
      <w:r>
        <w:t xml:space="preserve">Established long-range technical roadmaps enabling product strategy</w:t>
      </w:r>
    </w:p>
    <w:p>
      <w:pPr>
        <w:numPr>
          <w:ilvl w:val="0"/>
          <w:numId w:val="1002"/>
        </w:numPr>
        <w:pStyle w:val="Compact"/>
      </w:pPr>
      <w:r>
        <w:t xml:space="preserve">Structured teams and reporting lines to optimise for business outcomes and delivery effectiveness</w:t>
      </w:r>
    </w:p>
    <w:p>
      <w:pPr>
        <w:numPr>
          <w:ilvl w:val="0"/>
          <w:numId w:val="1002"/>
        </w:numPr>
        <w:pStyle w:val="Compact"/>
      </w:pPr>
      <w:r>
        <w:t xml:space="preserve">Created scalable processes that work across diverse product and platform groups</w:t>
      </w:r>
    </w:p>
    <w:p>
      <w:pPr>
        <w:numPr>
          <w:ilvl w:val="0"/>
          <w:numId w:val="1002"/>
        </w:numPr>
        <w:pStyle w:val="Compact"/>
      </w:pPr>
      <w:r>
        <w:t xml:space="preserve">Applied systems thinking to organisational design and architectural evolution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5" w:name="c---executive-leadership"/>
    <w:p>
      <w:pPr>
        <w:pStyle w:val="Heading2"/>
      </w:pPr>
      <w:r>
        <w:t xml:space="preserve">C - Executive Leadership</w:t>
      </w:r>
    </w:p>
    <w:bookmarkStart w:id="24" w:name="Xcc7b74bbcb2c8ba8a3ba6dc58eada6d2d5bcb98"/>
    <w:p>
      <w:pPr>
        <w:pStyle w:val="Heading4"/>
      </w:pPr>
      <w:r>
        <w:rPr>
          <w:bCs/>
          <w:b/>
        </w:rPr>
        <w:t xml:space="preserve">00:20</w:t>
      </w:r>
      <w:r>
        <w:t xml:space="preserve"> </w:t>
      </w:r>
      <w:r>
        <w:t xml:space="preserve">- UK-SPEC CEng C / SFIA GOVN Level 6–7 / CPMG Level 6–7</w:t>
      </w:r>
    </w:p>
    <w:p>
      <w:pPr>
        <w:pStyle w:val="FirstParagraph"/>
      </w:pPr>
      <w:r>
        <w:t xml:space="preserve">Providing enterprise leadership including budget ownership, portfolio management, engineering governance, and scaling capability across departments.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3"/>
        </w:numPr>
        <w:pStyle w:val="Compact"/>
      </w:pPr>
      <w:r>
        <w:t xml:space="preserve">Evidence of portfolio-level decision-making and prioritisation across products or business units</w:t>
      </w:r>
    </w:p>
    <w:p>
      <w:pPr>
        <w:numPr>
          <w:ilvl w:val="0"/>
          <w:numId w:val="1003"/>
        </w:numPr>
        <w:pStyle w:val="Compact"/>
      </w:pPr>
      <w:r>
        <w:t xml:space="preserve">Ownership of engineering budgets, forecasting, resourcing models, or vendor strategy</w:t>
      </w:r>
    </w:p>
    <w:p>
      <w:pPr>
        <w:numPr>
          <w:ilvl w:val="0"/>
          <w:numId w:val="1003"/>
        </w:numPr>
        <w:pStyle w:val="Compact"/>
      </w:pPr>
      <w:r>
        <w:t xml:space="preserve">Implementation of decision-making frameworks (e.g., DACI, company-wide RFCs, governance boards)</w:t>
      </w:r>
    </w:p>
    <w:p>
      <w:pPr>
        <w:numPr>
          <w:ilvl w:val="0"/>
          <w:numId w:val="1003"/>
        </w:numPr>
        <w:pStyle w:val="Compact"/>
      </w:pPr>
      <w:r>
        <w:t xml:space="preserve">Leadership of large-scale change programmes (platform transitions, re-architecture, cloud migrations)</w:t>
      </w:r>
    </w:p>
    <w:p>
      <w:pPr>
        <w:numPr>
          <w:ilvl w:val="0"/>
          <w:numId w:val="1003"/>
        </w:numPr>
        <w:pStyle w:val="Compact"/>
      </w:pPr>
      <w:r>
        <w:t xml:space="preserve">Ability to align engineering investment with commercial strategy and customer commitments</w:t>
      </w:r>
    </w:p>
    <w:p>
      <w:pPr>
        <w:numPr>
          <w:ilvl w:val="0"/>
          <w:numId w:val="1003"/>
        </w:numPr>
        <w:pStyle w:val="Compact"/>
      </w:pPr>
      <w:r>
        <w:t xml:space="preserve">Demonstrates commercial acumen in engineering investment and resource allocation decisions</w:t>
      </w:r>
    </w:p>
    <w:p>
      <w:pPr>
        <w:numPr>
          <w:ilvl w:val="0"/>
          <w:numId w:val="1003"/>
        </w:numPr>
        <w:pStyle w:val="Compact"/>
      </w:pPr>
      <w:r>
        <w:t xml:space="preserve">Manages relationships with vendors, partners, and third-party providers strategically</w:t>
      </w:r>
    </w:p>
    <w:p>
      <w:pPr>
        <w:numPr>
          <w:ilvl w:val="0"/>
          <w:numId w:val="1003"/>
        </w:numPr>
        <w:pStyle w:val="Compact"/>
      </w:pPr>
      <w:r>
        <w:t xml:space="preserve">Navigates regulatory, compliance, and audit requirements at an organisational level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27" w:name="d---communication-influence"/>
    <w:p>
      <w:pPr>
        <w:pStyle w:val="Heading2"/>
      </w:pPr>
      <w:r>
        <w:t xml:space="preserve">D - Communication &amp; Influence</w:t>
      </w:r>
    </w:p>
    <w:bookmarkStart w:id="26" w:name="X832303b5fc1d4b7b845a5e6d026a06f425eade2"/>
    <w:p>
      <w:pPr>
        <w:pStyle w:val="Heading4"/>
      </w:pPr>
      <w:r>
        <w:rPr>
          <w:bCs/>
          <w:b/>
        </w:rPr>
        <w:t xml:space="preserve">00:25</w:t>
      </w:r>
      <w:r>
        <w:t xml:space="preserve"> </w:t>
      </w:r>
      <w:r>
        <w:t xml:space="preserve">- UK-SPEC CEng D / SFIA RLMT Level 6 / MKTG Level 6</w:t>
      </w:r>
    </w:p>
    <w:p>
      <w:pPr>
        <w:pStyle w:val="FirstParagraph"/>
      </w:pPr>
      <w:r>
        <w:t xml:space="preserve">Strategic communication and influencing the executive team, board, customers, investors, and partners at senior levels.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4"/>
        </w:numPr>
        <w:pStyle w:val="Compact"/>
      </w:pPr>
      <w:r>
        <w:t xml:space="preserve">Clear communication of complex engineering or commercial trade-offs at exec/board level</w:t>
      </w:r>
    </w:p>
    <w:p>
      <w:pPr>
        <w:numPr>
          <w:ilvl w:val="0"/>
          <w:numId w:val="1004"/>
        </w:numPr>
        <w:pStyle w:val="Compact"/>
      </w:pPr>
      <w:r>
        <w:t xml:space="preserve">Demonstrable influence in cross-functional groups involving Product, Sales, Finance, or Operations</w:t>
      </w:r>
    </w:p>
    <w:p>
      <w:pPr>
        <w:numPr>
          <w:ilvl w:val="0"/>
          <w:numId w:val="1004"/>
        </w:numPr>
        <w:pStyle w:val="Compact"/>
      </w:pPr>
      <w:r>
        <w:t xml:space="preserve">Experience representing engineering in customer meetings, industry forums, or partner ecosystems</w:t>
      </w:r>
    </w:p>
    <w:p>
      <w:pPr>
        <w:numPr>
          <w:ilvl w:val="0"/>
          <w:numId w:val="1004"/>
        </w:numPr>
        <w:pStyle w:val="Compact"/>
      </w:pPr>
      <w:r>
        <w:t xml:space="preserve">Ability to manage misalignment constructively at executive level</w:t>
      </w:r>
    </w:p>
    <w:p>
      <w:pPr>
        <w:numPr>
          <w:ilvl w:val="0"/>
          <w:numId w:val="1004"/>
        </w:numPr>
        <w:pStyle w:val="Compact"/>
      </w:pPr>
      <w:r>
        <w:t xml:space="preserve">Builds strong, trust-based relationships with internal and external senior stakeholders</w:t>
      </w:r>
    </w:p>
    <w:p>
      <w:pPr>
        <w:numPr>
          <w:ilvl w:val="0"/>
          <w:numId w:val="1004"/>
        </w:numPr>
        <w:pStyle w:val="Compact"/>
      </w:pPr>
      <w:r>
        <w:t xml:space="preserve">Translates technical strategy into business outcomes for non-technical executives</w:t>
      </w:r>
    </w:p>
    <w:p>
      <w:pPr>
        <w:numPr>
          <w:ilvl w:val="0"/>
          <w:numId w:val="1004"/>
        </w:numPr>
        <w:pStyle w:val="Compact"/>
      </w:pPr>
      <w:r>
        <w:t xml:space="preserve">Represents the organisation’s engineering capability and vision to external audiences</w:t>
      </w:r>
    </w:p>
    <w:p>
      <w:pPr>
        <w:numPr>
          <w:ilvl w:val="0"/>
          <w:numId w:val="1004"/>
        </w:numPr>
        <w:pStyle w:val="Compact"/>
      </w:pPr>
      <w:r>
        <w:t xml:space="preserve">Influences company strategy through engineering insights and technical perspective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29" w:name="Xa2bfea18a782f5de9565180d6c4bbae38eede2f"/>
    <w:p>
      <w:pPr>
        <w:pStyle w:val="Heading2"/>
      </w:pPr>
      <w:r>
        <w:t xml:space="preserve">E - Professional Standards, Organisational Capability &amp; Culture</w:t>
      </w:r>
    </w:p>
    <w:bookmarkStart w:id="28" w:name="Xe9f5e7d2b9b0b5b106f5ee212a7de669954face"/>
    <w:p>
      <w:pPr>
        <w:pStyle w:val="Heading4"/>
      </w:pPr>
      <w:r>
        <w:rPr>
          <w:bCs/>
          <w:b/>
        </w:rPr>
        <w:t xml:space="preserve">00:30</w:t>
      </w:r>
      <w:r>
        <w:t xml:space="preserve"> </w:t>
      </w:r>
      <w:r>
        <w:t xml:space="preserve">- UK-SPEC CEng E / SFIA PEMT Level 6 / PDSV Level 6</w:t>
      </w:r>
    </w:p>
    <w:p>
      <w:pPr>
        <w:pStyle w:val="FirstParagraph"/>
      </w:pPr>
      <w:r>
        <w:t xml:space="preserve">Maturing the engineering organisation through standards, ethics, security, talent pipelines, leadership development, and succession planning.</w:t>
      </w:r>
    </w:p>
    <w:p>
      <w:pPr>
        <w:pStyle w:val="BodyText"/>
      </w:pPr>
      <w:r>
        <w:rPr>
          <w:bCs/>
          <w:b/>
        </w:rPr>
        <w:t xml:space="preserve">What to look for:</w:t>
      </w:r>
    </w:p>
    <w:p>
      <w:pPr>
        <w:numPr>
          <w:ilvl w:val="0"/>
          <w:numId w:val="1005"/>
        </w:numPr>
        <w:pStyle w:val="Compact"/>
      </w:pPr>
      <w:r>
        <w:t xml:space="preserve">Built engineering capability programmes (career frameworks, training academies, leadership pathways)</w:t>
      </w:r>
    </w:p>
    <w:p>
      <w:pPr>
        <w:numPr>
          <w:ilvl w:val="0"/>
          <w:numId w:val="1005"/>
        </w:numPr>
        <w:pStyle w:val="Compact"/>
      </w:pPr>
      <w:r>
        <w:t xml:space="preserve">Set organisation-wide professional standards (security, ethics, safety, compliance)</w:t>
      </w:r>
    </w:p>
    <w:p>
      <w:pPr>
        <w:numPr>
          <w:ilvl w:val="0"/>
          <w:numId w:val="1005"/>
        </w:numPr>
        <w:pStyle w:val="Compact"/>
      </w:pPr>
      <w:r>
        <w:t xml:space="preserve">Ensured engineering culture supports autonomy, psychological safety, and high performance</w:t>
      </w:r>
    </w:p>
    <w:p>
      <w:pPr>
        <w:numPr>
          <w:ilvl w:val="0"/>
          <w:numId w:val="1005"/>
        </w:numPr>
        <w:pStyle w:val="Compact"/>
      </w:pPr>
      <w:r>
        <w:t xml:space="preserve">Demonstrated succession planning and structured mentoring of senior leaders</w:t>
      </w:r>
    </w:p>
    <w:p>
      <w:pPr>
        <w:numPr>
          <w:ilvl w:val="0"/>
          <w:numId w:val="1005"/>
        </w:numPr>
        <w:pStyle w:val="Compact"/>
      </w:pPr>
      <w:r>
        <w:t xml:space="preserve">Drove company-wide actions from retrospectives, audits, incidents, or compliance obligations</w:t>
      </w:r>
    </w:p>
    <w:p>
      <w:pPr>
        <w:numPr>
          <w:ilvl w:val="0"/>
          <w:numId w:val="1005"/>
        </w:numPr>
        <w:pStyle w:val="Compact"/>
      </w:pPr>
      <w:r>
        <w:t xml:space="preserve">Creates inclusive environments where diverse talent can thrive and progress</w:t>
      </w:r>
    </w:p>
    <w:p>
      <w:pPr>
        <w:numPr>
          <w:ilvl w:val="0"/>
          <w:numId w:val="1005"/>
        </w:numPr>
        <w:pStyle w:val="Compact"/>
      </w:pPr>
      <w:r>
        <w:t xml:space="preserve">Measures and improves organisational health metrics (engagement, retention, diversity)</w:t>
      </w:r>
    </w:p>
    <w:p>
      <w:pPr>
        <w:numPr>
          <w:ilvl w:val="0"/>
          <w:numId w:val="1005"/>
        </w:numPr>
        <w:pStyle w:val="Compact"/>
      </w:pPr>
      <w:r>
        <w:t xml:space="preserve">Balances scaling the organisation with maintaining quality and culture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0" w:name="scoring-matrix"/>
    <w:p>
      <w:pPr>
        <w:pStyle w:val="Heading2"/>
      </w:pPr>
      <w:r>
        <w:t xml:space="preserve">Scoring Matrix</w:t>
      </w:r>
    </w:p>
    <w:p>
      <w:pPr>
        <w:pStyle w:val="FirstParagraph"/>
      </w:pPr>
      <w:r>
        <w:rPr>
          <w:bCs/>
          <w:b/>
        </w:rPr>
        <w:t xml:space="preserve">Thresholds:</w:t>
      </w:r>
      <w:r>
        <w:t xml:space="preserve"> </w:t>
      </w:r>
      <w:r>
        <w:rPr>
          <w:iCs/>
          <w:i/>
        </w:rPr>
        <w:t xml:space="preserve">20+</w:t>
      </w:r>
      <w:r>
        <w:t xml:space="preserve"> </w:t>
      </w:r>
      <w:r>
        <w:t xml:space="preserve">is a pass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519"/>
        <w:gridCol w:w="879"/>
        <w:gridCol w:w="879"/>
        <w:gridCol w:w="879"/>
        <w:gridCol w:w="879"/>
        <w:gridCol w:w="879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Competency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</w:t>
            </w:r>
            <w:r>
              <w:t xml:space="preserve"> </w:t>
            </w:r>
            <w:r>
              <w:t xml:space="preserve">- Technical Strategy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</w:t>
            </w:r>
            <w:r>
              <w:t xml:space="preserve"> </w:t>
            </w:r>
            <w:r>
              <w:t xml:space="preserve">- Engineering Organisation Design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</w:t>
            </w:r>
            <w:r>
              <w:t xml:space="preserve"> </w:t>
            </w:r>
            <w:r>
              <w:t xml:space="preserve">- Executive Leadership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</w:t>
            </w:r>
            <w:r>
              <w:t xml:space="preserve"> </w:t>
            </w:r>
            <w:r>
              <w:t xml:space="preserve">- Communication &amp; Influence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E</w:t>
            </w:r>
            <w:r>
              <w:t xml:space="preserve"> </w:t>
            </w:r>
            <w:r>
              <w:t xml:space="preserve">- Professional Standards, Organisational Capability &amp; Culture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</w:tbl>
    <w:bookmarkEnd w:id="30"/>
    <w:bookmarkEnd w:id="31"/>
    <w:sectPr w:rsidR="00A875E2" w:rsidSect="00EF592E">
      <w:pgSz w:h="15840" w:w="12240"/>
      <w:pgMar w:bottom="284" w:footer="720" w:gutter="0" w:header="720" w:left="284" w:right="284" w:top="284"/>
      <w:cols w:space="72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170CD2DE"/>
    <w:multiLevelType w:val="multilevel"/>
    <w:tmpl w:val="C4DEF13E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16cid:durableId="36976398" w:numId="1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</w:style>
  <w:style w:styleId="Heading1" w:type="paragraph">
    <w:name w:val="heading 1"/>
    <w:basedOn w:val="Normal"/>
    <w:next w:val="BodyText"/>
    <w:uiPriority w:val="9"/>
    <w:qFormat/>
    <w:rsid w:val="00BE4A71"/>
    <w:pPr>
      <w:keepNext/>
      <w:keepLines/>
      <w:spacing w:after="120"/>
      <w:outlineLvl w:val="0"/>
    </w:pPr>
    <w:rPr>
      <w:rFonts w:ascii="Arial" w:cstheme="majorBidi" w:eastAsiaTheme="majorEastAsia" w:hAnsi="Arial"/>
      <w:b/>
      <w:bCs/>
      <w:color w:themeColor="text2" w:val="1F497D"/>
      <w:sz w:val="40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1"/>
    </w:pPr>
    <w:rPr>
      <w:rFonts w:ascii="Arial" w:cstheme="majorBidi" w:eastAsiaTheme="majorEastAsia" w:hAnsi="Arial"/>
      <w:b/>
      <w:bCs/>
      <w:color w:themeColor="text2" w:val="1F497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rsid w:val="00BE4A71"/>
    <w:pPr>
      <w:keepNext/>
      <w:keepLines/>
      <w:spacing w:after="0" w:before="200"/>
      <w:outlineLvl w:val="2"/>
    </w:pPr>
    <w:rPr>
      <w:rFonts w:ascii="Arial" w:cstheme="majorBidi" w:eastAsiaTheme="majorEastAsia" w:hAnsi="Arial"/>
      <w:b/>
      <w:bCs/>
      <w:color w:themeColor="text2" w:val="1F497D"/>
    </w:rPr>
  </w:style>
  <w:style w:styleId="Heading4" w:type="paragraph">
    <w:name w:val="heading 4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3"/>
    </w:pPr>
    <w:rPr>
      <w:rFonts w:ascii="Arial" w:cstheme="majorBidi" w:eastAsiaTheme="majorEastAsia" w:hAnsi="Arial"/>
      <w:bCs/>
      <w:i/>
      <w:color w:themeColor="text2" w:themeShade="BF" w:val="17365D"/>
      <w:sz w:val="20"/>
    </w:rPr>
  </w:style>
  <w:style w:styleId="Heading5" w:type="paragraph">
    <w:name w:val="heading 5"/>
    <w:basedOn w:val="Normal"/>
    <w:next w:val="BodyText"/>
    <w:uiPriority w:val="9"/>
    <w:unhideWhenUsed/>
    <w:qFormat/>
    <w:rsid w:val="00BE4A71"/>
    <w:pPr>
      <w:keepNext/>
      <w:keepLines/>
      <w:spacing w:after="0"/>
      <w:outlineLvl w:val="4"/>
    </w:pPr>
    <w:rPr>
      <w:rFonts w:ascii="Arial" w:cstheme="majorBidi" w:eastAsiaTheme="majorEastAsia" w:hAnsi="Arial"/>
      <w:iCs/>
      <w:color w:themeColor="text2" w:themeShade="BF" w:val="17365D"/>
      <w:sz w:val="20"/>
    </w:rPr>
  </w:style>
  <w:style w:styleId="Heading6" w:type="paragraph">
    <w:name w:val="heading 6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5"/>
    </w:pPr>
    <w:rPr>
      <w:rFonts w:ascii="Arial" w:cstheme="majorBidi" w:eastAsiaTheme="majorEastAsia" w:hAnsi="Arial"/>
      <w:color w:themeColor="accent1" w:val="4F81BD"/>
    </w:rPr>
  </w:style>
  <w:style w:styleId="Heading7" w:type="paragraph">
    <w:name w:val="heading 7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6"/>
    </w:pPr>
    <w:rPr>
      <w:rFonts w:ascii="Arial" w:cstheme="majorBidi" w:eastAsiaTheme="majorEastAsia" w:hAnsi="Arial"/>
      <w:color w:themeColor="accent1" w:val="4F81BD"/>
    </w:rPr>
  </w:style>
  <w:style w:styleId="Heading8" w:type="paragraph">
    <w:name w:val="heading 8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7"/>
    </w:pPr>
    <w:rPr>
      <w:rFonts w:ascii="Arial" w:cstheme="majorBidi" w:eastAsiaTheme="majorEastAsia" w:hAnsi="Arial"/>
      <w:color w:themeColor="accent1" w:val="4F81BD"/>
    </w:rPr>
  </w:style>
  <w:style w:styleId="Heading9" w:type="paragraph">
    <w:name w:val="heading 9"/>
    <w:basedOn w:val="Normal"/>
    <w:next w:val="BodyText"/>
    <w:uiPriority w:val="9"/>
    <w:unhideWhenUsed/>
    <w:qFormat/>
    <w:rsid w:val="002105D6"/>
    <w:pPr>
      <w:keepNext/>
      <w:keepLines/>
      <w:spacing w:after="0"/>
      <w:outlineLvl w:val="8"/>
    </w:pPr>
    <w:rPr>
      <w:rFonts w:ascii="Arial" w:cstheme="majorBidi" w:eastAsiaTheme="majorEastAsia" w:hAnsi="Arial"/>
      <w:color w:themeColor="accent1" w:val="4F81BD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705273"/>
    <w:pPr>
      <w:spacing w:after="120" w:before="120"/>
    </w:pPr>
    <w:rPr>
      <w:rFonts w:ascii="Arial" w:hAnsi="Arial"/>
    </w:r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2105D6"/>
    <w:pPr>
      <w:keepNext/>
      <w:keepLines/>
      <w:spacing w:after="120" w:before="120"/>
      <w:jc w:val="center"/>
    </w:pPr>
    <w:rPr>
      <w:rFonts w:ascii="Arial" w:cstheme="majorBidi" w:eastAsiaTheme="majorEastAsia" w:hAnsi="Arial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rsid w:val="002105D6"/>
    <w:pPr>
      <w:spacing w:after="240" w:before="240"/>
    </w:pPr>
    <w:rPr>
      <w:sz w:val="30"/>
      <w:szCs w:val="30"/>
    </w:rPr>
  </w:style>
  <w:style w:customStyle="1" w:styleId="Author" w:type="paragraph">
    <w:name w:val="Author"/>
    <w:next w:val="BodyText"/>
    <w:qFormat/>
    <w:rsid w:val="002105D6"/>
    <w:pPr>
      <w:keepNext/>
      <w:keepLines/>
      <w:jc w:val="center"/>
    </w:pPr>
    <w:rPr>
      <w:rFonts w:ascii="Arial" w:hAnsi="Arial"/>
    </w:rPr>
  </w:style>
  <w:style w:styleId="Date" w:type="paragraph">
    <w:name w:val="Date"/>
    <w:next w:val="BodyText"/>
    <w:qFormat/>
    <w:rsid w:val="002105D6"/>
    <w:pPr>
      <w:keepNext/>
      <w:keepLines/>
      <w:jc w:val="center"/>
    </w:pPr>
    <w:rPr>
      <w:rFonts w:ascii="Arial" w:hAnsi="Arial"/>
    </w:rPr>
  </w:style>
  <w:style w:customStyle="1" w:styleId="Abstract" w:type="paragraph">
    <w:name w:val="Abstract"/>
    <w:basedOn w:val="Normal"/>
    <w:next w:val="BodyText"/>
    <w:qFormat/>
    <w:rsid w:val="002105D6"/>
    <w:pPr>
      <w:keepNext/>
      <w:keepLines/>
      <w:spacing w:after="300" w:before="300"/>
    </w:pPr>
    <w:rPr>
      <w:rFonts w:ascii="Arial" w:hAnsi="Arial"/>
      <w:sz w:val="20"/>
      <w:szCs w:val="20"/>
    </w:rPr>
  </w:style>
  <w:style w:styleId="Bibliography" w:type="paragraph">
    <w:name w:val="Bibliography"/>
    <w:basedOn w:val="Normal"/>
    <w:qFormat/>
    <w:rsid w:val="002105D6"/>
    <w:rPr>
      <w:rFonts w:ascii="Arial" w:hAnsi="Arial"/>
    </w:rPr>
  </w:style>
  <w:style w:styleId="BlockText" w:type="paragraph">
    <w:name w:val="Block Text"/>
    <w:basedOn w:val="BodyText"/>
    <w:next w:val="BodyText"/>
    <w:uiPriority w:val="9"/>
    <w:unhideWhenUsed/>
    <w:qFormat/>
    <w:rsid w:val="00705273"/>
    <w:pPr>
      <w:spacing w:after="100"/>
      <w:ind w:left="482" w:right="482"/>
    </w:pPr>
  </w:style>
  <w:style w:styleId="FootnoteText" w:type="paragraph">
    <w:name w:val="footnote text"/>
    <w:basedOn w:val="Normal"/>
    <w:uiPriority w:val="9"/>
    <w:unhideWhenUsed/>
    <w:qFormat/>
  </w:style>
  <w:style w:customStyle="1" w:styleId="Table" w:type="table">
    <w:name w:val="Table"/>
    <w:semiHidden/>
    <w:unhideWhenUsed/>
    <w:qFormat/>
    <w:rsid w:val="00BE4A71"/>
    <w:rPr>
      <w:rFonts w:ascii="Arial" w:hAnsi="Arial"/>
    </w:rPr>
    <w:tblPr>
      <w:tblInd w:type="dxa" w:w="397"/>
      <w:tblBorders>
        <w:top w:color="000000" w:space="0" w:sz="4" w:themeColor="text1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000000" w:space="0" w:sz="4" w:themeColor="text1" w:val="single"/>
        <w:insideV w:color="000000" w:space="0" w:sz="4" w:themeColor="text1" w:val="single"/>
      </w:tblBorders>
      <w:tblCellMar>
        <w:top w:type="dxa" w:w="142"/>
        <w:left w:type="dxa" w:w="284"/>
        <w:bottom w:type="dxa" w:w="142"/>
        <w:right w:type="dxa" w:w="284"/>
      </w:tblCellMar>
    </w:tblPr>
    <w:tcPr>
      <w:vAlign w:val="center"/>
    </w:tcPr>
    <w:tblStylePr w:type="firstRow">
      <w:rPr>
        <w:rFonts w:ascii="Arial" w:hAnsi="Arial"/>
        <w:b/>
        <w:sz w:val="28"/>
      </w:rPr>
      <w:tblPr/>
      <w:tcPr>
        <w:shd w:color="auto" w:fill="8DB3E2" w:themeFill="text2" w:themeFillTint="66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pPr>
      <w:spacing w:after="12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CaptionChar" w:type="character">
    <w:name w:val="Caption Char"/>
    <w:basedOn w:val="DefaultParagraphFont"/>
    <w:link w:val="Caption"/>
  </w:style>
  <w:style w:customStyle="1" w:styleId="VerbatimChar" w:type="character">
    <w:name w:val="Verbatim Char"/>
    <w:basedOn w:val="CaptionChar"/>
    <w:rPr>
      <w:rFonts w:ascii="Consolas" w:hAnsi="Consolas"/>
      <w:sz w:val="22"/>
    </w:rPr>
  </w:style>
  <w:style w:styleId="FootnoteReference" w:type="character">
    <w:name w:val="footnote reference"/>
    <w:basedOn w:val="CaptionChar"/>
    <w:rPr>
      <w:vertAlign w:val="superscript"/>
    </w:rPr>
  </w:style>
  <w:style w:styleId="Hyperlink" w:type="character">
    <w:name w:val="Hyperlink"/>
    <w:basedOn w:val="Caption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2105D6"/>
    <w:pPr>
      <w:spacing w:line="259" w:lineRule="auto"/>
      <w:outlineLvl w:val="9"/>
    </w:pPr>
    <w:rPr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55</Words>
  <Characters>370</Characters>
  <Application>Microsoft Office Word</Application>
  <DocSecurity>0</DocSecurity>
  <Lines>10</Lines>
  <Paragraphs>7</Paragraphs>
  <ScaleCrop>false</ScaleCrop>
  <Company/>
  <LinksUpToDate>false</LinksUpToDate>
  <CharactersWithSpaces>418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2025-12-06T15:32:20Z</dcterms:created>
  <dcterms:modified xsi:type="dcterms:W3CDTF">2025-12-06T15:32:20Z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