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enterprise-architect"/>
    <w:p>
      <w:pPr>
        <w:pStyle w:val="Heading1"/>
      </w:pPr>
      <w:r>
        <w:t xml:space="preserve">Enterprise Architect</w:t>
      </w:r>
    </w:p>
    <w:p>
      <w:pPr>
        <w:pStyle w:val="FirstParagraph"/>
      </w:pPr>
      <w:r>
        <w:t xml:space="preserve">Responsible for defining and governing the organisation’s end-to-end architecture across business, data, applications, and technology. Ensures coherence, strategic alignment, long-term technical sustainability, and value realisation across the enterprise.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enterprise-strategy-vision"/>
    <w:p>
      <w:pPr>
        <w:pStyle w:val="Heading2"/>
      </w:pPr>
      <w:r>
        <w:t xml:space="preserve">A - Enterprise Strategy &amp; Vision</w:t>
      </w:r>
    </w:p>
    <w:bookmarkStart w:id="20" w:name="sfia-stpl-arch-level-67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SFIA STPL / ARCH Level 6–7</w:t>
      </w:r>
    </w:p>
    <w:p>
      <w:pPr>
        <w:pStyle w:val="FirstParagraph"/>
      </w:pPr>
      <w:r>
        <w:t xml:space="preserve">Developing long-term architectural direction, creating enterprise-wide frameworks, and ensuring alignment between business strategy and technical landscape.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Developed enterprise architecture principles, blueprints, or long-term roadmaps spanning multiple domains</w:t>
      </w:r>
    </w:p>
    <w:p>
      <w:pPr>
        <w:numPr>
          <w:ilvl w:val="0"/>
          <w:numId w:val="1001"/>
        </w:numPr>
        <w:pStyle w:val="Compact"/>
      </w:pPr>
      <w:r>
        <w:t xml:space="preserve">Ensured architectural alignment across product, platform, data, and infrastructure portfolios</w:t>
      </w:r>
    </w:p>
    <w:p>
      <w:pPr>
        <w:numPr>
          <w:ilvl w:val="0"/>
          <w:numId w:val="1001"/>
        </w:numPr>
        <w:pStyle w:val="Compact"/>
      </w:pPr>
      <w:r>
        <w:t xml:space="preserve">Translated business strategy into coherent technology direction with clear investment priorities</w:t>
      </w:r>
    </w:p>
    <w:p>
      <w:pPr>
        <w:numPr>
          <w:ilvl w:val="0"/>
          <w:numId w:val="1001"/>
        </w:numPr>
        <w:pStyle w:val="Compact"/>
      </w:pPr>
      <w:r>
        <w:t xml:space="preserve">Balanced innovation with risk, cost, operational constraints, and organisational maturity</w:t>
      </w:r>
    </w:p>
    <w:p>
      <w:pPr>
        <w:numPr>
          <w:ilvl w:val="0"/>
          <w:numId w:val="1001"/>
        </w:numPr>
        <w:pStyle w:val="Compact"/>
      </w:pPr>
      <w:r>
        <w:t xml:space="preserve">Influenced executive decision-making using architectural insights, analysis, and strategic options</w:t>
      </w:r>
    </w:p>
    <w:p>
      <w:pPr>
        <w:numPr>
          <w:ilvl w:val="0"/>
          <w:numId w:val="1001"/>
        </w:numPr>
        <w:pStyle w:val="Compact"/>
      </w:pPr>
      <w:r>
        <w:t xml:space="preserve">Defined target state architecture and migration pathways across multi-year horizons</w:t>
      </w:r>
    </w:p>
    <w:p>
      <w:pPr>
        <w:numPr>
          <w:ilvl w:val="0"/>
          <w:numId w:val="1001"/>
        </w:numPr>
        <w:pStyle w:val="Compact"/>
      </w:pPr>
      <w:r>
        <w:t xml:space="preserve">Articulated architectural vision that inspired and aligned diverse technical and business stakeholders</w:t>
      </w:r>
    </w:p>
    <w:p>
      <w:pPr>
        <w:numPr>
          <w:ilvl w:val="0"/>
          <w:numId w:val="1001"/>
        </w:numPr>
        <w:pStyle w:val="Compact"/>
      </w:pPr>
      <w:r>
        <w:t xml:space="preserve">Demonstrated measurable business value from strategic architectural decisions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architecture-governance-portfolio"/>
    <w:p>
      <w:pPr>
        <w:pStyle w:val="Heading2"/>
      </w:pPr>
      <w:r>
        <w:t xml:space="preserve">B - Architecture Governance &amp; Portfolio</w:t>
      </w:r>
    </w:p>
    <w:bookmarkStart w:id="22" w:name="sfia-govn-pomg-metl-level-57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SFIA GOVN / POMG / METL Level 5–7</w:t>
      </w:r>
    </w:p>
    <w:p>
      <w:pPr>
        <w:pStyle w:val="FirstParagraph"/>
      </w:pPr>
      <w:r>
        <w:t xml:space="preserve">Establishing architecture governance structures, aligning investments to enterprise priorities, and ensuring architectural compliance at scale.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Introduced or led architectural review boards, governance frameworks, or decision-making processes</w:t>
      </w:r>
    </w:p>
    <w:p>
      <w:pPr>
        <w:numPr>
          <w:ilvl w:val="0"/>
          <w:numId w:val="1002"/>
        </w:numPr>
        <w:pStyle w:val="Compact"/>
      </w:pPr>
      <w:r>
        <w:t xml:space="preserve">Ensured architectural coherence and compliance across complex portfolios (platform, product, data, infrastructure)</w:t>
      </w:r>
    </w:p>
    <w:p>
      <w:pPr>
        <w:numPr>
          <w:ilvl w:val="0"/>
          <w:numId w:val="1002"/>
        </w:numPr>
        <w:pStyle w:val="Compact"/>
      </w:pPr>
      <w:r>
        <w:t xml:space="preserve">Evaluated solutions for alignment with enterprise principles, standards, and constraints</w:t>
      </w:r>
    </w:p>
    <w:p>
      <w:pPr>
        <w:numPr>
          <w:ilvl w:val="0"/>
          <w:numId w:val="1002"/>
        </w:numPr>
        <w:pStyle w:val="Compact"/>
      </w:pPr>
      <w:r>
        <w:t xml:space="preserve">Managed architectural risks and dependencies across multiple delivery streams or programmes</w:t>
      </w:r>
    </w:p>
    <w:p>
      <w:pPr>
        <w:numPr>
          <w:ilvl w:val="0"/>
          <w:numId w:val="1002"/>
        </w:numPr>
        <w:pStyle w:val="Compact"/>
      </w:pPr>
      <w:r>
        <w:t xml:space="preserve">Maintained enterprise roadmaps linking capability evolution to investment decisions</w:t>
      </w:r>
    </w:p>
    <w:p>
      <w:pPr>
        <w:numPr>
          <w:ilvl w:val="0"/>
          <w:numId w:val="1002"/>
        </w:numPr>
        <w:pStyle w:val="Compact"/>
      </w:pPr>
      <w:r>
        <w:t xml:space="preserve">Established architectural standards, patterns, reference architectures, or guardrails</w:t>
      </w:r>
    </w:p>
    <w:p>
      <w:pPr>
        <w:numPr>
          <w:ilvl w:val="0"/>
          <w:numId w:val="1002"/>
        </w:numPr>
        <w:pStyle w:val="Compact"/>
      </w:pPr>
      <w:r>
        <w:t xml:space="preserve">Governed selection and adoption of methods, tools, and frameworks at enterprise scale</w:t>
      </w:r>
    </w:p>
    <w:p>
      <w:pPr>
        <w:numPr>
          <w:ilvl w:val="0"/>
          <w:numId w:val="1002"/>
        </w:numPr>
        <w:pStyle w:val="Compact"/>
      </w:pPr>
      <w:r>
        <w:t xml:space="preserve">Balanced governance rigor with organisational agility and speed of execution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system-design-integration"/>
    <w:p>
      <w:pPr>
        <w:pStyle w:val="Heading2"/>
      </w:pPr>
      <w:r>
        <w:t xml:space="preserve">C - System Design &amp; Integration</w:t>
      </w:r>
    </w:p>
    <w:bookmarkStart w:id="24" w:name="sfia-desn-datm-inov-level-56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SFIA DESN / DATM / INOV Level 5–6</w:t>
      </w:r>
    </w:p>
    <w:p>
      <w:pPr>
        <w:pStyle w:val="FirstParagraph"/>
      </w:pPr>
      <w:r>
        <w:t xml:space="preserve">Designing complex systems spanning multiple domains, integrating heterogeneous platforms, and solving enterprise-scale technical challenges.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Led design of cross-domain systems (data pipelines, platform integration, event architectures, API strategies)</w:t>
      </w:r>
    </w:p>
    <w:p>
      <w:pPr>
        <w:numPr>
          <w:ilvl w:val="0"/>
          <w:numId w:val="1003"/>
        </w:numPr>
        <w:pStyle w:val="Compact"/>
      </w:pPr>
      <w:r>
        <w:t xml:space="preserve">Solved deep, long-standing architectural problems with enterprise-wide impact</w:t>
      </w:r>
    </w:p>
    <w:p>
      <w:pPr>
        <w:numPr>
          <w:ilvl w:val="0"/>
          <w:numId w:val="1003"/>
        </w:numPr>
        <w:pStyle w:val="Compact"/>
      </w:pPr>
      <w:r>
        <w:t xml:space="preserve">Anticipated downstream implications across performance, data flows, security, compliance, and operations</w:t>
      </w:r>
    </w:p>
    <w:p>
      <w:pPr>
        <w:numPr>
          <w:ilvl w:val="0"/>
          <w:numId w:val="1003"/>
        </w:numPr>
        <w:pStyle w:val="Compact"/>
      </w:pPr>
      <w:r>
        <w:t xml:space="preserve">Used models, diagrams, patterns, or abstractions (C4, ArchiMate, TOGAF views) to communicate complex architectures</w:t>
      </w:r>
    </w:p>
    <w:p>
      <w:pPr>
        <w:numPr>
          <w:ilvl w:val="0"/>
          <w:numId w:val="1003"/>
        </w:numPr>
        <w:pStyle w:val="Compact"/>
      </w:pPr>
      <w:r>
        <w:t xml:space="preserve">Applied architecture frameworks pragmatically and outcome-driven, not dogmatically</w:t>
      </w:r>
    </w:p>
    <w:p>
      <w:pPr>
        <w:numPr>
          <w:ilvl w:val="0"/>
          <w:numId w:val="1003"/>
        </w:numPr>
        <w:pStyle w:val="Compact"/>
      </w:pPr>
      <w:r>
        <w:t xml:space="preserve">Designed data architectures ensuring consistency, quality, lineage, and governance at scale</w:t>
      </w:r>
    </w:p>
    <w:p>
      <w:pPr>
        <w:numPr>
          <w:ilvl w:val="0"/>
          <w:numId w:val="1003"/>
        </w:numPr>
        <w:pStyle w:val="Compact"/>
      </w:pPr>
      <w:r>
        <w:t xml:space="preserve">Enabled innovation through structured experimentation within enterprise constraints</w:t>
      </w:r>
    </w:p>
    <w:p>
      <w:pPr>
        <w:numPr>
          <w:ilvl w:val="0"/>
          <w:numId w:val="1003"/>
        </w:numPr>
        <w:pStyle w:val="Compact"/>
      </w:pPr>
      <w:r>
        <w:t xml:space="preserve">Delivered architectural solutions that proved robust, scalable, and maintainable in production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stakeholder-engagement-influence"/>
    <w:p>
      <w:pPr>
        <w:pStyle w:val="Heading2"/>
      </w:pPr>
      <w:r>
        <w:t xml:space="preserve">D - Stakeholder Engagement &amp; Influence</w:t>
      </w:r>
    </w:p>
    <w:bookmarkStart w:id="26" w:name="sfia-rlmt-cnsl-level-56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SFIA RLMT / CNSL Level 5–6</w:t>
      </w:r>
    </w:p>
    <w:p>
      <w:pPr>
        <w:pStyle w:val="FirstParagraph"/>
      </w:pPr>
      <w:r>
        <w:t xml:space="preserve">Influencing senior stakeholders, facilitating strategic decisions, and acting as a trusted advisor across the organisation.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Influenced senior engineering, product, commercial, and operational stakeholders on architectural direction</w:t>
      </w:r>
    </w:p>
    <w:p>
      <w:pPr>
        <w:numPr>
          <w:ilvl w:val="0"/>
          <w:numId w:val="1004"/>
        </w:numPr>
        <w:pStyle w:val="Compact"/>
      </w:pPr>
      <w:r>
        <w:t xml:space="preserve">Provided structured architectural options with clear trade-offs, risk analysis, and cost implications</w:t>
      </w:r>
    </w:p>
    <w:p>
      <w:pPr>
        <w:numPr>
          <w:ilvl w:val="0"/>
          <w:numId w:val="1004"/>
        </w:numPr>
        <w:pStyle w:val="Compact"/>
      </w:pPr>
      <w:r>
        <w:t xml:space="preserve">Handled disagreement or ambiguity constructively through evidence-based argument and facilitation</w:t>
      </w:r>
    </w:p>
    <w:p>
      <w:pPr>
        <w:numPr>
          <w:ilvl w:val="0"/>
          <w:numId w:val="1004"/>
        </w:numPr>
        <w:pStyle w:val="Compact"/>
      </w:pPr>
      <w:r>
        <w:t xml:space="preserve">Facilitated multi-team and cross-functional alignment around shared architectural vision</w:t>
      </w:r>
    </w:p>
    <w:p>
      <w:pPr>
        <w:numPr>
          <w:ilvl w:val="0"/>
          <w:numId w:val="1004"/>
        </w:numPr>
        <w:pStyle w:val="Compact"/>
      </w:pPr>
      <w:r>
        <w:t xml:space="preserve">Acted as trusted strategic advisor on complex technical and organisational decisions</w:t>
      </w:r>
    </w:p>
    <w:p>
      <w:pPr>
        <w:numPr>
          <w:ilvl w:val="0"/>
          <w:numId w:val="1004"/>
        </w:numPr>
        <w:pStyle w:val="Compact"/>
      </w:pPr>
      <w:r>
        <w:t xml:space="preserve">Tailored communication style and depth to diverse audiences (executives, engineers, business stakeholders)</w:t>
      </w:r>
    </w:p>
    <w:p>
      <w:pPr>
        <w:numPr>
          <w:ilvl w:val="0"/>
          <w:numId w:val="1004"/>
        </w:numPr>
        <w:pStyle w:val="Compact"/>
      </w:pPr>
      <w:r>
        <w:t xml:space="preserve">Built and maintained credibility through delivery, transparency, and technical authority</w:t>
      </w:r>
    </w:p>
    <w:p>
      <w:pPr>
        <w:numPr>
          <w:ilvl w:val="0"/>
          <w:numId w:val="1004"/>
        </w:numPr>
        <w:pStyle w:val="Compact"/>
      </w:pPr>
      <w:r>
        <w:t xml:space="preserve">Navigated organisational politics and competing priorities to achieve architectural outcomes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--organisational-capability-standards"/>
    <w:p>
      <w:pPr>
        <w:pStyle w:val="Heading2"/>
      </w:pPr>
      <w:r>
        <w:t xml:space="preserve">E - Organisational Capability &amp; Standards</w:t>
      </w:r>
    </w:p>
    <w:bookmarkStart w:id="28" w:name="sfia-pdsv-pemt-scty-level-56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SFIA PDSV / PEMT / SCTY Level 5–6</w:t>
      </w:r>
    </w:p>
    <w:p>
      <w:pPr>
        <w:pStyle w:val="FirstParagraph"/>
      </w:pPr>
      <w:r>
        <w:t xml:space="preserve">Uplifting architectural capability across teams, embedding professional standards, and integrating security and compliance into architectural practice.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Mentored architects, tech leads, or senior engineers in architectural thinking and decision-making</w:t>
      </w:r>
    </w:p>
    <w:p>
      <w:pPr>
        <w:numPr>
          <w:ilvl w:val="0"/>
          <w:numId w:val="1005"/>
        </w:numPr>
        <w:pStyle w:val="Compact"/>
      </w:pPr>
      <w:r>
        <w:t xml:space="preserve">Defined or improved architecture competencies, capability frameworks, or career paths</w:t>
      </w:r>
    </w:p>
    <w:p>
      <w:pPr>
        <w:numPr>
          <w:ilvl w:val="0"/>
          <w:numId w:val="1005"/>
        </w:numPr>
        <w:pStyle w:val="Compact"/>
      </w:pPr>
      <w:r>
        <w:t xml:space="preserve">Ensured security, compliance, and data governance are embedded at design time, not retrofitted</w:t>
      </w:r>
    </w:p>
    <w:p>
      <w:pPr>
        <w:numPr>
          <w:ilvl w:val="0"/>
          <w:numId w:val="1005"/>
        </w:numPr>
        <w:pStyle w:val="Compact"/>
      </w:pPr>
      <w:r>
        <w:t xml:space="preserve">Facilitated communities of practice, architecture guilds, or enterprise-wide knowledge sharing</w:t>
      </w:r>
    </w:p>
    <w:p>
      <w:pPr>
        <w:numPr>
          <w:ilvl w:val="0"/>
          <w:numId w:val="1005"/>
        </w:numPr>
        <w:pStyle w:val="Compact"/>
      </w:pPr>
      <w:r>
        <w:t xml:space="preserve">Role-modelled professional standards, ethics, and engineering judgement</w:t>
      </w:r>
    </w:p>
    <w:p>
      <w:pPr>
        <w:numPr>
          <w:ilvl w:val="0"/>
          <w:numId w:val="1005"/>
        </w:numPr>
        <w:pStyle w:val="Compact"/>
      </w:pPr>
      <w:r>
        <w:t xml:space="preserve">Established security-by-design principles and practices across the architecture lifecycle</w:t>
      </w:r>
    </w:p>
    <w:p>
      <w:pPr>
        <w:numPr>
          <w:ilvl w:val="0"/>
          <w:numId w:val="1005"/>
        </w:numPr>
        <w:pStyle w:val="Compact"/>
      </w:pPr>
      <w:r>
        <w:t xml:space="preserve">Developed others’ capability to make sound architectural decisions autonomously</w:t>
      </w:r>
    </w:p>
    <w:p>
      <w:pPr>
        <w:numPr>
          <w:ilvl w:val="0"/>
          <w:numId w:val="1005"/>
        </w:numPr>
        <w:pStyle w:val="Compact"/>
      </w:pPr>
      <w:r>
        <w:t xml:space="preserve">Created learning opportunities through architectural reviews, ADR discussions, or design critiques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20+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Enterprise Strategy &amp; 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Architecture Governance &amp; Portfolio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System Design &amp; Integration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Stakeholder Engagement &amp; Influence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Organisational Capability &amp; Standards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2025-12-06T15:32:24Z</dcterms:created>
  <dcterms:modified xsi:type="dcterms:W3CDTF">2025-12-06T15:32:24Z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