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head-of-platform-engineering"/>
    <w:p>
      <w:pPr>
        <w:pStyle w:val="Heading1"/>
      </w:pPr>
      <w:r>
        <w:t xml:space="preserve">Head of Platform Engineering</w:t>
      </w:r>
    </w:p>
    <w:p>
      <w:pPr>
        <w:pStyle w:val="FirstParagraph"/>
      </w:pPr>
      <w:r>
        <w:t xml:space="preserve">Responsible for the strategy, reliability, scalability, and operability of the organisation’s platform and cloud environments. Leads platform teams, defines operational standards, and ensures platform capabilities enable the organisation’s technical goals.</w:t>
      </w:r>
    </w:p>
    <w:p>
      <w:pPr>
        <w:pStyle w:val="BodyText"/>
      </w:pPr>
      <w:r>
        <w:t xml:space="preserve">Candidates should use the</w:t>
      </w:r>
      <w:r>
        <w:t xml:space="preserve"> </w:t>
      </w:r>
      <w:r>
        <w:rPr>
          <w:bCs/>
          <w:b/>
        </w:rPr>
        <w:t xml:space="preserve">STAR method</w:t>
      </w:r>
      <w:r>
        <w:t xml:space="preserve"> </w:t>
      </w:r>
      <w:r>
        <w:t xml:space="preserve">(Situation, Task, Action, Result). This assessment is about demonstrated experience, not theoretical understanding.</w:t>
      </w:r>
    </w:p>
    <w:p>
      <w:r>
        <w:pict>
          <v:rect style="width:0;height:1.5pt" o:hralign="center" o:hrstd="t" o:hr="t"/>
        </w:pict>
      </w:r>
    </w:p>
    <w:bookmarkStart w:id="21" w:name="a---platform-cloud-knowledge"/>
    <w:p>
      <w:pPr>
        <w:pStyle w:val="Heading2"/>
      </w:pPr>
      <w:r>
        <w:t xml:space="preserve">A - Platform &amp; Cloud Knowledge</w:t>
      </w:r>
    </w:p>
    <w:bookmarkStart w:id="20" w:name="X0dbfbba5eb94cd8e6585da36a66dcec5b25484d"/>
    <w:p>
      <w:pPr>
        <w:pStyle w:val="Heading4"/>
      </w:pPr>
      <w:r>
        <w:rPr>
          <w:bCs/>
          <w:b/>
        </w:rPr>
        <w:t xml:space="preserve">00:10</w:t>
      </w:r>
      <w:r>
        <w:t xml:space="preserve"> </w:t>
      </w:r>
      <w:r>
        <w:t xml:space="preserve">- UK-SPEC IEng/CEng A / SFIA IFDN / SLEN Level 5–6</w:t>
      </w:r>
    </w:p>
    <w:p>
      <w:pPr>
        <w:pStyle w:val="FirstParagraph"/>
      </w:pPr>
      <w:r>
        <w:t xml:space="preserve">Applied understanding of cloud architectures, infrastructure design, and operational characteristics with engineering principles and long-term architectural foresight.</w:t>
      </w:r>
    </w:p>
    <w:p>
      <w:pPr>
        <w:pStyle w:val="BodyText"/>
      </w:pPr>
      <w:r>
        <w:rPr>
          <w:bCs/>
          <w:b/>
        </w:rPr>
        <w:t xml:space="preserve">What to look for:</w:t>
      </w:r>
    </w:p>
    <w:p>
      <w:pPr>
        <w:numPr>
          <w:ilvl w:val="0"/>
          <w:numId w:val="1001"/>
        </w:numPr>
        <w:pStyle w:val="Compact"/>
      </w:pPr>
      <w:r>
        <w:t xml:space="preserve">Strong applied understanding of cloud architectures and operational characteristics at scale</w:t>
      </w:r>
    </w:p>
    <w:p>
      <w:pPr>
        <w:numPr>
          <w:ilvl w:val="0"/>
          <w:numId w:val="1001"/>
        </w:numPr>
        <w:pStyle w:val="Compact"/>
      </w:pPr>
      <w:r>
        <w:t xml:space="preserve">Justifies platform design choices using sound engineering principles and cost-benefit analysis</w:t>
      </w:r>
    </w:p>
    <w:p>
      <w:pPr>
        <w:numPr>
          <w:ilvl w:val="0"/>
          <w:numId w:val="1001"/>
        </w:numPr>
        <w:pStyle w:val="Compact"/>
      </w:pPr>
      <w:r>
        <w:t xml:space="preserve">Demonstrates appreciation of architectural evolution and long-term technical implications</w:t>
      </w:r>
    </w:p>
    <w:p>
      <w:pPr>
        <w:numPr>
          <w:ilvl w:val="0"/>
          <w:numId w:val="1001"/>
        </w:numPr>
        <w:pStyle w:val="Compact"/>
      </w:pPr>
      <w:r>
        <w:t xml:space="preserve">Considers reliability, performance, cost-efficiency, and maintainability in platform decisions</w:t>
      </w:r>
    </w:p>
    <w:p>
      <w:pPr>
        <w:numPr>
          <w:ilvl w:val="0"/>
          <w:numId w:val="1001"/>
        </w:numPr>
        <w:pStyle w:val="Compact"/>
      </w:pPr>
      <w:r>
        <w:t xml:space="preserve">Understands system risk, failure domains, blast radius, and operational boundaries</w:t>
      </w:r>
    </w:p>
    <w:p>
      <w:pPr>
        <w:numPr>
          <w:ilvl w:val="0"/>
          <w:numId w:val="1001"/>
        </w:numPr>
        <w:pStyle w:val="Compact"/>
      </w:pPr>
      <w:r>
        <w:t xml:space="preserve">Applies lifecycle engineering practices (DevOps, SRE, automation) to platform operations</w:t>
      </w:r>
    </w:p>
    <w:p>
      <w:pPr>
        <w:numPr>
          <w:ilvl w:val="0"/>
          <w:numId w:val="1001"/>
        </w:numPr>
        <w:pStyle w:val="Compact"/>
      </w:pPr>
      <w:r>
        <w:t xml:space="preserve">Designs infrastructure ensuring scalability, security, and alignment with strategic objectives</w:t>
      </w:r>
    </w:p>
    <w:p>
      <w:pPr>
        <w:numPr>
          <w:ilvl w:val="0"/>
          <w:numId w:val="1001"/>
        </w:numPr>
        <w:pStyle w:val="Compact"/>
      </w:pPr>
      <w:r>
        <w:t xml:space="preserve">Balances immediate operational needs with long-term platform sustainability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b---design-problem-solving"/>
    <w:p>
      <w:pPr>
        <w:pStyle w:val="Heading2"/>
      </w:pPr>
      <w:r>
        <w:t xml:space="preserve">B - Design &amp; Problem Solving</w:t>
      </w:r>
    </w:p>
    <w:bookmarkStart w:id="22" w:name="Xb8f9a95a252dd5ad5a543670adecdb7ad84aa33"/>
    <w:p>
      <w:pPr>
        <w:pStyle w:val="Heading4"/>
      </w:pPr>
      <w:r>
        <w:rPr>
          <w:bCs/>
          <w:b/>
        </w:rPr>
        <w:t xml:space="preserve">00:15</w:t>
      </w:r>
      <w:r>
        <w:t xml:space="preserve"> </w:t>
      </w:r>
      <w:r>
        <w:t xml:space="preserve">- UK-SPEC IEng/CEng B / SFIA DESN / SINT / SCTY Level 5–6</w:t>
      </w:r>
    </w:p>
    <w:p>
      <w:pPr>
        <w:pStyle w:val="FirstParagraph"/>
      </w:pPr>
      <w:r>
        <w:t xml:space="preserve">Diagnosing and resolving complex platform, cloud, and reliability issues using structured engineering methods and security-conscious design.</w:t>
      </w:r>
    </w:p>
    <w:p>
      <w:pPr>
        <w:pStyle w:val="BodyText"/>
      </w:pPr>
      <w:r>
        <w:rPr>
          <w:bCs/>
          <w:b/>
        </w:rPr>
        <w:t xml:space="preserve">What to look for:</w:t>
      </w:r>
    </w:p>
    <w:p>
      <w:pPr>
        <w:numPr>
          <w:ilvl w:val="0"/>
          <w:numId w:val="1002"/>
        </w:numPr>
        <w:pStyle w:val="Compact"/>
      </w:pPr>
      <w:r>
        <w:t xml:space="preserve">Diagnoses and resolves complex cloud, infrastructure, scaling, and reliability issues</w:t>
      </w:r>
    </w:p>
    <w:p>
      <w:pPr>
        <w:numPr>
          <w:ilvl w:val="0"/>
          <w:numId w:val="1002"/>
        </w:numPr>
        <w:pStyle w:val="Compact"/>
      </w:pPr>
      <w:r>
        <w:t xml:space="preserve">Designs platform systems using consistent, repeatable engineering methods and patterns</w:t>
      </w:r>
    </w:p>
    <w:p>
      <w:pPr>
        <w:numPr>
          <w:ilvl w:val="0"/>
          <w:numId w:val="1002"/>
        </w:numPr>
        <w:pStyle w:val="Compact"/>
      </w:pPr>
      <w:r>
        <w:t xml:space="preserve">Solves cross-organisational or multi-platform issues with structured analysis and systemic thinking</w:t>
      </w:r>
    </w:p>
    <w:p>
      <w:pPr>
        <w:numPr>
          <w:ilvl w:val="0"/>
          <w:numId w:val="1002"/>
        </w:numPr>
        <w:pStyle w:val="Compact"/>
      </w:pPr>
      <w:r>
        <w:t xml:space="preserve">Considers security, resilience, compliance, and lifecycle impact in all platform designs</w:t>
      </w:r>
    </w:p>
    <w:p>
      <w:pPr>
        <w:numPr>
          <w:ilvl w:val="0"/>
          <w:numId w:val="1002"/>
        </w:numPr>
        <w:pStyle w:val="Compact"/>
      </w:pPr>
      <w:r>
        <w:t xml:space="preserve">Performs risk-based evaluation of technical options with clear trade-off analysis</w:t>
      </w:r>
    </w:p>
    <w:p>
      <w:pPr>
        <w:numPr>
          <w:ilvl w:val="0"/>
          <w:numId w:val="1002"/>
        </w:numPr>
        <w:pStyle w:val="Compact"/>
      </w:pPr>
      <w:r>
        <w:t xml:space="preserve">Leads systems integration work ensuring components operate cohesively at scale</w:t>
      </w:r>
    </w:p>
    <w:p>
      <w:pPr>
        <w:numPr>
          <w:ilvl w:val="0"/>
          <w:numId w:val="1002"/>
        </w:numPr>
        <w:pStyle w:val="Compact"/>
      </w:pPr>
      <w:r>
        <w:t xml:space="preserve">Embeds security controls and practices throughout platform architecture</w:t>
      </w:r>
    </w:p>
    <w:p>
      <w:pPr>
        <w:numPr>
          <w:ilvl w:val="0"/>
          <w:numId w:val="1002"/>
        </w:numPr>
        <w:pStyle w:val="Compact"/>
      </w:pPr>
      <w:r>
        <w:t xml:space="preserve">Delivers solutions that prove robust, maintainable, and operable in production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c---leadership-governance"/>
    <w:p>
      <w:pPr>
        <w:pStyle w:val="Heading2"/>
      </w:pPr>
      <w:r>
        <w:t xml:space="preserve">C - Leadership &amp; Governance</w:t>
      </w:r>
    </w:p>
    <w:bookmarkStart w:id="24" w:name="Xc859128de4c89869f7a7a4cb1d75d64990880c7"/>
    <w:p>
      <w:pPr>
        <w:pStyle w:val="Heading4"/>
      </w:pPr>
      <w:r>
        <w:rPr>
          <w:bCs/>
          <w:b/>
        </w:rPr>
        <w:t xml:space="preserve">00:20</w:t>
      </w:r>
      <w:r>
        <w:t xml:space="preserve"> </w:t>
      </w:r>
      <w:r>
        <w:t xml:space="preserve">- UK-SPEC CEng/IEng C / SFIA PEMT / SLEN / GOVN Level 5–6</w:t>
      </w:r>
    </w:p>
    <w:p>
      <w:pPr>
        <w:pStyle w:val="FirstParagraph"/>
      </w:pPr>
      <w:r>
        <w:t xml:space="preserve">Leading platform teams, defining governance and operational standards, and creating strategic platform direction.</w:t>
      </w:r>
    </w:p>
    <w:p>
      <w:pPr>
        <w:pStyle w:val="BodyText"/>
      </w:pPr>
      <w:r>
        <w:rPr>
          <w:bCs/>
          <w:b/>
        </w:rPr>
        <w:t xml:space="preserve">What to look for:</w:t>
      </w:r>
    </w:p>
    <w:p>
      <w:pPr>
        <w:numPr>
          <w:ilvl w:val="0"/>
          <w:numId w:val="1003"/>
        </w:numPr>
        <w:pStyle w:val="Compact"/>
      </w:pPr>
      <w:r>
        <w:t xml:space="preserve">Leads Platform, DevOps, SRE, or Infrastructure teams with clear objectives and accountability</w:t>
      </w:r>
    </w:p>
    <w:p>
      <w:pPr>
        <w:numPr>
          <w:ilvl w:val="0"/>
          <w:numId w:val="1003"/>
        </w:numPr>
        <w:pStyle w:val="Compact"/>
      </w:pPr>
      <w:r>
        <w:t xml:space="preserve">Defines governance, operational standards, SLOs/SLIs, change control, and incident processes</w:t>
      </w:r>
    </w:p>
    <w:p>
      <w:pPr>
        <w:numPr>
          <w:ilvl w:val="0"/>
          <w:numId w:val="1003"/>
        </w:numPr>
        <w:pStyle w:val="Compact"/>
      </w:pPr>
      <w:r>
        <w:t xml:space="preserve">Creates platform strategy, roadmaps, and multi-year capability evolution plans</w:t>
      </w:r>
    </w:p>
    <w:p>
      <w:pPr>
        <w:numPr>
          <w:ilvl w:val="0"/>
          <w:numId w:val="1003"/>
        </w:numPr>
        <w:pStyle w:val="Compact"/>
      </w:pPr>
      <w:r>
        <w:t xml:space="preserve">Balances operational stability with strategic investment in new capabilities</w:t>
      </w:r>
    </w:p>
    <w:p>
      <w:pPr>
        <w:numPr>
          <w:ilvl w:val="0"/>
          <w:numId w:val="1003"/>
        </w:numPr>
        <w:pStyle w:val="Compact"/>
      </w:pPr>
      <w:r>
        <w:t xml:space="preserve">Demonstrates leadership through crisis management, major incidents, and operational events</w:t>
      </w:r>
    </w:p>
    <w:p>
      <w:pPr>
        <w:numPr>
          <w:ilvl w:val="0"/>
          <w:numId w:val="1003"/>
        </w:numPr>
        <w:pStyle w:val="Compact"/>
      </w:pPr>
      <w:r>
        <w:t xml:space="preserve">Develops lifecycle engineering capabilities including automation and continuous improvement</w:t>
      </w:r>
    </w:p>
    <w:p>
      <w:pPr>
        <w:numPr>
          <w:ilvl w:val="0"/>
          <w:numId w:val="1003"/>
        </w:numPr>
        <w:pStyle w:val="Compact"/>
      </w:pPr>
      <w:r>
        <w:t xml:space="preserve">Establishes decision-making frameworks and escalation paths for platform operations</w:t>
      </w:r>
    </w:p>
    <w:p>
      <w:pPr>
        <w:numPr>
          <w:ilvl w:val="0"/>
          <w:numId w:val="1003"/>
        </w:numPr>
        <w:pStyle w:val="Compact"/>
      </w:pPr>
      <w:r>
        <w:t xml:space="preserve">Builds and retains high-performing platform engineering teams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d---communication-influence"/>
    <w:p>
      <w:pPr>
        <w:pStyle w:val="Heading2"/>
      </w:pPr>
      <w:r>
        <w:t xml:space="preserve">D - Communication &amp; Influence</w:t>
      </w:r>
    </w:p>
    <w:bookmarkStart w:id="26" w:name="Xaa49ccab3904c03feb724c7c2a8af58f113314c"/>
    <w:p>
      <w:pPr>
        <w:pStyle w:val="Heading4"/>
      </w:pPr>
      <w:r>
        <w:rPr>
          <w:bCs/>
          <w:b/>
        </w:rPr>
        <w:t xml:space="preserve">00:25</w:t>
      </w:r>
      <w:r>
        <w:t xml:space="preserve"> </w:t>
      </w:r>
      <w:r>
        <w:t xml:space="preserve">- UK-SPEC IEng/CEng D / SFIA RLMT / CNSL Level 5–6</w:t>
      </w:r>
    </w:p>
    <w:p>
      <w:pPr>
        <w:pStyle w:val="FirstParagraph"/>
      </w:pPr>
      <w:r>
        <w:t xml:space="preserve">Communicating platform concepts clearly, influencing investment decisions, and facilitating cross-functional alignment.</w:t>
      </w:r>
    </w:p>
    <w:p>
      <w:pPr>
        <w:pStyle w:val="BodyText"/>
      </w:pPr>
      <w:r>
        <w:rPr>
          <w:bCs/>
          <w:b/>
        </w:rPr>
        <w:t xml:space="preserve">What to look for:</w:t>
      </w:r>
    </w:p>
    <w:p>
      <w:pPr>
        <w:numPr>
          <w:ilvl w:val="0"/>
          <w:numId w:val="1004"/>
        </w:numPr>
        <w:pStyle w:val="Compact"/>
      </w:pPr>
      <w:r>
        <w:t xml:space="preserve">Communicates platform concepts, risks, constraints, and operational impacts clearly</w:t>
      </w:r>
    </w:p>
    <w:p>
      <w:pPr>
        <w:numPr>
          <w:ilvl w:val="0"/>
          <w:numId w:val="1004"/>
        </w:numPr>
        <w:pStyle w:val="Compact"/>
      </w:pPr>
      <w:r>
        <w:t xml:space="preserve">Presents trade-offs, cost implications, and reliability considerations effectively to stakeholders</w:t>
      </w:r>
    </w:p>
    <w:p>
      <w:pPr>
        <w:numPr>
          <w:ilvl w:val="0"/>
          <w:numId w:val="1004"/>
        </w:numPr>
        <w:pStyle w:val="Compact"/>
      </w:pPr>
      <w:r>
        <w:t xml:space="preserve">Influences senior stakeholders on platform investments, priorities, and strategic direction</w:t>
      </w:r>
    </w:p>
    <w:p>
      <w:pPr>
        <w:numPr>
          <w:ilvl w:val="0"/>
          <w:numId w:val="1004"/>
        </w:numPr>
        <w:pStyle w:val="Compact"/>
      </w:pPr>
      <w:r>
        <w:t xml:space="preserve">Facilitates alignment across engineering, product, data, security, and operations teams</w:t>
      </w:r>
    </w:p>
    <w:p>
      <w:pPr>
        <w:numPr>
          <w:ilvl w:val="0"/>
          <w:numId w:val="1004"/>
        </w:numPr>
        <w:pStyle w:val="Compact"/>
      </w:pPr>
      <w:r>
        <w:t xml:space="preserve">Acts as trusted advisor in technical and operational decision-making</w:t>
      </w:r>
    </w:p>
    <w:p>
      <w:pPr>
        <w:numPr>
          <w:ilvl w:val="0"/>
          <w:numId w:val="1004"/>
        </w:numPr>
        <w:pStyle w:val="Compact"/>
      </w:pPr>
      <w:r>
        <w:t xml:space="preserve">Tailors communication to diverse audiences (executives, engineers, product, finance)</w:t>
      </w:r>
    </w:p>
    <w:p>
      <w:pPr>
        <w:numPr>
          <w:ilvl w:val="0"/>
          <w:numId w:val="1004"/>
        </w:numPr>
        <w:pStyle w:val="Compact"/>
      </w:pPr>
      <w:r>
        <w:t xml:space="preserve">Builds credibility through delivery, transparency, and operational excellence</w:t>
      </w:r>
    </w:p>
    <w:p>
      <w:pPr>
        <w:numPr>
          <w:ilvl w:val="0"/>
          <w:numId w:val="1004"/>
        </w:numPr>
        <w:pStyle w:val="Compact"/>
      </w:pPr>
      <w:r>
        <w:t xml:space="preserve">Negotiates resources, priorities, and commitments across organisational boundaries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e---standards-continuous-improvement"/>
    <w:p>
      <w:pPr>
        <w:pStyle w:val="Heading2"/>
      </w:pPr>
      <w:r>
        <w:t xml:space="preserve">E - Standards &amp; Continuous Improvement</w:t>
      </w:r>
    </w:p>
    <w:bookmarkStart w:id="28" w:name="X8d5824b536f96b1c4a34dcaa0f2654f07ac68b9"/>
    <w:p>
      <w:pPr>
        <w:pStyle w:val="Heading4"/>
      </w:pPr>
      <w:r>
        <w:rPr>
          <w:bCs/>
          <w:b/>
        </w:rPr>
        <w:t xml:space="preserve">00:30</w:t>
      </w:r>
      <w:r>
        <w:t xml:space="preserve"> </w:t>
      </w:r>
      <w:r>
        <w:t xml:space="preserve">- UK-SPEC IEng/CEng E / SFIA PDSV / QUAS / SCTY Level 5–6</w:t>
      </w:r>
    </w:p>
    <w:p>
      <w:pPr>
        <w:pStyle w:val="FirstParagraph"/>
      </w:pPr>
      <w:r>
        <w:t xml:space="preserve">Driving continuous improvement in reliability and quality, embedding security and compliance, and developing platform engineering capability.</w:t>
      </w:r>
    </w:p>
    <w:p>
      <w:pPr>
        <w:pStyle w:val="BodyText"/>
      </w:pPr>
      <w:r>
        <w:rPr>
          <w:bCs/>
          <w:b/>
        </w:rPr>
        <w:t xml:space="preserve">What to look for:</w:t>
      </w:r>
    </w:p>
    <w:p>
      <w:pPr>
        <w:numPr>
          <w:ilvl w:val="0"/>
          <w:numId w:val="1005"/>
        </w:numPr>
        <w:pStyle w:val="Compact"/>
      </w:pPr>
      <w:r>
        <w:t xml:space="preserve">Drives continuous improvement in reliability, operability, quality, and efficiency</w:t>
      </w:r>
    </w:p>
    <w:p>
      <w:pPr>
        <w:numPr>
          <w:ilvl w:val="0"/>
          <w:numId w:val="1005"/>
        </w:numPr>
        <w:pStyle w:val="Compact"/>
      </w:pPr>
      <w:r>
        <w:t xml:space="preserve">Champions secure-by-design, compliance, defensive engineering, and operational discipline</w:t>
      </w:r>
    </w:p>
    <w:p>
      <w:pPr>
        <w:numPr>
          <w:ilvl w:val="0"/>
          <w:numId w:val="1005"/>
        </w:numPr>
        <w:pStyle w:val="Compact"/>
      </w:pPr>
      <w:r>
        <w:t xml:space="preserve">Establishes frameworks for training, mentoring, career development, and capability growth</w:t>
      </w:r>
    </w:p>
    <w:p>
      <w:pPr>
        <w:numPr>
          <w:ilvl w:val="0"/>
          <w:numId w:val="1005"/>
        </w:numPr>
        <w:pStyle w:val="Compact"/>
      </w:pPr>
      <w:r>
        <w:t xml:space="preserve">Ensures adherence to organisational, ethical, regulatory, and professional obligations</w:t>
      </w:r>
    </w:p>
    <w:p>
      <w:pPr>
        <w:numPr>
          <w:ilvl w:val="0"/>
          <w:numId w:val="1005"/>
        </w:numPr>
        <w:pStyle w:val="Compact"/>
      </w:pPr>
      <w:r>
        <w:t xml:space="preserve">Role-models professional behaviour, engineering standards, and operational excellence</w:t>
      </w:r>
    </w:p>
    <w:p>
      <w:pPr>
        <w:numPr>
          <w:ilvl w:val="0"/>
          <w:numId w:val="1005"/>
        </w:numPr>
        <w:pStyle w:val="Compact"/>
      </w:pPr>
      <w:r>
        <w:t xml:space="preserve">Conducts quality assurance and reviews to ensure platform meets standards</w:t>
      </w:r>
    </w:p>
    <w:p>
      <w:pPr>
        <w:numPr>
          <w:ilvl w:val="0"/>
          <w:numId w:val="1005"/>
        </w:numPr>
        <w:pStyle w:val="Compact"/>
      </w:pPr>
      <w:r>
        <w:t xml:space="preserve">Embeds security strategy and controls at platform design and operational levels</w:t>
      </w:r>
    </w:p>
    <w:p>
      <w:pPr>
        <w:numPr>
          <w:ilvl w:val="0"/>
          <w:numId w:val="1005"/>
        </w:numPr>
        <w:pStyle w:val="Compact"/>
      </w:pPr>
      <w:r>
        <w:t xml:space="preserve">Creates learning culture through incident reviews, retrospectives, and knowledge sharing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coring-matrix"/>
    <w:p>
      <w:pPr>
        <w:pStyle w:val="Heading2"/>
      </w:pPr>
      <w:r>
        <w:t xml:space="preserve">Scoring Matrix</w:t>
      </w:r>
    </w:p>
    <w:p>
      <w:pPr>
        <w:pStyle w:val="FirstParagraph"/>
      </w:pPr>
      <w:r>
        <w:rPr>
          <w:bCs/>
          <w:b/>
        </w:rPr>
        <w:t xml:space="preserve">Thresholds:</w:t>
      </w:r>
      <w:r>
        <w:t xml:space="preserve"> </w:t>
      </w:r>
      <w:r>
        <w:rPr>
          <w:iCs/>
          <w:i/>
        </w:rPr>
        <w:t xml:space="preserve">20+</w:t>
      </w:r>
      <w:r>
        <w:t xml:space="preserve"> </w:t>
      </w:r>
      <w:r>
        <w:t xml:space="preserve">is a pass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Competency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  <w:r>
              <w:t xml:space="preserve"> </w:t>
            </w:r>
            <w:r>
              <w:t xml:space="preserve">- Platform &amp; Cloud Knowledge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  <w:r>
              <w:t xml:space="preserve"> </w:t>
            </w:r>
            <w:r>
              <w:t xml:space="preserve">- Design &amp; Problem Solving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  <w:r>
              <w:t xml:space="preserve"> </w:t>
            </w:r>
            <w:r>
              <w:t xml:space="preserve">- Leadership &amp; Governance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  <w:r>
              <w:t xml:space="preserve"> </w:t>
            </w:r>
            <w:r>
              <w:t xml:space="preserve">- Communication &amp; Influence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</w:t>
            </w:r>
            <w:r>
              <w:t xml:space="preserve"> </w:t>
            </w:r>
            <w:r>
              <w:t xml:space="preserve">- Standards &amp; Continuous Improvement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0"/>
    <w:bookmarkEnd w:id="31"/>
    <w:sectPr w:rsidR="00A875E2" w:rsidSect="00EF592E">
      <w:pgSz w:h="15840" w:w="12240"/>
      <w:pgMar w:bottom="284" w:footer="720" w:gutter="0" w:header="720" w:left="284" w:right="284" w:top="284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C4DEF13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36976398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uiPriority w:val="9"/>
    <w:qFormat/>
    <w:rsid w:val="00BE4A71"/>
    <w:pPr>
      <w:keepNext/>
      <w:keepLines/>
      <w:spacing w:after="120"/>
      <w:outlineLvl w:val="0"/>
    </w:pPr>
    <w:rPr>
      <w:rFonts w:ascii="Arial" w:cstheme="majorBidi" w:eastAsiaTheme="majorEastAsia" w:hAnsi="Arial"/>
      <w:b/>
      <w:bCs/>
      <w:color w:themeColor="text2" w:val="1F497D"/>
      <w:sz w:val="4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BE4A71"/>
    <w:pPr>
      <w:keepNext/>
      <w:keepLines/>
      <w:spacing w:after="0" w:before="200"/>
      <w:outlineLvl w:val="1"/>
    </w:pPr>
    <w:rPr>
      <w:rFonts w:ascii="Arial" w:cstheme="majorBidi" w:eastAsiaTheme="majorEastAsia" w:hAnsi="Arial"/>
      <w:b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BE4A71"/>
    <w:pPr>
      <w:keepNext/>
      <w:keepLines/>
      <w:spacing w:after="0" w:before="200"/>
      <w:outlineLvl w:val="2"/>
    </w:pPr>
    <w:rPr>
      <w:rFonts w:ascii="Arial" w:cstheme="majorBidi" w:eastAsiaTheme="majorEastAsia" w:hAnsi="Arial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BE4A71"/>
    <w:pPr>
      <w:keepNext/>
      <w:keepLines/>
      <w:spacing w:after="0"/>
      <w:outlineLvl w:val="3"/>
    </w:pPr>
    <w:rPr>
      <w:rFonts w:ascii="Arial" w:cstheme="majorBidi" w:eastAsiaTheme="majorEastAsia" w:hAnsi="Arial"/>
      <w:bCs/>
      <w:i/>
      <w:color w:themeColor="text2" w:themeShade="BF" w:val="17365D"/>
      <w:sz w:val="20"/>
    </w:rPr>
  </w:style>
  <w:style w:styleId="Heading5" w:type="paragraph">
    <w:name w:val="heading 5"/>
    <w:basedOn w:val="Normal"/>
    <w:next w:val="BodyText"/>
    <w:uiPriority w:val="9"/>
    <w:unhideWhenUsed/>
    <w:qFormat/>
    <w:rsid w:val="00BE4A71"/>
    <w:pPr>
      <w:keepNext/>
      <w:keepLines/>
      <w:spacing w:after="0"/>
      <w:outlineLvl w:val="4"/>
    </w:pPr>
    <w:rPr>
      <w:rFonts w:ascii="Arial" w:cstheme="majorBidi" w:eastAsiaTheme="majorEastAsia" w:hAnsi="Arial"/>
      <w:iCs/>
      <w:color w:themeColor="text2" w:themeShade="BF" w:val="17365D"/>
      <w:sz w:val="20"/>
    </w:rPr>
  </w:style>
  <w:style w:styleId="Heading6" w:type="paragraph">
    <w:name w:val="heading 6"/>
    <w:basedOn w:val="Normal"/>
    <w:next w:val="BodyText"/>
    <w:uiPriority w:val="9"/>
    <w:unhideWhenUsed/>
    <w:qFormat/>
    <w:rsid w:val="002105D6"/>
    <w:pPr>
      <w:keepNext/>
      <w:keepLines/>
      <w:spacing w:after="0"/>
      <w:outlineLvl w:val="5"/>
    </w:pPr>
    <w:rPr>
      <w:rFonts w:ascii="Arial" w:cstheme="majorBidi" w:eastAsiaTheme="majorEastAsia" w:hAnsi="Arial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rsid w:val="002105D6"/>
    <w:pPr>
      <w:keepNext/>
      <w:keepLines/>
      <w:spacing w:after="0"/>
      <w:outlineLvl w:val="6"/>
    </w:pPr>
    <w:rPr>
      <w:rFonts w:ascii="Arial" w:cstheme="majorBidi" w:eastAsiaTheme="majorEastAsia" w:hAnsi="Arial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rsid w:val="002105D6"/>
    <w:pPr>
      <w:keepNext/>
      <w:keepLines/>
      <w:spacing w:after="0"/>
      <w:outlineLvl w:val="7"/>
    </w:pPr>
    <w:rPr>
      <w:rFonts w:ascii="Arial" w:cstheme="majorBidi" w:eastAsiaTheme="majorEastAsia" w:hAnsi="Arial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rsid w:val="002105D6"/>
    <w:pPr>
      <w:keepNext/>
      <w:keepLines/>
      <w:spacing w:after="0"/>
      <w:outlineLvl w:val="8"/>
    </w:pPr>
    <w:rPr>
      <w:rFonts w:ascii="Arial" w:cstheme="majorBidi" w:eastAsiaTheme="majorEastAsia" w:hAnsi="Arial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705273"/>
    <w:pPr>
      <w:spacing w:after="120" w:before="120"/>
    </w:pPr>
    <w:rPr>
      <w:rFonts w:ascii="Arial" w:hAnsi="Arial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2105D6"/>
    <w:pPr>
      <w:keepNext/>
      <w:keepLines/>
      <w:spacing w:after="120" w:before="120"/>
      <w:jc w:val="center"/>
    </w:pPr>
    <w:rPr>
      <w:rFonts w:ascii="Arial" w:cstheme="majorBidi" w:eastAsiaTheme="majorEastAsia" w:hAnsi="Arial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rsid w:val="002105D6"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2105D6"/>
    <w:pPr>
      <w:keepNext/>
      <w:keepLines/>
      <w:jc w:val="center"/>
    </w:pPr>
    <w:rPr>
      <w:rFonts w:ascii="Arial" w:hAnsi="Arial"/>
    </w:rPr>
  </w:style>
  <w:style w:styleId="Date" w:type="paragraph">
    <w:name w:val="Date"/>
    <w:next w:val="BodyText"/>
    <w:qFormat/>
    <w:rsid w:val="002105D6"/>
    <w:pPr>
      <w:keepNext/>
      <w:keepLines/>
      <w:jc w:val="center"/>
    </w:pPr>
    <w:rPr>
      <w:rFonts w:ascii="Arial" w:hAnsi="Arial"/>
    </w:rPr>
  </w:style>
  <w:style w:customStyle="1" w:styleId="Abstract" w:type="paragraph">
    <w:name w:val="Abstract"/>
    <w:basedOn w:val="Normal"/>
    <w:next w:val="BodyText"/>
    <w:qFormat/>
    <w:rsid w:val="002105D6"/>
    <w:pPr>
      <w:keepNext/>
      <w:keepLines/>
      <w:spacing w:after="300" w:before="300"/>
    </w:pPr>
    <w:rPr>
      <w:rFonts w:ascii="Arial" w:hAnsi="Arial"/>
      <w:sz w:val="20"/>
      <w:szCs w:val="20"/>
    </w:rPr>
  </w:style>
  <w:style w:styleId="Bibliography" w:type="paragraph">
    <w:name w:val="Bibliography"/>
    <w:basedOn w:val="Normal"/>
    <w:qFormat/>
    <w:rsid w:val="002105D6"/>
    <w:rPr>
      <w:rFonts w:ascii="Arial" w:hAnsi="Arial"/>
    </w:rPr>
  </w:style>
  <w:style w:styleId="BlockText" w:type="paragraph">
    <w:name w:val="Block Text"/>
    <w:basedOn w:val="BodyText"/>
    <w:next w:val="BodyText"/>
    <w:uiPriority w:val="9"/>
    <w:unhideWhenUsed/>
    <w:qFormat/>
    <w:rsid w:val="00705273"/>
    <w:pPr>
      <w:spacing w:after="100"/>
      <w:ind w:left="482" w:right="482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BE4A71"/>
    <w:rPr>
      <w:rFonts w:ascii="Arial" w:hAnsi="Arial"/>
    </w:rPr>
    <w:tblPr>
      <w:tblInd w:type="dxa" w:w="397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type="dxa" w:w="142"/>
        <w:left w:type="dxa" w:w="284"/>
        <w:bottom w:type="dxa" w:w="142"/>
        <w:right w:type="dxa" w:w="284"/>
      </w:tblCellMar>
    </w:tblPr>
    <w:tcPr>
      <w:vAlign w:val="center"/>
    </w:tcPr>
    <w:tblStylePr w:type="firstRow">
      <w:rPr>
        <w:rFonts w:ascii="Arial" w:hAnsi="Arial"/>
        <w:b/>
        <w:sz w:val="28"/>
      </w:rPr>
      <w:tblPr/>
      <w:tcPr>
        <w:shd w:color="auto" w:fill="8DB3E2" w:themeFill="text2" w:themeFillTint="66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2105D6"/>
    <w:pPr>
      <w:spacing w:line="259" w:lineRule="auto"/>
      <w:outlineLvl w:val="9"/>
    </w:pPr>
    <w:rPr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55</Words>
  <Characters>370</Characters>
  <Application>Microsoft Office Word</Application>
  <DocSecurity>0</DocSecurity>
  <Lines>10</Lines>
  <Paragraphs>7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2025-12-06T15:32:28Z</dcterms:created>
  <dcterms:modified xsi:type="dcterms:W3CDTF">2025-12-06T15:32:28Z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