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olution-architect"/>
    <w:p>
      <w:pPr>
        <w:pStyle w:val="Heading1"/>
      </w:pPr>
      <w:r>
        <w:t xml:space="preserve">Solution Architect</w:t>
      </w:r>
    </w:p>
    <w:p>
      <w:pPr>
        <w:pStyle w:val="FirstParagraph"/>
      </w:pPr>
      <w:r>
        <w:t xml:space="preserve">Responsible for end-to-end solution design across applications, data, integrations, and infrastructure. Collaborates with engineering, product, and stakeholders to translate requirements into feasible, secure, scalable technical designs.</w:t>
      </w:r>
    </w:p>
    <w:p>
      <w:pPr>
        <w:pStyle w:val="BodyText"/>
      </w:pPr>
      <w:r>
        <w:t xml:space="preserve">Candidates should use the</w:t>
      </w:r>
      <w:r>
        <w:t xml:space="preserve"> </w:t>
      </w:r>
      <w:r>
        <w:rPr>
          <w:bCs/>
          <w:b/>
        </w:rPr>
        <w:t xml:space="preserve">STAR method</w:t>
      </w:r>
      <w:r>
        <w:t xml:space="preserve"> </w:t>
      </w:r>
      <w:r>
        <w:t xml:space="preserve">(Situation, Task, Action, Result). This assessment is about demonstrated experience, not theoretical understanding.</w:t>
      </w:r>
    </w:p>
    <w:p>
      <w:r>
        <w:pict>
          <v:rect style="width:0;height:1.5pt" o:hralign="center" o:hrstd="t" o:hr="t"/>
        </w:pict>
      </w:r>
    </w:p>
    <w:bookmarkStart w:id="21" w:name="a---requirements-discovery"/>
    <w:p>
      <w:pPr>
        <w:pStyle w:val="Heading2"/>
      </w:pPr>
      <w:r>
        <w:t xml:space="preserve">A - Requirements &amp; Discovery</w:t>
      </w:r>
    </w:p>
    <w:bookmarkStart w:id="20" w:name="sfia-reqm-rsch-level-45"/>
    <w:p>
      <w:pPr>
        <w:pStyle w:val="Heading4"/>
      </w:pPr>
      <w:r>
        <w:rPr>
          <w:bCs/>
          <w:b/>
        </w:rPr>
        <w:t xml:space="preserve">00:10</w:t>
      </w:r>
      <w:r>
        <w:t xml:space="preserve"> </w:t>
      </w:r>
      <w:r>
        <w:t xml:space="preserve">- SFIA REQM / RSCH Level 4–5</w:t>
      </w:r>
    </w:p>
    <w:p>
      <w:pPr>
        <w:pStyle w:val="FirstParagraph"/>
      </w:pPr>
      <w:r>
        <w:t xml:space="preserve">Eliciting, analyzing, and managing requirements from multiple stakeholders, using structured investigation to inform solution choices.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1"/>
        </w:numPr>
        <w:pStyle w:val="Compact"/>
      </w:pPr>
      <w:r>
        <w:t xml:space="preserve">Structured elicitation of functional and non-functional requirements from diverse stakeholders</w:t>
      </w:r>
    </w:p>
    <w:p>
      <w:pPr>
        <w:numPr>
          <w:ilvl w:val="0"/>
          <w:numId w:val="1001"/>
        </w:numPr>
        <w:pStyle w:val="Compact"/>
      </w:pPr>
      <w:r>
        <w:t xml:space="preserve">Translated ambiguous or conflicting needs into clear constraints and acceptance criteria</w:t>
      </w:r>
    </w:p>
    <w:p>
      <w:pPr>
        <w:numPr>
          <w:ilvl w:val="0"/>
          <w:numId w:val="1001"/>
        </w:numPr>
        <w:pStyle w:val="Compact"/>
      </w:pPr>
      <w:r>
        <w:t xml:space="preserve">Used evidence (prototypes, benchmarks, investigations, research) to reduce uncertainty</w:t>
      </w:r>
    </w:p>
    <w:p>
      <w:pPr>
        <w:numPr>
          <w:ilvl w:val="0"/>
          <w:numId w:val="1001"/>
        </w:numPr>
        <w:pStyle w:val="Compact"/>
      </w:pPr>
      <w:r>
        <w:t xml:space="preserve">Identified dependencies, risks, assumptions, and regulatory or security constraints early</w:t>
      </w:r>
    </w:p>
    <w:p>
      <w:pPr>
        <w:numPr>
          <w:ilvl w:val="0"/>
          <w:numId w:val="1001"/>
        </w:numPr>
        <w:pStyle w:val="Compact"/>
      </w:pPr>
      <w:r>
        <w:t xml:space="preserve">Demonstrated traceability from requirement through architectural decision to delivered outcome</w:t>
      </w:r>
    </w:p>
    <w:p>
      <w:pPr>
        <w:numPr>
          <w:ilvl w:val="0"/>
          <w:numId w:val="1001"/>
        </w:numPr>
        <w:pStyle w:val="Compact"/>
      </w:pPr>
      <w:r>
        <w:t xml:space="preserve">Facilitated stakeholder input while providing constructive challenge to refine requirements</w:t>
      </w:r>
    </w:p>
    <w:p>
      <w:pPr>
        <w:numPr>
          <w:ilvl w:val="0"/>
          <w:numId w:val="1001"/>
        </w:numPr>
        <w:pStyle w:val="Compact"/>
      </w:pPr>
      <w:r>
        <w:t xml:space="preserve">Established requirements baselines or backlogs with appropriate stakeholder agreement</w:t>
      </w:r>
    </w:p>
    <w:p>
      <w:pPr>
        <w:numPr>
          <w:ilvl w:val="0"/>
          <w:numId w:val="1001"/>
        </w:numPr>
        <w:pStyle w:val="Compact"/>
      </w:pPr>
      <w:r>
        <w:t xml:space="preserve">Negotiated competing priorities and managed requirements changes systematically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b---solution-design"/>
    <w:p>
      <w:pPr>
        <w:pStyle w:val="Heading2"/>
      </w:pPr>
      <w:r>
        <w:t xml:space="preserve">B - Solution Design</w:t>
      </w:r>
    </w:p>
    <w:bookmarkStart w:id="22" w:name="sfia-arch-desn-level-45"/>
    <w:p>
      <w:pPr>
        <w:pStyle w:val="Heading4"/>
      </w:pPr>
      <w:r>
        <w:rPr>
          <w:bCs/>
          <w:b/>
        </w:rPr>
        <w:t xml:space="preserve">00:15</w:t>
      </w:r>
      <w:r>
        <w:t xml:space="preserve"> </w:t>
      </w:r>
      <w:r>
        <w:t xml:space="preserve">- SFIA ARCH / DESN Level 4–5</w:t>
      </w:r>
    </w:p>
    <w:p>
      <w:pPr>
        <w:pStyle w:val="FirstParagraph"/>
      </w:pPr>
      <w:r>
        <w:t xml:space="preserve">Designing clear, feasible solution architectures across application, integration, data, and infrastructure layers aligned to organisational standards.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2"/>
        </w:numPr>
        <w:pStyle w:val="Compact"/>
      </w:pPr>
      <w:r>
        <w:t xml:space="preserve">Produced clear solution designs, diagrams, models, and patterns for services or platforms</w:t>
      </w:r>
    </w:p>
    <w:p>
      <w:pPr>
        <w:numPr>
          <w:ilvl w:val="0"/>
          <w:numId w:val="1002"/>
        </w:numPr>
        <w:pStyle w:val="Compact"/>
      </w:pPr>
      <w:r>
        <w:t xml:space="preserve">Designed end-to-end solutions spanning application, integration, data, and infrastructure concerns</w:t>
      </w:r>
    </w:p>
    <w:p>
      <w:pPr>
        <w:numPr>
          <w:ilvl w:val="0"/>
          <w:numId w:val="1002"/>
        </w:numPr>
        <w:pStyle w:val="Compact"/>
      </w:pPr>
      <w:r>
        <w:t xml:space="preserve">Explicitly considered non-functional requirements (performance, security, resilience, maintainability, observability)</w:t>
      </w:r>
    </w:p>
    <w:p>
      <w:pPr>
        <w:numPr>
          <w:ilvl w:val="0"/>
          <w:numId w:val="1002"/>
        </w:numPr>
        <w:pStyle w:val="Compact"/>
      </w:pPr>
      <w:r>
        <w:t xml:space="preserve">Balanced trade-offs between cost, complexity, speed of delivery, and long-term evolution</w:t>
      </w:r>
    </w:p>
    <w:p>
      <w:pPr>
        <w:numPr>
          <w:ilvl w:val="0"/>
          <w:numId w:val="1002"/>
        </w:numPr>
        <w:pStyle w:val="Compact"/>
      </w:pPr>
      <w:r>
        <w:t xml:space="preserve">Aligned designs with organisational standards, reference architectures, and architectural guardrails</w:t>
      </w:r>
    </w:p>
    <w:p>
      <w:pPr>
        <w:numPr>
          <w:ilvl w:val="0"/>
          <w:numId w:val="1002"/>
        </w:numPr>
        <w:pStyle w:val="Compact"/>
      </w:pPr>
      <w:r>
        <w:t xml:space="preserve">Evaluated alternative solution options and clearly articulated architectural decisions</w:t>
      </w:r>
    </w:p>
    <w:p>
      <w:pPr>
        <w:numPr>
          <w:ilvl w:val="0"/>
          <w:numId w:val="1002"/>
        </w:numPr>
        <w:pStyle w:val="Compact"/>
      </w:pPr>
      <w:r>
        <w:t xml:space="preserve">Created solution documentation appropriate for different audiences (engineers, stakeholders, operations)</w:t>
      </w:r>
    </w:p>
    <w:p>
      <w:pPr>
        <w:numPr>
          <w:ilvl w:val="0"/>
          <w:numId w:val="1002"/>
        </w:numPr>
        <w:pStyle w:val="Compact"/>
      </w:pPr>
      <w:r>
        <w:t xml:space="preserve">Ensured designs were implementable, testable, and operable from the outset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c---integration-infrastructure"/>
    <w:p>
      <w:pPr>
        <w:pStyle w:val="Heading2"/>
      </w:pPr>
      <w:r>
        <w:t xml:space="preserve">C - Integration &amp; Infrastructure</w:t>
      </w:r>
    </w:p>
    <w:bookmarkStart w:id="24" w:name="sfia-sint-datm-ifdn-level-45"/>
    <w:p>
      <w:pPr>
        <w:pStyle w:val="Heading4"/>
      </w:pPr>
      <w:r>
        <w:rPr>
          <w:bCs/>
          <w:b/>
        </w:rPr>
        <w:t xml:space="preserve">00:20</w:t>
      </w:r>
      <w:r>
        <w:t xml:space="preserve"> </w:t>
      </w:r>
      <w:r>
        <w:t xml:space="preserve">- SFIA SINT / DATM / IFDN Level 4–5</w:t>
      </w:r>
    </w:p>
    <w:p>
      <w:pPr>
        <w:pStyle w:val="FirstParagraph"/>
      </w:pPr>
      <w:r>
        <w:t xml:space="preserve">Designing robust integrations, data architectures, and infrastructure solutions that are secure, scalable, and operable.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3"/>
        </w:numPr>
        <w:pStyle w:val="Compact"/>
      </w:pPr>
      <w:r>
        <w:t xml:space="preserve">Designed robust integrations using appropriate patterns (APIs, messaging, events, ETL/ELT, streaming)</w:t>
      </w:r>
    </w:p>
    <w:p>
      <w:pPr>
        <w:numPr>
          <w:ilvl w:val="0"/>
          <w:numId w:val="1003"/>
        </w:numPr>
        <w:pStyle w:val="Compact"/>
      </w:pPr>
      <w:r>
        <w:t xml:space="preserve">Considered data models, ownership, lineage, retention, quality, and governance in solution design</w:t>
      </w:r>
    </w:p>
    <w:p>
      <w:pPr>
        <w:numPr>
          <w:ilvl w:val="0"/>
          <w:numId w:val="1003"/>
        </w:numPr>
        <w:pStyle w:val="Compact"/>
      </w:pPr>
      <w:r>
        <w:t xml:space="preserve">Chose appropriate infrastructure and cloud services (compute, storage, networking, security controls)</w:t>
      </w:r>
    </w:p>
    <w:p>
      <w:pPr>
        <w:numPr>
          <w:ilvl w:val="0"/>
          <w:numId w:val="1003"/>
        </w:numPr>
        <w:pStyle w:val="Compact"/>
      </w:pPr>
      <w:r>
        <w:t xml:space="preserve">Ensured solutions are operable: logging, monitoring, alerting, deployment, rollback, capacity planning</w:t>
      </w:r>
    </w:p>
    <w:p>
      <w:pPr>
        <w:numPr>
          <w:ilvl w:val="0"/>
          <w:numId w:val="1003"/>
        </w:numPr>
        <w:pStyle w:val="Compact"/>
      </w:pPr>
      <w:r>
        <w:t xml:space="preserve">Anticipated cross-system impacts, failure modes, integration edge cases, and data consistency challenges</w:t>
      </w:r>
    </w:p>
    <w:p>
      <w:pPr>
        <w:numPr>
          <w:ilvl w:val="0"/>
          <w:numId w:val="1003"/>
        </w:numPr>
        <w:pStyle w:val="Compact"/>
      </w:pPr>
      <w:r>
        <w:t xml:space="preserve">Designed for scalability, performance, and resilience under realistic load and failure scenarios</w:t>
      </w:r>
    </w:p>
    <w:p>
      <w:pPr>
        <w:numPr>
          <w:ilvl w:val="0"/>
          <w:numId w:val="1003"/>
        </w:numPr>
        <w:pStyle w:val="Compact"/>
      </w:pPr>
      <w:r>
        <w:t xml:space="preserve">Applied security controls and compliance requirements throughout the solution stack</w:t>
      </w:r>
    </w:p>
    <w:p>
      <w:pPr>
        <w:numPr>
          <w:ilvl w:val="0"/>
          <w:numId w:val="1003"/>
        </w:numPr>
        <w:pStyle w:val="Compact"/>
      </w:pPr>
      <w:r>
        <w:t xml:space="preserve">Balanced technical complexity with operational simplicity and maintainability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d---stakeholder-engagement"/>
    <w:p>
      <w:pPr>
        <w:pStyle w:val="Heading2"/>
      </w:pPr>
      <w:r>
        <w:t xml:space="preserve">D - Stakeholder Engagement</w:t>
      </w:r>
    </w:p>
    <w:bookmarkStart w:id="26" w:name="sfia-rlmt-cnsl-level-45"/>
    <w:p>
      <w:pPr>
        <w:pStyle w:val="Heading4"/>
      </w:pPr>
      <w:r>
        <w:rPr>
          <w:bCs/>
          <w:b/>
        </w:rPr>
        <w:t xml:space="preserve">00:25</w:t>
      </w:r>
      <w:r>
        <w:t xml:space="preserve"> </w:t>
      </w:r>
      <w:r>
        <w:t xml:space="preserve">- SFIA RLMT / CNSL Level 4–5</w:t>
      </w:r>
    </w:p>
    <w:p>
      <w:pPr>
        <w:pStyle w:val="FirstParagraph"/>
      </w:pPr>
      <w:r>
        <w:t xml:space="preserve">Communicating solution options clearly, facilitating decisions, and acting as a trusted technical advisor to stakeholders.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4"/>
        </w:numPr>
        <w:pStyle w:val="Compact"/>
      </w:pPr>
      <w:r>
        <w:t xml:space="preserve">Communicated solution options and constraints clearly to technical and non-technical stakeholders</w:t>
      </w:r>
    </w:p>
    <w:p>
      <w:pPr>
        <w:numPr>
          <w:ilvl w:val="0"/>
          <w:numId w:val="1004"/>
        </w:numPr>
        <w:pStyle w:val="Compact"/>
      </w:pPr>
      <w:r>
        <w:t xml:space="preserve">Facilitated design workshops, playback sessions, and decision forums with clients and internal teams</w:t>
      </w:r>
    </w:p>
    <w:p>
      <w:pPr>
        <w:numPr>
          <w:ilvl w:val="0"/>
          <w:numId w:val="1004"/>
        </w:numPr>
        <w:pStyle w:val="Compact"/>
      </w:pPr>
      <w:r>
        <w:t xml:space="preserve">Presented structured options with clear trade-offs, risks, costs, and rationale</w:t>
      </w:r>
    </w:p>
    <w:p>
      <w:pPr>
        <w:numPr>
          <w:ilvl w:val="0"/>
          <w:numId w:val="1004"/>
        </w:numPr>
        <w:pStyle w:val="Compact"/>
      </w:pPr>
      <w:r>
        <w:t xml:space="preserve">Managed disagreement or conflicting requirements constructively and professionally</w:t>
      </w:r>
    </w:p>
    <w:p>
      <w:pPr>
        <w:numPr>
          <w:ilvl w:val="0"/>
          <w:numId w:val="1004"/>
        </w:numPr>
        <w:pStyle w:val="Compact"/>
      </w:pPr>
      <w:r>
        <w:t xml:space="preserve">Acted as trusted advisor to product, engineering, and customer stakeholders on technical decisions</w:t>
      </w:r>
    </w:p>
    <w:p>
      <w:pPr>
        <w:numPr>
          <w:ilvl w:val="0"/>
          <w:numId w:val="1004"/>
        </w:numPr>
        <w:pStyle w:val="Compact"/>
      </w:pPr>
      <w:r>
        <w:t xml:space="preserve">Tailored communication style and technical depth to audience (executives, engineers, product, operations)</w:t>
      </w:r>
    </w:p>
    <w:p>
      <w:pPr>
        <w:numPr>
          <w:ilvl w:val="0"/>
          <w:numId w:val="1004"/>
        </w:numPr>
        <w:pStyle w:val="Compact"/>
      </w:pPr>
      <w:r>
        <w:t xml:space="preserve">Built credibility through delivery, transparency, and technical expertise</w:t>
      </w:r>
    </w:p>
    <w:p>
      <w:pPr>
        <w:numPr>
          <w:ilvl w:val="0"/>
          <w:numId w:val="1004"/>
        </w:numPr>
        <w:pStyle w:val="Compact"/>
      </w:pPr>
      <w:r>
        <w:t xml:space="preserve">Influenced architectural direction through evidence-based recommendations and clear reasoning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e---quality-delivery"/>
    <w:p>
      <w:pPr>
        <w:pStyle w:val="Heading2"/>
      </w:pPr>
      <w:r>
        <w:t xml:space="preserve">E - Quality &amp; Delivery</w:t>
      </w:r>
    </w:p>
    <w:bookmarkStart w:id="28" w:name="sfia-metl-slen-quas-level-45"/>
    <w:p>
      <w:pPr>
        <w:pStyle w:val="Heading4"/>
      </w:pPr>
      <w:r>
        <w:rPr>
          <w:bCs/>
          <w:b/>
        </w:rPr>
        <w:t xml:space="preserve">00:30</w:t>
      </w:r>
      <w:r>
        <w:t xml:space="preserve"> </w:t>
      </w:r>
      <w:r>
        <w:t xml:space="preserve">- SFIA METL / SLEN / QUAS Level 4–5</w:t>
      </w:r>
    </w:p>
    <w:p>
      <w:pPr>
        <w:pStyle w:val="FirstParagraph"/>
      </w:pPr>
      <w:r>
        <w:t xml:space="preserve">Ensuring implementations align to architecture, supporting teams with lifecycle practices, and embedding quality throughout delivery.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5"/>
        </w:numPr>
        <w:pStyle w:val="Compact"/>
      </w:pPr>
      <w:r>
        <w:t xml:space="preserve">Ensured implementations remained aligned to agreed architecture through reviews and collaboration</w:t>
      </w:r>
    </w:p>
    <w:p>
      <w:pPr>
        <w:numPr>
          <w:ilvl w:val="0"/>
          <w:numId w:val="1005"/>
        </w:numPr>
        <w:pStyle w:val="Compact"/>
      </w:pPr>
      <w:r>
        <w:t xml:space="preserve">Supported teams in applying engineering processes, tools, and lifecycle practices (CI/CD, IaC, test strategies)</w:t>
      </w:r>
    </w:p>
    <w:p>
      <w:pPr>
        <w:numPr>
          <w:ilvl w:val="0"/>
          <w:numId w:val="1005"/>
        </w:numPr>
        <w:pStyle w:val="Compact"/>
      </w:pPr>
      <w:r>
        <w:t xml:space="preserve">Defined or contributed to architectural standards, patterns, templates, and decision records (ADRs/RFCs)</w:t>
      </w:r>
    </w:p>
    <w:p>
      <w:pPr>
        <w:numPr>
          <w:ilvl w:val="0"/>
          <w:numId w:val="1005"/>
        </w:numPr>
        <w:pStyle w:val="Compact"/>
      </w:pPr>
      <w:r>
        <w:t xml:space="preserve">Considered quality, security, compliance, and operational readiness as part of design and delivery</w:t>
      </w:r>
    </w:p>
    <w:p>
      <w:pPr>
        <w:numPr>
          <w:ilvl w:val="0"/>
          <w:numId w:val="1005"/>
        </w:numPr>
        <w:pStyle w:val="Compact"/>
      </w:pPr>
      <w:r>
        <w:t xml:space="preserve">Participated actively in delivery (backlog shaping, sprint planning, technical spikes) not purely advisory</w:t>
      </w:r>
    </w:p>
    <w:p>
      <w:pPr>
        <w:numPr>
          <w:ilvl w:val="0"/>
          <w:numId w:val="1005"/>
        </w:numPr>
        <w:pStyle w:val="Compact"/>
      </w:pPr>
      <w:r>
        <w:t xml:space="preserve">Conducted formal assessments or reviews to verify quality control and architectural compliance</w:t>
      </w:r>
    </w:p>
    <w:p>
      <w:pPr>
        <w:numPr>
          <w:ilvl w:val="0"/>
          <w:numId w:val="1005"/>
        </w:numPr>
        <w:pStyle w:val="Compact"/>
      </w:pPr>
      <w:r>
        <w:t xml:space="preserve">Identified risks, non-compliance, and improvement opportunities during solution delivery</w:t>
      </w:r>
    </w:p>
    <w:p>
      <w:pPr>
        <w:numPr>
          <w:ilvl w:val="0"/>
          <w:numId w:val="1005"/>
        </w:numPr>
        <w:pStyle w:val="Compact"/>
      </w:pPr>
      <w:r>
        <w:t xml:space="preserve">Balanced rigorous standards with pragmatic delivery, knowing when flexibility is appropriate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coring-matrix"/>
    <w:p>
      <w:pPr>
        <w:pStyle w:val="Heading2"/>
      </w:pPr>
      <w:r>
        <w:t xml:space="preserve">Scoring Matrix</w:t>
      </w:r>
    </w:p>
    <w:p>
      <w:pPr>
        <w:pStyle w:val="FirstParagraph"/>
      </w:pPr>
      <w:r>
        <w:rPr>
          <w:bCs/>
          <w:b/>
        </w:rPr>
        <w:t xml:space="preserve">Thresholds:</w:t>
      </w:r>
      <w:r>
        <w:t xml:space="preserve"> </w:t>
      </w:r>
      <w:r>
        <w:rPr>
          <w:iCs/>
          <w:i/>
        </w:rPr>
        <w:t xml:space="preserve">18+</w:t>
      </w:r>
      <w:r>
        <w:t xml:space="preserve"> </w:t>
      </w:r>
      <w:r>
        <w:t xml:space="preserve">is a pass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- Requirements &amp; Discovery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- Solution Design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  <w:r>
              <w:t xml:space="preserve"> </w:t>
            </w:r>
            <w:r>
              <w:t xml:space="preserve">- Integration &amp; Infrastructure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  <w:r>
              <w:t xml:space="preserve"> </w:t>
            </w:r>
            <w:r>
              <w:t xml:space="preserve">- Stakeholder Engagement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  <w:r>
              <w:t xml:space="preserve"> </w:t>
            </w:r>
            <w:r>
              <w:t xml:space="preserve">- Quality &amp; Delivery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bookmarkEnd w:id="31"/>
    <w:sectPr w:rsidR="00A875E2" w:rsidSect="00EF592E">
      <w:pgSz w:h="15840" w:w="12240"/>
      <w:pgMar w:bottom="284" w:footer="720" w:gutter="0" w:header="720" w:left="284" w:right="284" w:top="284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C4DEF13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36976398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BE4A71"/>
    <w:pPr>
      <w:keepNext/>
      <w:keepLines/>
      <w:spacing w:after="120"/>
      <w:outlineLvl w:val="0"/>
    </w:pPr>
    <w:rPr>
      <w:rFonts w:ascii="Arial" w:cstheme="majorBidi" w:eastAsiaTheme="majorEastAsia" w:hAnsi="Arial"/>
      <w:b/>
      <w:bCs/>
      <w:color w:themeColor="text2" w:val="1F497D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BE4A71"/>
    <w:pPr>
      <w:keepNext/>
      <w:keepLines/>
      <w:spacing w:after="0" w:before="200"/>
      <w:outlineLvl w:val="1"/>
    </w:pPr>
    <w:rPr>
      <w:rFonts w:ascii="Arial" w:cstheme="majorBidi" w:eastAsiaTheme="majorEastAsia" w:hAnsi="Arial"/>
      <w:b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BE4A71"/>
    <w:pPr>
      <w:keepNext/>
      <w:keepLines/>
      <w:spacing w:after="0" w:before="200"/>
      <w:outlineLvl w:val="2"/>
    </w:pPr>
    <w:rPr>
      <w:rFonts w:ascii="Arial" w:cstheme="majorBidi" w:eastAsiaTheme="majorEastAsia" w:hAnsi="Arial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BE4A71"/>
    <w:pPr>
      <w:keepNext/>
      <w:keepLines/>
      <w:spacing w:after="0"/>
      <w:outlineLvl w:val="3"/>
    </w:pPr>
    <w:rPr>
      <w:rFonts w:ascii="Arial" w:cstheme="majorBidi" w:eastAsiaTheme="majorEastAsia" w:hAnsi="Arial"/>
      <w:bCs/>
      <w:i/>
      <w:color w:themeColor="text2" w:themeShade="BF" w:val="17365D"/>
      <w:sz w:val="20"/>
    </w:rPr>
  </w:style>
  <w:style w:styleId="Heading5" w:type="paragraph">
    <w:name w:val="heading 5"/>
    <w:basedOn w:val="Normal"/>
    <w:next w:val="BodyText"/>
    <w:uiPriority w:val="9"/>
    <w:unhideWhenUsed/>
    <w:qFormat/>
    <w:rsid w:val="00BE4A71"/>
    <w:pPr>
      <w:keepNext/>
      <w:keepLines/>
      <w:spacing w:after="0"/>
      <w:outlineLvl w:val="4"/>
    </w:pPr>
    <w:rPr>
      <w:rFonts w:ascii="Arial" w:cstheme="majorBidi" w:eastAsiaTheme="majorEastAsia" w:hAnsi="Arial"/>
      <w:iCs/>
      <w:color w:themeColor="text2" w:themeShade="BF" w:val="17365D"/>
      <w:sz w:val="20"/>
    </w:rPr>
  </w:style>
  <w:style w:styleId="Heading6" w:type="paragraph">
    <w:name w:val="heading 6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5"/>
    </w:pPr>
    <w:rPr>
      <w:rFonts w:ascii="Arial" w:cstheme="majorBidi" w:eastAsiaTheme="majorEastAsia" w:hAnsi="Arial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6"/>
    </w:pPr>
    <w:rPr>
      <w:rFonts w:ascii="Arial" w:cstheme="majorBidi" w:eastAsiaTheme="majorEastAsia" w:hAnsi="Arial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7"/>
    </w:pPr>
    <w:rPr>
      <w:rFonts w:ascii="Arial" w:cstheme="majorBidi" w:eastAsiaTheme="majorEastAsia" w:hAnsi="Arial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8"/>
    </w:pPr>
    <w:rPr>
      <w:rFonts w:ascii="Arial" w:cstheme="majorBidi" w:eastAsiaTheme="majorEastAsia" w:hAnsi="Arial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705273"/>
    <w:pPr>
      <w:spacing w:after="120" w:before="120"/>
    </w:pPr>
    <w:rPr>
      <w:rFonts w:ascii="Arial" w:hAnsi="Arial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2105D6"/>
    <w:pPr>
      <w:keepNext/>
      <w:keepLines/>
      <w:spacing w:after="120" w:before="120"/>
      <w:jc w:val="center"/>
    </w:pPr>
    <w:rPr>
      <w:rFonts w:ascii="Arial" w:cstheme="majorBidi" w:eastAsiaTheme="majorEastAsia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rsid w:val="002105D6"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2105D6"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rsid w:val="002105D6"/>
    <w:pPr>
      <w:keepNext/>
      <w:keepLines/>
      <w:jc w:val="center"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rsid w:val="002105D6"/>
    <w:pPr>
      <w:keepNext/>
      <w:keepLines/>
      <w:spacing w:after="300" w:before="3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qFormat/>
    <w:rsid w:val="002105D6"/>
    <w:rPr>
      <w:rFonts w:ascii="Arial" w:hAnsi="Arial"/>
    </w:rPr>
  </w:style>
  <w:style w:styleId="BlockText" w:type="paragraph">
    <w:name w:val="Block Text"/>
    <w:basedOn w:val="BodyText"/>
    <w:next w:val="BodyText"/>
    <w:uiPriority w:val="9"/>
    <w:unhideWhenUsed/>
    <w:qFormat/>
    <w:rsid w:val="00705273"/>
    <w:pPr>
      <w:spacing w:after="100"/>
      <w:ind w:left="482" w:right="482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BE4A71"/>
    <w:rPr>
      <w:rFonts w:ascii="Arial" w:hAnsi="Arial"/>
    </w:rPr>
    <w:tblPr>
      <w:tblInd w:type="dxa" w:w="397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type="dxa" w:w="142"/>
        <w:left w:type="dxa" w:w="284"/>
        <w:bottom w:type="dxa" w:w="142"/>
        <w:right w:type="dxa" w:w="284"/>
      </w:tblCellMar>
    </w:tblPr>
    <w:tcPr>
      <w:vAlign w:val="center"/>
    </w:tcPr>
    <w:tblStylePr w:type="firstRow">
      <w:rPr>
        <w:rFonts w:ascii="Arial" w:hAnsi="Arial"/>
        <w:b/>
        <w:sz w:val="28"/>
      </w:rPr>
      <w:tblPr/>
      <w:tcPr>
        <w:shd w:color="auto" w:fill="8DB3E2" w:themeFill="text2" w:themeFillTint="6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2105D6"/>
    <w:pPr>
      <w:spacing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55</Words>
  <Characters>370</Characters>
  <Application>Microsoft Office Word</Application>
  <DocSecurity>0</DocSecurity>
  <Lines>10</Lines>
  <Paragraphs>7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2025-12-06T15:32:35Z</dcterms:created>
  <dcterms:modified xsi:type="dcterms:W3CDTF">2025-12-06T15:32:35Z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