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ech-lead"/>
    <w:p>
      <w:pPr>
        <w:pStyle w:val="Heading1"/>
      </w:pPr>
      <w:r>
        <w:t xml:space="preserve">Tech Lead</w:t>
      </w:r>
    </w:p>
    <w:p>
      <w:pPr>
        <w:pStyle w:val="FirstParagraph"/>
      </w:pPr>
      <w:r>
        <w:t xml:space="preserve">A Tech Lead provides hands-on technical leadership for a team, ensuring high-quality engineering delivery, good lifecycle practices, and alignment with product and architectural direction. Combines strong technical execution with team coordination and coaching.</w:t>
      </w:r>
    </w:p>
    <w:p>
      <w:pPr>
        <w:pStyle w:val="BodyText"/>
      </w:pPr>
      <w:r>
        <w:t xml:space="preserve">Candidates should use the</w:t>
      </w:r>
      <w:r>
        <w:t xml:space="preserve"> </w:t>
      </w:r>
      <w:r>
        <w:rPr>
          <w:bCs/>
          <w:b/>
        </w:rPr>
        <w:t xml:space="preserve">STAR method</w:t>
      </w:r>
      <w:r>
        <w:t xml:space="preserve"> </w:t>
      </w:r>
      <w:r>
        <w:t xml:space="preserve">(Situation, Task, Action, Result). This assessment is about demonstrated experience, not theoretical understanding.</w:t>
      </w:r>
    </w:p>
    <w:p>
      <w:r>
        <w:pict>
          <v:rect style="width:0;height:1.5pt" o:hralign="center" o:hrstd="t" o:hr="t"/>
        </w:pict>
      </w:r>
    </w:p>
    <w:bookmarkStart w:id="21" w:name="a---technical-ownership"/>
    <w:p>
      <w:pPr>
        <w:pStyle w:val="Heading2"/>
      </w:pPr>
      <w:r>
        <w:t xml:space="preserve">A - Technical Ownership</w:t>
      </w:r>
    </w:p>
    <w:bookmarkStart w:id="20" w:name="sfia-arch-level-45-slen-level-5"/>
    <w:p>
      <w:pPr>
        <w:pStyle w:val="Heading4"/>
      </w:pPr>
      <w:r>
        <w:rPr>
          <w:bCs/>
          <w:b/>
        </w:rPr>
        <w:t xml:space="preserve">00:10</w:t>
      </w:r>
      <w:r>
        <w:t xml:space="preserve"> </w:t>
      </w:r>
      <w:r>
        <w:t xml:space="preserve">- SFIA ARCH Level 4–5 / SLEN Level 5</w:t>
      </w:r>
    </w:p>
    <w:p>
      <w:pPr>
        <w:pStyle w:val="FirstParagraph"/>
      </w:pPr>
      <w:r>
        <w:t xml:space="preserve">Owning the health, design, and evolution of the services the team delivers, ensuring systems meet functional and operational objectives.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1"/>
        </w:numPr>
        <w:pStyle w:val="Compact"/>
      </w:pPr>
      <w:r>
        <w:t xml:space="preserve">Took ownership of one or more services, features, or subsystems end-to-end</w:t>
      </w:r>
    </w:p>
    <w:p>
      <w:pPr>
        <w:numPr>
          <w:ilvl w:val="0"/>
          <w:numId w:val="1001"/>
        </w:numPr>
        <w:pStyle w:val="Compact"/>
      </w:pPr>
      <w:r>
        <w:t xml:space="preserve">Made technical decisions balancing trade-offs (scope, risk, operability, performance)</w:t>
      </w:r>
    </w:p>
    <w:p>
      <w:pPr>
        <w:numPr>
          <w:ilvl w:val="0"/>
          <w:numId w:val="1001"/>
        </w:numPr>
        <w:pStyle w:val="Compact"/>
      </w:pPr>
      <w:r>
        <w:t xml:space="preserve">Ensured systems meet appropriate lifecycle standards (reliability, security, observability, maintainability)</w:t>
      </w:r>
    </w:p>
    <w:p>
      <w:pPr>
        <w:numPr>
          <w:ilvl w:val="0"/>
          <w:numId w:val="1001"/>
        </w:numPr>
        <w:pStyle w:val="Compact"/>
      </w:pPr>
      <w:r>
        <w:t xml:space="preserve">Partnered with architects/Principal Engineers to align technical plans with wider platform architecture</w:t>
      </w:r>
    </w:p>
    <w:p>
      <w:pPr>
        <w:numPr>
          <w:ilvl w:val="0"/>
          <w:numId w:val="1001"/>
        </w:numPr>
        <w:pStyle w:val="Compact"/>
      </w:pPr>
      <w:r>
        <w:t xml:space="preserve">Ensured technical debt, incidents, and constraints were surfaced and resolved proactively</w:t>
      </w:r>
    </w:p>
    <w:p>
      <w:pPr>
        <w:numPr>
          <w:ilvl w:val="0"/>
          <w:numId w:val="1001"/>
        </w:numPr>
        <w:pStyle w:val="Compact"/>
      </w:pPr>
      <w:r>
        <w:t xml:space="preserve">Drove architectural improvements within team’s scope without needing escalation</w:t>
      </w:r>
    </w:p>
    <w:p>
      <w:pPr>
        <w:numPr>
          <w:ilvl w:val="0"/>
          <w:numId w:val="1001"/>
        </w:numPr>
        <w:pStyle w:val="Compact"/>
      </w:pPr>
      <w:r>
        <w:t xml:space="preserve">Demonstrated sound judgment on when to refactor versus when to ship pragmatically</w:t>
      </w:r>
    </w:p>
    <w:p>
      <w:pPr>
        <w:numPr>
          <w:ilvl w:val="0"/>
          <w:numId w:val="1001"/>
        </w:numPr>
        <w:pStyle w:val="Compact"/>
      </w:pPr>
      <w:r>
        <w:t xml:space="preserve">Maintained clear understanding of system dependencies and integration points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--engineering-quality"/>
    <w:p>
      <w:pPr>
        <w:pStyle w:val="Heading2"/>
      </w:pPr>
      <w:r>
        <w:t xml:space="preserve">B - Engineering Quality</w:t>
      </w:r>
    </w:p>
    <w:bookmarkStart w:id="22" w:name="X819489b335f91cf5016e982ad8d55e231a1de4a"/>
    <w:p>
      <w:pPr>
        <w:pStyle w:val="Heading4"/>
      </w:pPr>
      <w:r>
        <w:rPr>
          <w:bCs/>
          <w:b/>
        </w:rPr>
        <w:t xml:space="preserve">00:15</w:t>
      </w:r>
      <w:r>
        <w:t xml:space="preserve"> </w:t>
      </w:r>
      <w:r>
        <w:t xml:space="preserve">- SFIA PROG Level 4–5 / DATM Level 4–5 / SLEN Level 5</w:t>
      </w:r>
    </w:p>
    <w:p>
      <w:pPr>
        <w:pStyle w:val="FirstParagraph"/>
      </w:pPr>
      <w:r>
        <w:t xml:space="preserve">Maintaining broad engineering capability across software, data, and platform, and ensuring the team follows modern engineering best practices.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2"/>
        </w:numPr>
        <w:pStyle w:val="Compact"/>
      </w:pPr>
      <w:r>
        <w:t xml:space="preserve">Sets or maintains coding standards, review quality, testing discipline, and development workflows</w:t>
      </w:r>
    </w:p>
    <w:p>
      <w:pPr>
        <w:numPr>
          <w:ilvl w:val="0"/>
          <w:numId w:val="1002"/>
        </w:numPr>
        <w:pStyle w:val="Compact"/>
      </w:pPr>
      <w:r>
        <w:t xml:space="preserve">Demonstrates solid engineering breadth (backend, integration, data flows, CI/CD, cloud fundamentals)</w:t>
      </w:r>
    </w:p>
    <w:p>
      <w:pPr>
        <w:numPr>
          <w:ilvl w:val="0"/>
          <w:numId w:val="1002"/>
        </w:numPr>
        <w:pStyle w:val="Compact"/>
      </w:pPr>
      <w:r>
        <w:t xml:space="preserve">Drives improvements in quality, performance, security, reliability, or operational readiness</w:t>
      </w:r>
    </w:p>
    <w:p>
      <w:pPr>
        <w:numPr>
          <w:ilvl w:val="0"/>
          <w:numId w:val="1002"/>
        </w:numPr>
        <w:pStyle w:val="Compact"/>
      </w:pPr>
      <w:r>
        <w:t xml:space="preserve">Ensures traceability, observability, and robust monitoring exist for services</w:t>
      </w:r>
    </w:p>
    <w:p>
      <w:pPr>
        <w:numPr>
          <w:ilvl w:val="0"/>
          <w:numId w:val="1002"/>
        </w:numPr>
        <w:pStyle w:val="Compact"/>
      </w:pPr>
      <w:r>
        <w:t xml:space="preserve">Leads or contributes meaningfully to refactoring, migrations, or lifecycle improvements</w:t>
      </w:r>
    </w:p>
    <w:p>
      <w:pPr>
        <w:numPr>
          <w:ilvl w:val="0"/>
          <w:numId w:val="1002"/>
        </w:numPr>
        <w:pStyle w:val="Compact"/>
      </w:pPr>
      <w:r>
        <w:t xml:space="preserve">Champions automated testing and quality gates appropriate to the team’s context</w:t>
      </w:r>
    </w:p>
    <w:p>
      <w:pPr>
        <w:numPr>
          <w:ilvl w:val="0"/>
          <w:numId w:val="1002"/>
        </w:numPr>
        <w:pStyle w:val="Compact"/>
      </w:pPr>
      <w:r>
        <w:t xml:space="preserve">Applies data handling best practices (data quality, retention, privacy, lineage)</w:t>
      </w:r>
    </w:p>
    <w:p>
      <w:pPr>
        <w:numPr>
          <w:ilvl w:val="0"/>
          <w:numId w:val="1002"/>
        </w:numPr>
        <w:pStyle w:val="Compact"/>
      </w:pPr>
      <w:r>
        <w:t xml:space="preserve">Stays current with relevant technologies and evaluates their applicability to team’s needs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--delivery-leadership"/>
    <w:p>
      <w:pPr>
        <w:pStyle w:val="Heading2"/>
      </w:pPr>
      <w:r>
        <w:t xml:space="preserve">C - Delivery Leadership</w:t>
      </w:r>
    </w:p>
    <w:bookmarkStart w:id="24" w:name="sfia-pomg-level-45-slen-level-5"/>
    <w:p>
      <w:pPr>
        <w:pStyle w:val="Heading4"/>
      </w:pPr>
      <w:r>
        <w:rPr>
          <w:bCs/>
          <w:b/>
        </w:rPr>
        <w:t xml:space="preserve">00:20</w:t>
      </w:r>
      <w:r>
        <w:t xml:space="preserve"> </w:t>
      </w:r>
      <w:r>
        <w:t xml:space="preserve">- SFIA POMG Level 4–5 / SLEN Level 5</w:t>
      </w:r>
    </w:p>
    <w:p>
      <w:pPr>
        <w:pStyle w:val="FirstParagraph"/>
      </w:pPr>
      <w:r>
        <w:t xml:space="preserve">Guiding the team through planning, sequencing, and delivering work predictably while managing dependencies and risks.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3"/>
        </w:numPr>
        <w:pStyle w:val="Compact"/>
      </w:pPr>
      <w:r>
        <w:t xml:space="preserve">Helps plan, break down, and sequence work into well-understood deliverables</w:t>
      </w:r>
    </w:p>
    <w:p>
      <w:pPr>
        <w:numPr>
          <w:ilvl w:val="0"/>
          <w:numId w:val="1003"/>
        </w:numPr>
        <w:pStyle w:val="Compact"/>
      </w:pPr>
      <w:r>
        <w:t xml:space="preserve">Manages dependencies and removes blockers to maintain flow</w:t>
      </w:r>
    </w:p>
    <w:p>
      <w:pPr>
        <w:numPr>
          <w:ilvl w:val="0"/>
          <w:numId w:val="1003"/>
        </w:numPr>
        <w:pStyle w:val="Compact"/>
      </w:pPr>
      <w:r>
        <w:t xml:space="preserve">Ensures the team delivers increments aligned to readiness and quality criteria</w:t>
      </w:r>
    </w:p>
    <w:p>
      <w:pPr>
        <w:numPr>
          <w:ilvl w:val="0"/>
          <w:numId w:val="1003"/>
        </w:numPr>
        <w:pStyle w:val="Compact"/>
      </w:pPr>
      <w:r>
        <w:t xml:space="preserve">Collaborates effectively with Product, QA, SRE, and other engineering teams</w:t>
      </w:r>
    </w:p>
    <w:p>
      <w:pPr>
        <w:numPr>
          <w:ilvl w:val="0"/>
          <w:numId w:val="1003"/>
        </w:numPr>
        <w:pStyle w:val="Compact"/>
      </w:pPr>
      <w:r>
        <w:t xml:space="preserve">Shows awareness of capacity, velocity, constraints, and delivery risk</w:t>
      </w:r>
    </w:p>
    <w:p>
      <w:pPr>
        <w:numPr>
          <w:ilvl w:val="0"/>
          <w:numId w:val="1003"/>
        </w:numPr>
        <w:pStyle w:val="Compact"/>
      </w:pPr>
      <w:r>
        <w:t xml:space="preserve">Balances delivery pressure with sustainable pace and technical quality</w:t>
      </w:r>
    </w:p>
    <w:p>
      <w:pPr>
        <w:numPr>
          <w:ilvl w:val="0"/>
          <w:numId w:val="1003"/>
        </w:numPr>
        <w:pStyle w:val="Compact"/>
      </w:pPr>
      <w:r>
        <w:t xml:space="preserve">Identifies and escalates delivery risks early rather than letting them become crises</w:t>
      </w:r>
    </w:p>
    <w:p>
      <w:pPr>
        <w:numPr>
          <w:ilvl w:val="0"/>
          <w:numId w:val="1003"/>
        </w:numPr>
        <w:pStyle w:val="Compact"/>
      </w:pPr>
      <w:r>
        <w:t xml:space="preserve">Adapts plans based on feedback, changing requirements, or technical discoveries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---team-leadership"/>
    <w:p>
      <w:pPr>
        <w:pStyle w:val="Heading2"/>
      </w:pPr>
      <w:r>
        <w:t xml:space="preserve">D - Team Leadership</w:t>
      </w:r>
    </w:p>
    <w:bookmarkStart w:id="26" w:name="X9bb1fe02e26b0edb7f1e7267e42fd6d339eb159"/>
    <w:p>
      <w:pPr>
        <w:pStyle w:val="Heading4"/>
      </w:pPr>
      <w:r>
        <w:rPr>
          <w:bCs/>
          <w:b/>
        </w:rPr>
        <w:t xml:space="preserve">00:25</w:t>
      </w:r>
      <w:r>
        <w:t xml:space="preserve"> </w:t>
      </w:r>
      <w:r>
        <w:t xml:space="preserve">- SFIA METL Level 4–5 / PDSV Level 4–5 / RLMT Level 4–5</w:t>
      </w:r>
    </w:p>
    <w:p>
      <w:pPr>
        <w:pStyle w:val="FirstParagraph"/>
      </w:pPr>
      <w:r>
        <w:t xml:space="preserve">Supporting teammates, improving capability, and facilitating collaboration through coaching and enabling professional development.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4"/>
        </w:numPr>
        <w:pStyle w:val="Compact"/>
      </w:pPr>
      <w:r>
        <w:t xml:space="preserve">Supports developers through pairing, coaching, constructive code reviews, and technical guidance</w:t>
      </w:r>
    </w:p>
    <w:p>
      <w:pPr>
        <w:numPr>
          <w:ilvl w:val="0"/>
          <w:numId w:val="1004"/>
        </w:numPr>
        <w:pStyle w:val="Compact"/>
      </w:pPr>
      <w:r>
        <w:t xml:space="preserve">Helps team members grow in confidence, independence, and quality of output</w:t>
      </w:r>
    </w:p>
    <w:p>
      <w:pPr>
        <w:numPr>
          <w:ilvl w:val="0"/>
          <w:numId w:val="1004"/>
        </w:numPr>
        <w:pStyle w:val="Compact"/>
      </w:pPr>
      <w:r>
        <w:t xml:space="preserve">Encourages healthy engineering practices (documentation, design discussion, experimentation)</w:t>
      </w:r>
    </w:p>
    <w:p>
      <w:pPr>
        <w:numPr>
          <w:ilvl w:val="0"/>
          <w:numId w:val="1004"/>
        </w:numPr>
        <w:pStyle w:val="Compact"/>
      </w:pPr>
      <w:r>
        <w:t xml:space="preserve">Works effectively with cross-functional teams, diffusing conflict and aligning perspectives</w:t>
      </w:r>
    </w:p>
    <w:p>
      <w:pPr>
        <w:numPr>
          <w:ilvl w:val="0"/>
          <w:numId w:val="1004"/>
        </w:numPr>
        <w:pStyle w:val="Compact"/>
      </w:pPr>
      <w:r>
        <w:t xml:space="preserve">Creates a positive team environment that promotes learning and accountability</w:t>
      </w:r>
    </w:p>
    <w:p>
      <w:pPr>
        <w:numPr>
          <w:ilvl w:val="0"/>
          <w:numId w:val="1004"/>
        </w:numPr>
        <w:pStyle w:val="Compact"/>
      </w:pPr>
      <w:r>
        <w:t xml:space="preserve">Provides actionable feedback that helps engineers improve their craft</w:t>
      </w:r>
    </w:p>
    <w:p>
      <w:pPr>
        <w:numPr>
          <w:ilvl w:val="0"/>
          <w:numId w:val="1004"/>
        </w:numPr>
        <w:pStyle w:val="Compact"/>
      </w:pPr>
      <w:r>
        <w:t xml:space="preserve">Recognizes when to delegate versus when to demonstrate through hands-on work</w:t>
      </w:r>
    </w:p>
    <w:p>
      <w:pPr>
        <w:numPr>
          <w:ilvl w:val="0"/>
          <w:numId w:val="1004"/>
        </w:numPr>
        <w:pStyle w:val="Compact"/>
      </w:pPr>
      <w:r>
        <w:t xml:space="preserve">Identifies knowledge gaps in the team and helps address them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d2969ab7c08dbfa2402234a6ce0a38b8b2ac912"/>
    <w:p>
      <w:pPr>
        <w:pStyle w:val="Heading2"/>
      </w:pPr>
      <w:r>
        <w:t xml:space="preserve">E - Communication, Decision-Making &amp; Influence</w:t>
      </w:r>
    </w:p>
    <w:bookmarkStart w:id="28" w:name="sfia-rlmt-level-45"/>
    <w:p>
      <w:pPr>
        <w:pStyle w:val="Heading4"/>
      </w:pPr>
      <w:r>
        <w:rPr>
          <w:bCs/>
          <w:b/>
        </w:rPr>
        <w:t xml:space="preserve">00:30</w:t>
      </w:r>
      <w:r>
        <w:t xml:space="preserve"> </w:t>
      </w:r>
      <w:r>
        <w:t xml:space="preserve">- SFIA RLMT Level 4–5</w:t>
      </w:r>
    </w:p>
    <w:p>
      <w:pPr>
        <w:pStyle w:val="FirstParagraph"/>
      </w:pPr>
      <w:r>
        <w:t xml:space="preserve">Communicating technical matters clearly and influencing decisions through stakeholder engagement and structured communication.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5"/>
        </w:numPr>
        <w:pStyle w:val="Compact"/>
      </w:pPr>
      <w:r>
        <w:t xml:space="preserve">Communicates technical decisions clearly to engineers, product managers, and business stakeholders</w:t>
      </w:r>
    </w:p>
    <w:p>
      <w:pPr>
        <w:numPr>
          <w:ilvl w:val="0"/>
          <w:numId w:val="1005"/>
        </w:numPr>
        <w:pStyle w:val="Compact"/>
      </w:pPr>
      <w:r>
        <w:t xml:space="preserve">Explains reasoning, risks, and impacts in structured, concise ways</w:t>
      </w:r>
    </w:p>
    <w:p>
      <w:pPr>
        <w:numPr>
          <w:ilvl w:val="0"/>
          <w:numId w:val="1005"/>
        </w:numPr>
        <w:pStyle w:val="Compact"/>
      </w:pPr>
      <w:r>
        <w:t xml:space="preserve">Manages disagreements or trade-offs professionally (scope limits, deadlines, tech debt)</w:t>
      </w:r>
    </w:p>
    <w:p>
      <w:pPr>
        <w:numPr>
          <w:ilvl w:val="0"/>
          <w:numId w:val="1005"/>
        </w:numPr>
        <w:pStyle w:val="Compact"/>
      </w:pPr>
      <w:r>
        <w:t xml:space="preserve">Gains alignment without escalation or authority-based control</w:t>
      </w:r>
    </w:p>
    <w:p>
      <w:pPr>
        <w:numPr>
          <w:ilvl w:val="0"/>
          <w:numId w:val="1005"/>
        </w:numPr>
        <w:pStyle w:val="Compact"/>
      </w:pPr>
      <w:r>
        <w:t xml:space="preserve">Ensures stakeholders understand constraints, delivery challenges, and technical implications</w:t>
      </w:r>
    </w:p>
    <w:p>
      <w:pPr>
        <w:numPr>
          <w:ilvl w:val="0"/>
          <w:numId w:val="1005"/>
        </w:numPr>
        <w:pStyle w:val="Compact"/>
      </w:pPr>
      <w:r>
        <w:t xml:space="preserve">Adapts communication style to audience (engineers vs. product vs. leadership)</w:t>
      </w:r>
    </w:p>
    <w:p>
      <w:pPr>
        <w:numPr>
          <w:ilvl w:val="0"/>
          <w:numId w:val="1005"/>
        </w:numPr>
        <w:pStyle w:val="Compact"/>
      </w:pPr>
      <w:r>
        <w:t xml:space="preserve">Builds trust through transparency about what’s possible and what’s risky</w:t>
      </w:r>
    </w:p>
    <w:p>
      <w:pPr>
        <w:numPr>
          <w:ilvl w:val="0"/>
          <w:numId w:val="1005"/>
        </w:numPr>
        <w:pStyle w:val="Compact"/>
      </w:pPr>
      <w:r>
        <w:t xml:space="preserve">Facilitates technical discussions that lead to clear decisions and shared understanding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ing-matrix"/>
    <w:p>
      <w:pPr>
        <w:pStyle w:val="Heading2"/>
      </w:pPr>
      <w:r>
        <w:t xml:space="preserve">Scoring Matrix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rPr>
          <w:iCs/>
          <w:i/>
        </w:rPr>
        <w:t xml:space="preserve">18+</w:t>
      </w:r>
      <w:r>
        <w:t xml:space="preserve"> </w:t>
      </w:r>
      <w:r>
        <w:t xml:space="preserve">is a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- Technical Ownership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- Engineering Quality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- Delivery Leadership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- Team Leadership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- Communication, Decision-Making &amp; Influence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 w:rsidR="00A875E2" w:rsidSect="00EF592E">
      <w:pgSz w:h="15840" w:w="12240"/>
      <w:pgMar w:bottom="284" w:footer="720" w:gutter="0" w:header="720" w:left="284" w:right="284" w:top="28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DEF1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69763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BE4A71"/>
    <w:pPr>
      <w:keepNext/>
      <w:keepLines/>
      <w:spacing w:after="120"/>
      <w:outlineLvl w:val="0"/>
    </w:pPr>
    <w:rPr>
      <w:rFonts w:ascii="Arial" w:cstheme="majorBidi" w:eastAsiaTheme="majorEastAsia" w:hAnsi="Arial"/>
      <w:b/>
      <w:bCs/>
      <w:color w:themeColor="text2" w:val="1F497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2"/>
    </w:pPr>
    <w:rPr>
      <w:rFonts w:ascii="Arial" w:cstheme="majorBidi" w:eastAsiaTheme="majorEastAsia" w:hAnsi="Arial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3"/>
    </w:pPr>
    <w:rPr>
      <w:rFonts w:ascii="Arial" w:cstheme="majorBidi" w:eastAsiaTheme="majorEastAsia" w:hAnsi="Arial"/>
      <w:bCs/>
      <w:i/>
      <w:color w:themeColor="text2" w:themeShade="BF" w:val="17365D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4"/>
    </w:pPr>
    <w:rPr>
      <w:rFonts w:ascii="Arial" w:cstheme="majorBidi" w:eastAsiaTheme="majorEastAsia" w:hAnsi="Arial"/>
      <w:iCs/>
      <w:color w:themeColor="text2" w:themeShade="BF" w:val="17365D"/>
      <w:sz w:val="20"/>
    </w:rPr>
  </w:style>
  <w:style w:styleId="Heading6" w:type="paragraph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cstheme="majorBidi" w:eastAsiaTheme="majorEastAsia" w:hAnsi="Arial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cstheme="majorBidi" w:eastAsiaTheme="majorEastAsia" w:hAnsi="Arial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cstheme="majorBidi" w:eastAsiaTheme="majorEastAsia" w:hAnsi="Arial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cstheme="majorBidi" w:eastAsiaTheme="majorEastAsia" w:hAnsi="Arial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05273"/>
    <w:pPr>
      <w:spacing w:after="120" w:before="120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2105D6"/>
    <w:pPr>
      <w:keepNext/>
      <w:keepLines/>
      <w:spacing w:after="120" w:before="120"/>
      <w:jc w:val="center"/>
    </w:pPr>
    <w:rPr>
      <w:rFonts w:ascii="Arial" w:cstheme="majorBidi" w:eastAsiaTheme="majorEastAsia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2105D6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rsid w:val="002105D6"/>
    <w:pPr>
      <w:keepNext/>
      <w:keepLines/>
      <w:spacing w:after="300" w:before="3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105D6"/>
    <w:rPr>
      <w:rFonts w:ascii="Arial" w:hAnsi="Arial"/>
    </w:rPr>
  </w:style>
  <w:style w:styleId="BlockText" w:type="paragraph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BE4A71"/>
    <w:rPr>
      <w:rFonts w:ascii="Arial" w:hAnsi="Arial"/>
    </w:rPr>
    <w:tblPr>
      <w:tblInd w:type="dxa" w:w="397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142"/>
        <w:left w:type="dxa" w:w="284"/>
        <w:bottom w:type="dxa" w:w="142"/>
        <w:right w:type="dxa" w:w="284"/>
      </w:tblCellMar>
    </w:tblPr>
    <w:tcPr>
      <w:vAlign w:val="center"/>
    </w:tcPr>
    <w:tblStylePr w:type="firstRow">
      <w:rPr>
        <w:rFonts w:ascii="Arial" w:hAnsi="Arial"/>
        <w:b/>
        <w:sz w:val="28"/>
      </w:rPr>
      <w:tblPr/>
      <w:tcPr>
        <w:shd w:color="auto" w:fill="8DB3E2" w:themeFill="text2" w:themeFillTint="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2025-12-05T16:27:46Z</dcterms:created>
  <dcterms:modified xsi:type="dcterms:W3CDTF">2025-12-05T16:27:46Z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