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Project Acceptance Tests</w:t>
      </w:r>
    </w:p>
    <w:p>
      <w:r>
        <w:rPr>
          <w:b/>
        </w:rPr>
        <w:t>CITS3200 Professional Computing | Group 07 | Revision 2 | 5 September 2026</w:t>
      </w:r>
    </w:p>
    <w:p>
      <w:pPr>
        <w:ind w:left="480"/>
        <w:jc w:val="left"/>
      </w:pPr>
      <w:r>
        <w:rPr>
          <w:i/>
        </w:rPr>
        <w:t xml:space="preserve">Revises the Project Acceptance Tests of 12 August. Project-level criteria </w:t>
      </w:r>
      <w:r>
        <w:rPr>
          <w:b/>
          <w:i/>
        </w:rPr>
        <w:t>P-1 to P-8 are unchanged in wording</w:t>
      </w:r>
      <w:r>
        <w:rPr>
          <w:i/>
        </w:rPr>
        <w:t xml:space="preserve">; each now carries its status and the evidence. Story-level tests are restructured around the three dataset pairs, matching how the team actually worked (D-08). As in the original: </w:t>
      </w:r>
      <w:r>
        <w:rPr>
          <w:b/>
          <w:i/>
        </w:rPr>
        <w:t>a test can pass on a negative result.</w:t>
      </w:r>
      <w:r>
        <w:rPr>
          <w:i/>
        </w:rPr>
        <w:t xml:space="preserve"> A search that finds no suitable dataset, or a toolchain shown to be impractical, satisfies its test provided the finding is recorded with evidence.</w:t>
      </w:r>
    </w:p>
    <w:p>
      <w:pPr>
        <w:pStyle w:val="Heading2"/>
      </w:pPr>
      <w:r>
        <w:t>1. Project-level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P-1</w:t>
            </w:r>
          </w:p>
        </w:tc>
        <w:tc>
          <w:tcPr>
            <w:tcW w:type="dxa" w:w="2160"/>
          </w:tcPr>
          <w:p>
            <w:r/>
            <w:r>
              <w:t>Adrian accepts the findings, sensor comparison and experimental record as useful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Cannot be assessed</w:t>
            </w:r>
          </w:p>
        </w:tc>
        <w:tc>
          <w:tcPr>
            <w:tcW w:type="dxa" w:w="2160"/>
          </w:tcPr>
          <w:p>
            <w:r/>
            <w:r>
              <w:t>Requires client review. No response since 11 Aug. Assessed at Sprint 3 handover if available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P-2</w:t>
            </w:r>
          </w:p>
        </w:tc>
        <w:tc>
          <w:tcPr>
            <w:tcW w:type="dxa" w:w="2160"/>
          </w:tcPr>
          <w:p>
            <w:r/>
            <w:r>
              <w:t>The team can explain the stack, modalities and 4D RADAR from documented evidence rather than intuition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t>Per-dataset surveys and the project handbook trace claims to sources. The cross-team sensor survey (WS1) is unwritten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P-3</w:t>
            </w:r>
          </w:p>
        </w:tc>
        <w:tc>
          <w:tcPr>
            <w:tcW w:type="dxa" w:w="2160"/>
          </w:tcPr>
          <w:p>
            <w:r/>
            <w:r>
              <w:t>Results from different people and models are recorded in one consistent format, comparable within a dataset per D-01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results/</w:t>
            </w:r>
            <w:r>
              <w:t xml:space="preserve"> store; </w:t>
            </w:r>
            <w:r>
              <w:rPr>
                <w:rFonts w:ascii="Consolas" w:hAnsi="Consolas"/>
                <w:color w:val="B03060"/>
              </w:rPr>
              <w:t>dataset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sensor_configuration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annotation_schema</w:t>
            </w:r>
            <w:r>
              <w:t xml:space="preserve"> are mandatory non-blank fields. Records from two members validate against one schema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P-4</w:t>
            </w:r>
          </w:p>
        </w:tc>
        <w:tc>
          <w:tcPr>
            <w:tcW w:type="dxa" w:w="2160"/>
          </w:tcPr>
          <w:p>
            <w:r/>
            <w:r>
              <w:t>Failed and inconclusive attempts recorded as findings, with environment, error and recommendation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2160"/>
          </w:tcPr>
          <w:p>
            <w:r/>
            <w:r>
              <w:t xml:space="preserve">Record 0005 (PTv3 impossible on Apple Silicon) and 0006 (partial run, stopped) are first-class records. The validator </w:t>
            </w:r>
            <w:r>
              <w:rPr>
                <w:i/>
              </w:rPr>
              <w:t>rejects</w:t>
            </w:r>
            <w:r>
              <w:t xml:space="preserve"> a failure record missing </w:t>
            </w:r>
            <w:r>
              <w:rPr>
                <w:rFonts w:ascii="Consolas" w:hAnsi="Consolas"/>
                <w:color w:val="B03060"/>
              </w:rPr>
              <w:t>error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attempted_fixes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blocker</w:t>
            </w:r>
            <w:r>
              <w:t xml:space="preserve"> or </w:t>
            </w:r>
            <w:r>
              <w:rPr>
                <w:rFonts w:ascii="Consolas" w:hAnsi="Consolas"/>
                <w:color w:val="B03060"/>
              </w:rPr>
              <w:t>recommendation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P-5</w:t>
            </w:r>
          </w:p>
        </w:tc>
        <w:tc>
          <w:tcPr>
            <w:tcW w:type="dxa" w:w="2160"/>
          </w:tcPr>
          <w:p>
            <w:r/>
            <w:r>
              <w:t>A person outside the team can clone the repository and reproduce a documented result from a clean machine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t>Ricky reproduced the 961-frame result on Windows from Damien's macOS documentation. This is useful cross-platform evidence, but both are team members; reproduction by an outside-team reader remains outstanding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P-6</w:t>
            </w:r>
          </w:p>
        </w:tc>
        <w:tc>
          <w:tcPr>
            <w:tcW w:type="dxa" w:w="2160"/>
          </w:tcPr>
          <w:p>
            <w:r/>
            <w:r>
              <w:t>A reader unfamiliar with the project can identify the key finding without narration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docs/evidence/goose_client_figure.png</w:t>
            </w:r>
            <w:r>
              <w:t xml:space="preserve"> produced for this purpose. </w:t>
            </w:r>
            <w:r>
              <w:rPr>
                <w:b/>
              </w:rPr>
              <w:t>The cold-read test has not been performed</w:t>
            </w:r>
            <w:r>
              <w:t xml:space="preserve"> — see §4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P-7</w:t>
            </w:r>
          </w:p>
        </w:tc>
        <w:tc>
          <w:tcPr>
            <w:tcW w:type="dxa" w:w="2160"/>
          </w:tcPr>
          <w:p>
            <w:r/>
            <w:r>
              <w:t>Where delivered scope differs from intended scope, the variance is documented and was raised with Adrian at the time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t xml:space="preserve">Variance is documented in §9 of the Revised Scope of Work and </w:t>
            </w:r>
            <w:r>
              <w:rPr>
                <w:rFonts w:ascii="Consolas" w:hAnsi="Consolas"/>
                <w:color w:val="B03060"/>
              </w:rPr>
              <w:t>decision-log.md</w:t>
            </w:r>
            <w:r>
              <w:t>. The cited client notes are unsent drafts; a dated sent communication is needed to verify notification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P-8</w:t>
            </w:r>
          </w:p>
        </w:tc>
        <w:tc>
          <w:tcPr>
            <w:tcW w:type="dxa" w:w="2160"/>
          </w:tcPr>
          <w:p>
            <w:r/>
            <w:r>
              <w:t>The long-range question (D-04) is answered either way, with evidence — including if we could not test 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met, and narrower than previously claimed</w:t>
            </w:r>
          </w:p>
        </w:tc>
        <w:tc>
          <w:tcPr>
            <w:tcW w:type="dxa" w:w="2160"/>
          </w:tcPr>
          <w:p>
            <w:r/>
            <w:r>
              <w:t xml:space="preserve">GOOSE has sparse long-range coverage (3.8% of points beyond 100 m) and no paired labelled radar in the released assets used here. TruckDrive measured 6,746 radar </w:t>
            </w:r>
            <w:r>
              <w:rPr>
                <w:b/>
              </w:rPr>
              <w:t>returns</w:t>
            </w:r>
            <w:r>
              <w:t xml:space="preserve"> at ≥150 m — </w:t>
            </w:r>
            <w:r>
              <w:rPr>
                <w:i/>
              </w:rPr>
              <w:t>sensor returns, not detections; point presence alone is not detection evidence</w:t>
            </w:r>
            <w:r>
              <w:t xml:space="preserve">. TruckScenes' stock evaluator </w:t>
            </w:r>
            <w:r>
              <w:rPr>
                <w:b/>
              </w:rPr>
              <w:t>filters classes at 75 m or 150 m and therefore produces no detection score beyond 150 m</w:t>
            </w:r>
            <w:r>
              <w:t xml:space="preserve">, so testing D-04 there needs an approved custom evaluator configuration. FCOS3D's aggregate zero does not establish a range-dependent failure; </w:t>
            </w:r>
            <w:r>
              <w:rPr>
                <w:b/>
              </w:rPr>
              <w:t>nothing is yet reported by range band</w:t>
            </w:r>
          </w:p>
        </w:tc>
      </w:tr>
    </w:tbl>
    <w:p/>
    <w:p>
      <w:pPr>
        <w:ind w:left="480"/>
        <w:jc w:val="left"/>
      </w:pPr>
      <w:r>
        <w:rPr>
          <w:b/>
          <w:i/>
        </w:rPr>
        <w:t>Provenance.</w:t>
      </w:r>
      <w:r>
        <w:rPr>
          <w:i/>
        </w:rPr>
        <w:t xml:space="preserve"> All work cited below is merged to </w:t>
      </w:r>
      <w:r>
        <w:rPr>
          <w:rFonts w:ascii="Consolas" w:hAnsi="Consolas"/>
          <w:i/>
          <w:color w:val="B03060"/>
        </w:rPr>
        <w:t>main</w:t>
      </w:r>
      <w:r>
        <w:rPr>
          <w:i/>
        </w:rPr>
        <w:t xml:space="preserve"> as of 6 September.</w:t>
      </w:r>
    </w:p>
    <w:p>
      <w:pPr>
        <w:pStyle w:val="Heading2"/>
      </w:pPr>
      <w:r>
        <w:t>2. Per-dataset acceptance tests</w:t>
      </w:r>
    </w:p>
    <w:p>
      <w:r>
        <w:t>Each pair is assessed on the same five tests. This is what makes three parallel efforts comparable without comparing the datasets themselves — which D-01 forbids.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GOOSE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TruckScenes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TruckDrive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DS-1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the dataset and its devkit, </w:t>
            </w:r>
            <w:r>
              <w:rPr>
                <w:i/>
              </w:rPr>
              <w:t>when</w:t>
            </w:r>
            <w:r>
              <w:t xml:space="preserve"> installed on a team machine, </w:t>
            </w:r>
            <w:r>
              <w:rPr>
                <w:i/>
              </w:rPr>
              <w:t>then</w:t>
            </w:r>
            <w:r>
              <w:t xml:space="preserve"> it loads without undocumented steps</w:t>
            </w:r>
          </w:p>
        </w:tc>
        <w:tc>
          <w:tcPr>
            <w:tcW w:type="dxa" w:w="1728"/>
          </w:tcPr>
          <w:p>
            <w:r/>
            <w:r>
              <w:t>✅ macOS + Windows</w:t>
            </w:r>
          </w:p>
        </w:tc>
        <w:tc>
          <w:tcPr>
            <w:tcW w:type="dxa" w:w="1728"/>
          </w:tcPr>
          <w:p>
            <w:r/>
            <w:r>
              <w:t>✅ macOS</w:t>
            </w:r>
          </w:p>
        </w:tc>
        <w:tc>
          <w:tcPr>
            <w:tcW w:type="dxa" w:w="1728"/>
          </w:tcPr>
          <w:p>
            <w:r/>
            <w:r>
              <w:t>✅ Windows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DS-2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sample data, </w:t>
            </w:r>
            <w:r>
              <w:rPr>
                <w:i/>
              </w:rPr>
              <w:t>when</w:t>
            </w:r>
            <w:r>
              <w:t xml:space="preserve"> the available tools are used, </w:t>
            </w:r>
            <w:r>
              <w:rPr>
                <w:i/>
              </w:rPr>
              <w:t>then</w:t>
            </w:r>
            <w:r>
              <w:t xml:space="preserve"> LiDAR and radar are loaded and visualised</w:t>
            </w:r>
          </w:p>
        </w:tc>
        <w:tc>
          <w:tcPr>
            <w:tcW w:type="dxa" w:w="1728"/>
          </w:tcPr>
          <w:p>
            <w:r/>
            <w:r>
              <w:t xml:space="preserve">✅ LiDAR; radar </w:t>
            </w:r>
            <w:r>
              <w:rPr>
                <w:b/>
              </w:rPr>
              <w:t>not distributed</w:t>
            </w:r>
          </w:p>
        </w:tc>
        <w:tc>
          <w:tcPr>
            <w:tcW w:type="dxa" w:w="1728"/>
          </w:tcPr>
          <w:p>
            <w:r/>
            <w:r>
              <w:t xml:space="preserve">✅ LiDAR </w:t>
            </w:r>
            <w:r>
              <w:rPr>
                <w:b/>
              </w:rPr>
              <w:t>and radar</w:t>
            </w:r>
            <w:r>
              <w:t>, in clear, snow and rain</w:t>
            </w:r>
          </w:p>
        </w:tc>
        <w:tc>
          <w:tcPr>
            <w:tcW w:type="dxa" w:w="1728"/>
          </w:tcPr>
          <w:p>
            <w:r/>
            <w:r>
              <w:t>✅ Camera, LiDAR and radar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DS-3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the split,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scale, class distribution and range distribution are reported as measurements, not estimates</w:t>
            </w:r>
          </w:p>
        </w:tc>
        <w:tc>
          <w:tcPr>
            <w:tcW w:type="dxa" w:w="1728"/>
          </w:tcPr>
          <w:p>
            <w:r/>
            <w:r>
              <w:t>✅ 961 frames, 174,891,807 points</w:t>
            </w:r>
          </w:p>
        </w:tc>
        <w:tc>
          <w:tcPr>
            <w:tcW w:type="dxa" w:w="1728"/>
          </w:tcPr>
          <w:p>
            <w:r/>
            <w:r>
              <w:t>✅ mini split characterised</w:t>
            </w:r>
          </w:p>
        </w:tc>
        <w:tc>
          <w:tcPr>
            <w:tcW w:type="dxa" w:w="1728"/>
          </w:tcPr>
          <w:p>
            <w:r/>
            <w:r>
              <w:t>✅ 24 scenes, 12,502 radar frames, 526,148 boxes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DS-4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the survey, </w:t>
            </w:r>
            <w:r>
              <w:rPr>
                <w:i/>
              </w:rPr>
              <w:t>when</w:t>
            </w:r>
            <w:r>
              <w:t xml:space="preserve"> read by someone who has not used the dataset, </w:t>
            </w:r>
            <w:r>
              <w:rPr>
                <w:i/>
              </w:rPr>
              <w:t>then</w:t>
            </w:r>
            <w:r>
              <w:t xml:space="preserve"> they can state what it can and cannot answer</w:t>
            </w:r>
          </w:p>
        </w:tc>
        <w:tc>
          <w:tcPr>
            <w:tcW w:type="dxa" w:w="1728"/>
          </w:tcPr>
          <w:p>
            <w:r/>
            <w:r>
              <w:t>⚠️ survey written; cold read outstanding</w:t>
            </w:r>
          </w:p>
        </w:tc>
        <w:tc>
          <w:tcPr>
            <w:tcW w:type="dxa" w:w="1728"/>
          </w:tcPr>
          <w:p>
            <w:r/>
            <w:r>
              <w:t>⚠️ draft survey written; independent cold read outstanding</w:t>
            </w:r>
          </w:p>
        </w:tc>
        <w:tc>
          <w:tcPr>
            <w:tcW w:type="dxa" w:w="1728"/>
          </w:tcPr>
          <w:p>
            <w:r/>
            <w:r>
              <w:t>⚠️ statistics recorded; survey not in template form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DS-5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any result, </w:t>
            </w:r>
            <w:r>
              <w:rPr>
                <w:i/>
              </w:rPr>
              <w:t>when</w:t>
            </w:r>
            <w:r>
              <w:t xml:space="preserve"> recorded, </w:t>
            </w:r>
            <w:r>
              <w:rPr>
                <w:i/>
              </w:rPr>
              <w:t>then</w:t>
            </w:r>
            <w:r>
              <w:t xml:space="preserve"> it validates against the shared schema</w:t>
            </w:r>
          </w:p>
        </w:tc>
        <w:tc>
          <w:tcPr>
            <w:tcW w:type="dxa" w:w="1728"/>
          </w:tcPr>
          <w:p>
            <w:r/>
            <w:r>
              <w:t>✅ 6 records</w:t>
            </w:r>
          </w:p>
        </w:tc>
        <w:tc>
          <w:tcPr>
            <w:tcW w:type="dxa" w:w="1728"/>
          </w:tcPr>
          <w:p>
            <w:r/>
            <w:r>
              <w:t>✅ 4 records</w:t>
            </w:r>
          </w:p>
        </w:tc>
        <w:tc>
          <w:tcPr>
            <w:tcW w:type="dxa" w:w="1728"/>
          </w:tcPr>
          <w:p>
            <w:r/>
            <w:r>
              <w:t xml:space="preserve">⚠️ statistics recorded outside </w:t>
            </w:r>
            <w:r>
              <w:rPr>
                <w:rFonts w:ascii="Consolas" w:hAnsi="Consolas"/>
                <w:color w:val="B03060"/>
              </w:rPr>
              <w:t>results/</w:t>
            </w:r>
          </w:p>
        </w:tc>
      </w:tr>
    </w:tbl>
    <w:p/>
    <w:p>
      <w:r>
        <w:rPr>
          <w:b/>
        </w:rPr>
        <w:t>Reading the gaps honestly.</w:t>
      </w:r>
      <w:r>
        <w:t xml:space="preserve"> A written survey does not satisfy the independent cold-read test. TruckDrive's findings also remain outside the shared survey template and results store. TruckScenes' survey, exploration records and FCOS3D submission are merged through #21 and #27. Independent comprehension checks remain outstanding.</w:t>
      </w:r>
    </w:p>
    <w:p>
      <w:pPr>
        <w:pStyle w:val="Heading2"/>
      </w:pPr>
      <w:r>
        <w:t>3. Story-level tests by pair</w:t>
      </w:r>
    </w:p>
    <w:p>
      <w:pPr>
        <w:pStyle w:val="Heading3"/>
      </w:pPr>
      <w:r>
        <w:t>3.1 Damien &amp; Ricky — GOOSE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Environment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documentation written on macOS, </w:t>
            </w:r>
            <w:r>
              <w:rPr>
                <w:i/>
              </w:rPr>
              <w:t>when</w:t>
            </w:r>
            <w:r>
              <w:t xml:space="preserve"> followed on Windows, </w:t>
            </w:r>
            <w:r>
              <w:rPr>
                <w:i/>
              </w:rPr>
              <w:t>then</w:t>
            </w:r>
            <w:r>
              <w:t xml:space="preserve"> the same result is produced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961 frames on both</w:t>
            </w:r>
          </w:p>
        </w:tc>
      </w:tr>
      <w:tr>
        <w:tc>
          <w:tcPr>
            <w:tcW w:type="dxa" w:w="2880"/>
          </w:tcPr>
          <w:p>
            <w:r/>
            <w:r>
              <w:t>Characterisation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all 961 frames,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class, range and per-frame distributions are reported with the script that produced them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Traversability mapping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64 classes, </w:t>
            </w:r>
            <w:r>
              <w:rPr>
                <w:i/>
              </w:rPr>
              <w:t>when</w:t>
            </w:r>
            <w:r>
              <w:t xml:space="preserve"> mapped to four traversability levels, </w:t>
            </w:r>
            <w:r>
              <w:rPr>
                <w:i/>
              </w:rPr>
              <w:t>then</w:t>
            </w:r>
            <w:r>
              <w:t xml:space="preserve"> every class has a written rationale and the file validates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64/64 with rationales</w:t>
            </w:r>
          </w:p>
        </w:tc>
      </w:tr>
      <w:tr>
        <w:tc>
          <w:tcPr>
            <w:tcW w:type="dxa" w:w="2880"/>
          </w:tcPr>
          <w:p>
            <w:r/>
            <w:r>
              <w:t>Traversability rendering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mapping, </w:t>
            </w:r>
            <w:r>
              <w:rPr>
                <w:i/>
              </w:rPr>
              <w:t>when</w:t>
            </w:r>
            <w:r>
              <w:t xml:space="preserve"> applied, </w:t>
            </w:r>
            <w:r>
              <w:rPr>
                <w:i/>
              </w:rPr>
              <w:t>then</w:t>
            </w:r>
            <w:r>
              <w:t xml:space="preserve"> the drivable region is visually coherent in at least 6 of 8 scenarios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 8 of 8</w:t>
            </w:r>
          </w:p>
        </w:tc>
      </w:tr>
      <w:tr>
        <w:tc>
          <w:tcPr>
            <w:tcW w:type="dxa" w:w="2880"/>
          </w:tcPr>
          <w:p>
            <w:r/>
            <w:r>
              <w:t>Client figure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figure, </w:t>
            </w:r>
            <w:r>
              <w:rPr>
                <w:i/>
              </w:rPr>
              <w:t>when</w:t>
            </w:r>
            <w:r>
              <w:t xml:space="preserve"> shown to a reader unfamiliar with the project, </w:t>
            </w:r>
            <w:r>
              <w:rPr>
                <w:i/>
              </w:rPr>
              <w:t>then</w:t>
            </w:r>
            <w:r>
              <w:t xml:space="preserve"> they identify the finding in under 60 seconds without narration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tested</w:t>
            </w:r>
            <w:r>
              <w:t xml:space="preserve"> — needs a person outside the pair</w:t>
            </w:r>
          </w:p>
        </w:tc>
      </w:tr>
      <w:tr>
        <w:tc>
          <w:tcPr>
            <w:tcW w:type="dxa" w:w="2880"/>
          </w:tcPr>
          <w:p>
            <w:r/>
            <w:r>
              <w:t>Survey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§7, </w:t>
            </w:r>
            <w:r>
              <w:rPr>
                <w:i/>
              </w:rPr>
              <w:t>when</w:t>
            </w:r>
            <w:r>
              <w:t xml:space="preserve"> read cold, </w:t>
            </w:r>
            <w:r>
              <w:rPr>
                <w:i/>
              </w:rPr>
              <w:t>then</w:t>
            </w:r>
            <w:r>
              <w:t xml:space="preserve"> the reader can state what GOOSE can and cannot answer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tested</w:t>
            </w:r>
            <w:r>
              <w:t xml:space="preserve"> — same reason</w:t>
            </w:r>
          </w:p>
        </w:tc>
      </w:tr>
      <w:tr>
        <w:tc>
          <w:tcPr>
            <w:tcW w:type="dxa" w:w="2880"/>
          </w:tcPr>
          <w:p>
            <w:r/>
            <w:r>
              <w:t>Results store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 record missing a mandatory field, </w:t>
            </w:r>
            <w:r>
              <w:rPr>
                <w:i/>
              </w:rPr>
              <w:t>when</w:t>
            </w:r>
            <w:r>
              <w:t xml:space="preserve"> validated, </w:t>
            </w:r>
            <w:r>
              <w:rPr>
                <w:i/>
              </w:rPr>
              <w:t>then</w:t>
            </w:r>
            <w:r>
              <w:t xml:space="preserve"> it is rejected with a message naming the decision it breaches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Model run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published baseline, </w:t>
            </w:r>
            <w:r>
              <w:rPr>
                <w:i/>
              </w:rPr>
              <w:t>when</w:t>
            </w:r>
            <w:r>
              <w:t xml:space="preserve"> attempted, </w:t>
            </w:r>
            <w:r>
              <w:rPr>
                <w:i/>
              </w:rPr>
              <w:t>then</w:t>
            </w:r>
            <w:r>
              <w:t xml:space="preserve"> either a comparable number or a dated failure record with error, fixes attempted and recommendation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 on the second branch.</w:t>
            </w:r>
            <w:r>
              <w:t xml:space="preserve"> Impossible on Apple Silicon (0005); ran in FP32 on GTX 1660, stopped at 10/961 frames (0006)</w:t>
            </w:r>
          </w:p>
        </w:tc>
      </w:tr>
    </w:tbl>
    <w:p/>
    <w:p>
      <w:pPr>
        <w:pStyle w:val="Heading3"/>
      </w:pPr>
      <w:r>
        <w:t>3.2 Aiden &amp; Fatima — MAN TruckScenes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Devkit feasibility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truckscenes-devkit</w:t>
            </w:r>
            <w:r>
              <w:t xml:space="preserve">, </w:t>
            </w:r>
            <w:r>
              <w:rPr>
                <w:i/>
              </w:rPr>
              <w:t>when</w:t>
            </w:r>
            <w:r>
              <w:t xml:space="preserve"> installed, </w:t>
            </w:r>
            <w:r>
              <w:rPr>
                <w:i/>
              </w:rPr>
              <w:t>then</w:t>
            </w:r>
            <w:r>
              <w:t xml:space="preserve"> a scene loads and the steps are reproducible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Sensor visualisation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sample data, </w:t>
            </w:r>
            <w:r>
              <w:rPr>
                <w:i/>
              </w:rPr>
              <w:t>when</w:t>
            </w:r>
            <w:r>
              <w:t xml:space="preserve"> rendered, </w:t>
            </w:r>
            <w:r>
              <w:rPr>
                <w:i/>
              </w:rPr>
              <w:t>then</w:t>
            </w:r>
            <w:r>
              <w:t xml:space="preserve"> LiDAR </w:t>
            </w:r>
            <w:r>
              <w:rPr>
                <w:b/>
              </w:rPr>
              <w:t>and radar</w:t>
            </w:r>
            <w:r>
              <w:t xml:space="preserve"> are shown for the same scene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Adverse conditions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scenes in clear, snow and rain, </w:t>
            </w:r>
            <w:r>
              <w:rPr>
                <w:i/>
              </w:rPr>
              <w:t>when</w:t>
            </w:r>
            <w:r>
              <w:t xml:space="preserve"> compared, </w:t>
            </w:r>
            <w:r>
              <w:rPr>
                <w:i/>
              </w:rPr>
              <w:t>then</w:t>
            </w:r>
            <w:r>
              <w:t xml:space="preserve"> differences in sensor return are visible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This is the only direct multi-condition radar/LiDAR comparison the team has produced</w:t>
            </w:r>
          </w:p>
        </w:tc>
      </w:tr>
      <w:tr>
        <w:tc>
          <w:tcPr>
            <w:tcW w:type="dxa" w:w="2880"/>
          </w:tcPr>
          <w:p>
            <w:r/>
            <w:r>
              <w:t>Characterisation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mini split,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scale and composition are reported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Survey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survey, </w:t>
            </w:r>
            <w:r>
              <w:rPr>
                <w:i/>
              </w:rPr>
              <w:t>when</w:t>
            </w:r>
            <w:r>
              <w:t xml:space="preserve"> read cold, </w:t>
            </w:r>
            <w:r>
              <w:rPr>
                <w:i/>
              </w:rPr>
              <w:t>then</w:t>
            </w:r>
            <w:r>
              <w:t xml:space="preserve"> the reader can state what TruckScenes can and cannot answer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tested</w:t>
            </w:r>
            <w:r>
              <w:t xml:space="preserve"> — draft survey exists; independent reader and outcome not recorded</w:t>
            </w:r>
          </w:p>
        </w:tc>
      </w:tr>
      <w:tr>
        <w:tc>
          <w:tcPr>
            <w:tcW w:type="dxa" w:w="2880"/>
          </w:tcPr>
          <w:p>
            <w:r/>
            <w:r>
              <w:t>Results recorded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results, </w:t>
            </w:r>
            <w:r>
              <w:rPr>
                <w:i/>
              </w:rPr>
              <w:t>when</w:t>
            </w:r>
            <w:r>
              <w:t xml:space="preserve"> recorded, </w:t>
            </w:r>
            <w:r>
              <w:rPr>
                <w:i/>
              </w:rPr>
              <w:t>then</w:t>
            </w:r>
            <w:r>
              <w:t xml:space="preserve"> they validate against the shared schema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4 records; the CPU evaluator smoke check is synthetic, not a model run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Model run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an existing open-source detector, </w:t>
            </w:r>
            <w:r>
              <w:rPr>
                <w:i/>
              </w:rPr>
              <w:t>when</w:t>
            </w:r>
            <w:r>
              <w:t xml:space="preserve"> run against the dataset, </w:t>
            </w:r>
            <w:r>
              <w:rPr>
                <w:i/>
              </w:rPr>
              <w:t>then</w:t>
            </w:r>
            <w:r>
              <w:t xml:space="preserve"> either a scored result or a dated failure record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Scored result recorded.</w:t>
            </w:r>
            <w:r>
              <w:t xml:space="preserve"> FCOS3D's 80-token </w:t>
            </w:r>
            <w:r>
              <w:rPr>
                <w:rFonts w:ascii="Consolas" w:hAnsi="Consolas"/>
                <w:color w:val="B03060"/>
              </w:rPr>
              <w:t>mini_val</w:t>
            </w:r>
            <w:r>
              <w:t xml:space="preserve"> submission reports </w:t>
            </w:r>
            <w:r>
              <w:rPr>
                <w:b/>
              </w:rPr>
              <w:t>mAP 0.0000</w:t>
            </w:r>
            <w:r>
              <w:t>. Confirm inference completion on its 17 empty entries; the cause of the zero remains unresolved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Metric discipline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 metric not yet defined in </w:t>
            </w:r>
            <w:r>
              <w:rPr>
                <w:rFonts w:ascii="Consolas" w:hAnsi="Consolas"/>
                <w:color w:val="B03060"/>
              </w:rPr>
              <w:t>metrics-definitions.md</w:t>
            </w:r>
            <w:r>
              <w:t xml:space="preserve">, </w:t>
            </w:r>
            <w:r>
              <w:rPr>
                <w:i/>
              </w:rPr>
              <w:t>when</w:t>
            </w:r>
            <w:r>
              <w:t xml:space="preserve"> a result is recorded, </w:t>
            </w:r>
            <w:r>
              <w:rPr>
                <w:i/>
              </w:rPr>
              <w:t>then</w:t>
            </w:r>
            <w:r>
              <w:t xml:space="preserve"> it is withheld rather than reported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NDS and the TP errors were deliberately held back and raised as an open item</w:t>
            </w:r>
          </w:p>
        </w:tc>
      </w:tr>
    </w:tbl>
    <w:p/>
    <w:p>
      <w:pPr>
        <w:pStyle w:val="Heading3"/>
      </w:pPr>
      <w:r>
        <w:t>3.3 Fariya &amp; Kelsey — TruckDrive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Viewer feasibility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official viewer, </w:t>
            </w:r>
            <w:r>
              <w:rPr>
                <w:i/>
              </w:rPr>
              <w:t>when</w:t>
            </w:r>
            <w:r>
              <w:t xml:space="preserve"> installed on Windows, </w:t>
            </w:r>
            <w:r>
              <w:rPr>
                <w:i/>
              </w:rPr>
              <w:t>then</w:t>
            </w:r>
            <w:r>
              <w:t xml:space="preserve"> it loads and displays scene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Multimodal loading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 scene, </w:t>
            </w:r>
            <w:r>
              <w:rPr>
                <w:i/>
              </w:rPr>
              <w:t>when</w:t>
            </w:r>
            <w:r>
              <w:t xml:space="preserve"> loaded, </w:t>
            </w:r>
            <w:r>
              <w:rPr>
                <w:i/>
              </w:rPr>
              <w:t>then</w:t>
            </w:r>
            <w:r>
              <w:t xml:space="preserve"> camera, LiDAR and radar are all verified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Evidence for </w:t>
            </w:r>
            <w:r>
              <w:rPr>
                <w:rFonts w:ascii="Consolas" w:hAnsi="Consolas"/>
                <w:color w:val="B03060"/>
              </w:rPr>
              <w:t>scene_28_1</w:t>
            </w:r>
          </w:p>
        </w:tc>
      </w:tr>
      <w:tr>
        <w:tc>
          <w:tcPr>
            <w:tcW w:type="dxa" w:w="2880"/>
          </w:tcPr>
          <w:p>
            <w:r/>
            <w:r>
              <w:t>Data preparation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mini split, </w:t>
            </w:r>
            <w:r>
              <w:rPr>
                <w:i/>
              </w:rPr>
              <w:t>when</w:t>
            </w:r>
            <w:r>
              <w:t xml:space="preserve"> prepared, </w:t>
            </w:r>
            <w:r>
              <w:rPr>
                <w:i/>
              </w:rPr>
              <w:t>then</w:t>
            </w:r>
            <w:r>
              <w:t xml:space="preserve"> radar, annotations, calibration and poses are available across all 24 scenes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/>
            <w:r>
              <w:t>Characterisation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mini split,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scale and composition are reported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12,502 radar frames; 526,148 boxes; 27 classes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Long-range evidence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radar frames, </w:t>
            </w:r>
            <w:r>
              <w:rPr>
                <w:i/>
              </w:rPr>
              <w:t>when</w:t>
            </w:r>
            <w:r>
              <w:t xml:space="preserve"> analysed by range, </w:t>
            </w:r>
            <w:r>
              <w:rPr>
                <w:i/>
              </w:rPr>
              <w:t>then</w:t>
            </w:r>
            <w:r>
              <w:t xml:space="preserve"> returns beyond 150 m are quantified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 6,746 radar returns at ≥150 m</w:t>
            </w:r>
            <w:r>
              <w:t xml:space="preserve"> across 24 sampled frames. This establishes the sensor produces data at range; it is </w:t>
            </w:r>
            <w:r>
              <w:rPr>
                <w:b/>
              </w:rPr>
              <w:t>not</w:t>
            </w:r>
            <w:r>
              <w:t xml:space="preserve"> detection evidence and does not on its own answer D-04</w:t>
            </w:r>
          </w:p>
        </w:tc>
      </w:tr>
      <w:tr>
        <w:tc>
          <w:tcPr>
            <w:tcW w:type="dxa" w:w="2880"/>
          </w:tcPr>
          <w:p>
            <w:r/>
            <w:r>
              <w:t>Survey and records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findings, </w:t>
            </w:r>
            <w:r>
              <w:rPr>
                <w:i/>
              </w:rPr>
              <w:t>when</w:t>
            </w:r>
            <w:r>
              <w:t xml:space="preserve"> recorded, </w:t>
            </w:r>
            <w:r>
              <w:rPr>
                <w:i/>
              </w:rPr>
              <w:t>then</w:t>
            </w:r>
            <w:r>
              <w:t xml:space="preserve"> they use the shared survey template and results schema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met.</w:t>
            </w:r>
            <w:r>
              <w:t xml:space="preserve"> Findings exist but sit outside the shared artefacts</w:t>
            </w:r>
          </w:p>
        </w:tc>
      </w:tr>
      <w:tr>
        <w:tc>
          <w:tcPr>
            <w:tcW w:type="dxa" w:w="2880"/>
          </w:tcPr>
          <w:p>
            <w:r/>
            <w:r>
              <w:t>Autoware feasibility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datasets and Autoware documentation, </w:t>
            </w:r>
            <w:r>
              <w:rPr>
                <w:i/>
              </w:rPr>
              <w:t>when</w:t>
            </w:r>
            <w:r>
              <w:t xml:space="preserve"> investigated, </w:t>
            </w:r>
            <w:r>
              <w:rPr>
                <w:i/>
              </w:rPr>
              <w:t>then</w:t>
            </w:r>
            <w:r>
              <w:t xml:space="preserve"> practicality is determined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attempted.</w:t>
            </w:r>
            <w:r>
              <w:t xml:space="preserve"> Deferred, D-07</w:t>
            </w:r>
          </w:p>
        </w:tc>
      </w:tr>
    </w:tbl>
    <w:p/>
    <w:p>
      <w:pPr>
        <w:pStyle w:val="Heading2"/>
      </w:pPr>
      <w:r>
        <w:t>4. Tests that require a person, not a tool</w:t>
      </w:r>
    </w:p>
    <w:p>
      <w:r>
        <w:t>Recorded separately because they cannot be satisfied by any amount of further work by the pair that produced the artefact.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Cold read of the GOOSE client figure — does a stranger identify the finding in 60 seconds?</w:t>
            </w:r>
          </w:p>
        </w:tc>
        <w:tc>
          <w:tcPr>
            <w:tcW w:type="dxa" w:w="2880"/>
          </w:tcPr>
          <w:p>
            <w:r/>
            <w:r>
              <w:t>Kelsey or Fatima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c>
          <w:tcPr>
            <w:tcW w:type="dxa" w:w="2880"/>
          </w:tcPr>
          <w:p>
            <w:r/>
            <w:r>
              <w:t>Cold read of GOOSE survey §7 — can a reader state what the dataset can and cannot answer?</w:t>
            </w:r>
          </w:p>
        </w:tc>
        <w:tc>
          <w:tcPr>
            <w:tcW w:type="dxa" w:w="2880"/>
          </w:tcPr>
          <w:p>
            <w:r/>
            <w:r>
              <w:t>Kelsey or Fatima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c>
          <w:tcPr>
            <w:tcW w:type="dxa" w:w="2880"/>
          </w:tcPr>
          <w:p>
            <w:r/>
            <w:r>
              <w:t>Cold read of the TruckScenes survey by someone who has not used it</w:t>
            </w:r>
          </w:p>
        </w:tc>
        <w:tc>
          <w:tcPr>
            <w:tcW w:type="dxa" w:w="2880"/>
          </w:tcPr>
          <w:p>
            <w:r/>
            <w:r>
              <w:t>Reviewer to be assigned outside the TruckScenes pair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c>
          <w:tcPr>
            <w:tcW w:type="dxa" w:w="2880"/>
          </w:tcPr>
          <w:p>
            <w:r/>
            <w:r>
              <w:t>Clean-machine reproduction by a person outside the team (P-5)</w:t>
            </w:r>
          </w:p>
        </w:tc>
        <w:tc>
          <w:tcPr>
            <w:tcW w:type="dxa" w:w="2880"/>
          </w:tcPr>
          <w:p>
            <w:r/>
            <w:r>
              <w:t>Outside-team reader to be assigned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c>
          <w:tcPr>
            <w:tcW w:type="dxa" w:w="2880"/>
          </w:tcPr>
          <w:p>
            <w:r/>
            <w:r>
              <w:t>Client acceptance (P-1)</w:t>
            </w:r>
          </w:p>
        </w:tc>
        <w:tc>
          <w:tcPr>
            <w:tcW w:type="dxa" w:w="2880"/>
          </w:tcPr>
          <w:p>
            <w:r/>
            <w:r>
              <w:t>Adrian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Blocked</w:t>
            </w:r>
            <w:r>
              <w:t xml:space="preserve"> — no response since 11 Aug</w:t>
            </w:r>
          </w:p>
        </w:tc>
      </w:tr>
    </w:tbl>
    <w:p/>
    <w:p>
      <w:pPr>
        <w:pStyle w:val="Heading2"/>
      </w:pPr>
      <w:r>
        <w:t>5. Assessment approach</w:t>
      </w:r>
    </w:p>
    <w:p>
      <w:pPr>
        <w:pStyle w:val="ListBullet"/>
      </w:pPr>
      <w:r>
        <w:t>Per-dataset tests (§2) are assessed at the sprint boundary by a member from a different pair.</w:t>
      </w:r>
    </w:p>
    <w:p>
      <w:pPr>
        <w:pStyle w:val="ListBullet"/>
      </w:pPr>
      <w:r>
        <w:t xml:space="preserve">Project-level criteria are assessed at the Sprint 3 handover. </w:t>
      </w:r>
      <w:r>
        <w:rPr>
          <w:b/>
        </w:rPr>
        <w:t>P-5</w:t>
      </w:r>
      <w:r>
        <w:t xml:space="preserve"> has supporting cross-platform evidence within the team; its outside-team check is still required.</w:t>
      </w:r>
    </w:p>
    <w:p>
      <w:pPr>
        <w:pStyle w:val="ListBullet"/>
      </w:pPr>
      <w:r>
        <w:t>A test that cannot be met is recorded with the reason rather than quietly dropped, and the reason is carried into the final report.</w:t>
      </w:r>
    </w:p>
    <w:p>
      <w:pPr>
        <w:pStyle w:val="ListBullet"/>
      </w:pPr>
      <w:r>
        <w:rPr>
          <w:b/>
        </w:rPr>
        <w:t>A test blocked by an external dependency is recorded as blocked, not failed.</w:t>
      </w:r>
      <w:r>
        <w:t xml:space="preserve"> P-1 is blocked on client availability; that is a failed dependency, not a team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