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Risk Register</w:t>
      </w:r>
    </w:p>
    <w:p>
      <w:r>
        <w:rPr>
          <w:b/>
        </w:rPr>
        <w:t>CITS3200 Professional Computing | Group 07 | Revision 2 | 5 September 2026</w:t>
      </w:r>
    </w:p>
    <w:p>
      <w:pPr>
        <w:ind w:left="480"/>
        <w:jc w:val="left"/>
      </w:pPr>
      <w:r>
        <w:rPr>
          <w:i/>
        </w:rPr>
        <w:t xml:space="preserve">Revises the Risk Register of 12 August. Original IDs are retained and never re-used, so R-01 here is the same risk as R-01 there. Each carries its </w:t>
      </w:r>
      <w:r>
        <w:rPr>
          <w:b/>
          <w:i/>
        </w:rPr>
        <w:t>status at 5 September</w:t>
      </w:r>
      <w:r>
        <w:rPr>
          <w:i/>
        </w:rPr>
        <w:t xml:space="preserve"> with the evidence that changed it. New risks discovered during Sprint 2 are numbered from R-28.</w:t>
      </w:r>
    </w:p>
    <w:p>
      <w:pPr>
        <w:pStyle w:val="Heading2"/>
      </w:pPr>
      <w:r>
        <w:t>Method</w:t>
      </w:r>
    </w:p>
    <w:p>
      <w:r>
        <w:t>Three rules from the original, unchanged. A risk is owned by one named person, not by the team. A dependency failing is recorded as a failed dependency, not an issue inside this project, because that changes how it is communicated to the client. Identifiers are permanent and never re-used.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Rating</w:t>
            </w:r>
          </w:p>
        </w:tc>
        <w:tc>
          <w:tcPr>
            <w:tcW w:type="dxa" w:w="2880"/>
          </w:tcPr>
          <w:p>
            <w:r>
              <w:rPr>
                <w:b/>
              </w:rPr>
            </w:r>
            <w:r>
              <w:rPr>
                <w:b/>
              </w:rPr>
              <w:t>Likelihood</w:t>
            </w:r>
          </w:p>
        </w:tc>
        <w:tc>
          <w:tcPr>
            <w:tcW w:type="dxa" w:w="2880"/>
          </w:tcPr>
          <w:p>
            <w:r>
              <w:rPr>
                <w:b/>
              </w:rPr>
            </w:r>
            <w:r>
              <w:rPr>
                <w:b/>
              </w:rPr>
              <w:t>Impact</w:t>
            </w:r>
          </w:p>
        </w:tc>
      </w:tr>
      <w:tr>
        <w:tc>
          <w:tcPr>
            <w:tcW w:type="dxa" w:w="2880"/>
          </w:tcPr>
          <w:p>
            <w:r/>
            <w:r>
              <w:t>High</w:t>
            </w:r>
          </w:p>
        </w:tc>
        <w:tc>
          <w:tcPr>
            <w:tcW w:type="dxa" w:w="2880"/>
          </w:tcPr>
          <w:p>
            <w:r/>
            <w:r>
              <w:t>Expected to occur unless acted on</w:t>
            </w:r>
          </w:p>
        </w:tc>
        <w:tc>
          <w:tcPr>
            <w:tcW w:type="dxa" w:w="2880"/>
          </w:tcPr>
          <w:p>
            <w:r/>
            <w:r>
              <w:t>Blocks a deliverable or forces a change of direction</w:t>
            </w:r>
          </w:p>
        </w:tc>
      </w:tr>
      <w:tr>
        <w:tc>
          <w:tcPr>
            <w:tcW w:type="dxa" w:w="2880"/>
          </w:tcPr>
          <w:p>
            <w:r/>
            <w:r>
              <w:t>Medium</w:t>
            </w:r>
          </w:p>
        </w:tc>
        <w:tc>
          <w:tcPr>
            <w:tcW w:type="dxa" w:w="2880"/>
          </w:tcPr>
          <w:p>
            <w:r/>
            <w:r>
              <w:t>Reasonably possible this semester</w:t>
            </w:r>
          </w:p>
        </w:tc>
        <w:tc>
          <w:tcPr>
            <w:tcW w:type="dxa" w:w="2880"/>
          </w:tcPr>
          <w:p>
            <w:r/>
            <w:r>
              <w:t>Delays a deliverable or forces significant rework</w:t>
            </w:r>
          </w:p>
        </w:tc>
      </w:tr>
      <w:tr>
        <w:tc>
          <w:tcPr>
            <w:tcW w:type="dxa" w:w="2880"/>
          </w:tcPr>
          <w:p>
            <w:r/>
            <w:r>
              <w:t>Low</w:t>
            </w:r>
          </w:p>
        </w:tc>
        <w:tc>
          <w:tcPr>
            <w:tcW w:type="dxa" w:w="2880"/>
          </w:tcPr>
          <w:p>
            <w:r/>
            <w:r>
              <w:t>Unlikely but credible</w:t>
            </w:r>
          </w:p>
        </w:tc>
        <w:tc>
          <w:tcPr>
            <w:tcW w:type="dxa" w:w="2880"/>
          </w:tcPr>
          <w:p>
            <w:r/>
            <w:r>
              <w:t>Absorbed within existing contingency</w:t>
            </w:r>
          </w:p>
        </w:tc>
      </w:tr>
    </w:tbl>
    <w:p/>
    <w:p>
      <w:r>
        <w:rPr>
          <w:b/>
        </w:rPr>
        <w:t>Status vocabulary:</w:t>
      </w:r>
      <w:r>
        <w:t xml:space="preserve"> Open · Reduced · </w:t>
      </w:r>
      <w:r>
        <w:rPr>
          <w:b/>
        </w:rPr>
        <w:t>Closed</w:t>
      </w:r>
      <w:r>
        <w:t xml:space="preserve"> · </w:t>
      </w:r>
      <w:r>
        <w:rPr>
          <w:b/>
        </w:rPr>
        <w:t>Materialised</w:t>
      </w:r>
      <w:r>
        <w:t xml:space="preserve"> (it happened) · </w:t>
      </w:r>
      <w:r>
        <w:rPr>
          <w:b/>
        </w:rPr>
        <w:t>Disproven</w:t>
      </w:r>
      <w:r>
        <w:t xml:space="preserve"> (the premise was false).</w:t>
      </w:r>
    </w:p>
    <w:p>
      <w:pPr>
        <w:pStyle w:val="Heading2"/>
      </w:pPr>
      <w:r>
        <w:t>1. Risks that materialised</w:t>
      </w:r>
    </w:p>
    <w:p>
      <w:r>
        <w:t>These are no longer forecasts. They are what actually happened, and they shaped Sprint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Risk</w:t>
            </w:r>
          </w:p>
        </w:tc>
        <w:tc>
          <w:tcPr>
            <w:tcW w:type="dxa" w:w="2160"/>
          </w:tcPr>
          <w:p>
            <w:r>
              <w:rPr>
                <w:b/>
              </w:rPr>
            </w:r>
            <w:r>
              <w:rPr>
                <w:b/>
              </w:rPr>
              <w:t>Status</w:t>
            </w:r>
          </w:p>
        </w:tc>
        <w:tc>
          <w:tcPr>
            <w:tcW w:type="dxa" w:w="2160"/>
          </w:tcPr>
          <w:p>
            <w:r>
              <w:rPr>
                <w:b/>
              </w:rPr>
            </w:r>
            <w:r>
              <w:rPr>
                <w:b/>
              </w:rPr>
              <w:t>What happened</w:t>
            </w:r>
          </w:p>
        </w:tc>
      </w:tr>
      <w:tr>
        <w:tc>
          <w:tcPr>
            <w:tcW w:type="dxa" w:w="2160"/>
          </w:tcPr>
          <w:p>
            <w:r/>
            <w:r>
              <w:rPr>
                <w:b/>
              </w:rPr>
              <w:t>R-09</w:t>
            </w:r>
          </w:p>
        </w:tc>
        <w:tc>
          <w:tcPr>
            <w:tcW w:type="dxa" w:w="2160"/>
          </w:tcPr>
          <w:p>
            <w:r/>
            <w:r>
              <w:t>Kaya access blocked by unmet application prerequisites rather than queue time</w:t>
            </w:r>
          </w:p>
        </w:tc>
        <w:tc>
          <w:tcPr>
            <w:tcW w:type="dxa" w:w="2160"/>
          </w:tcPr>
          <w:p>
            <w:r/>
            <w:r>
              <w:rPr>
                <w:b/>
              </w:rPr>
              <w:t>Materialised · High/High</w:t>
            </w:r>
          </w:p>
        </w:tc>
        <w:tc>
          <w:tcPr>
            <w:tcW w:type="dxa" w:w="2160"/>
          </w:tcPr>
          <w:p>
            <w:r/>
            <w:r>
              <w:t>Kaya access is pending. Adrian agreed to act as PI; confirm outstanding paperwork and the split of responsibilities. No alternative large-scale compute allocation is confirmed; bounded local inference has succeeded</w:t>
            </w:r>
          </w:p>
        </w:tc>
      </w:tr>
      <w:tr>
        <w:tc>
          <w:tcPr>
            <w:tcW w:type="dxa" w:w="2160"/>
          </w:tcPr>
          <w:p>
            <w:r/>
            <w:r>
              <w:rPr>
                <w:b/>
              </w:rPr>
              <w:t>R-22</w:t>
            </w:r>
          </w:p>
        </w:tc>
        <w:tc>
          <w:tcPr>
            <w:tcW w:type="dxa" w:w="2160"/>
          </w:tcPr>
          <w:p>
            <w:r/>
            <w:r>
              <w:t>No Principal Investigator secured for Kaya</w:t>
            </w:r>
          </w:p>
        </w:tc>
        <w:tc>
          <w:tcPr>
            <w:tcW w:type="dxa" w:w="2160"/>
          </w:tcPr>
          <w:p>
            <w:r/>
            <w:r>
              <w:rPr>
                <w:b/>
              </w:rPr>
              <w:t>Reduced</w:t>
            </w:r>
          </w:p>
        </w:tc>
        <w:tc>
          <w:tcPr>
            <w:tcW w:type="dxa" w:w="2160"/>
          </w:tcPr>
          <w:p>
            <w:r/>
            <w:r>
              <w:t>Adrian agreed in principle, which closed the part the team could not supply. The dependency now sits on completing the paperwork, tracked under R-09</w:t>
            </w:r>
          </w:p>
        </w:tc>
      </w:tr>
      <w:tr>
        <w:tc>
          <w:tcPr>
            <w:tcW w:type="dxa" w:w="2160"/>
          </w:tcPr>
          <w:p>
            <w:r/>
            <w:r>
              <w:rPr>
                <w:b/>
              </w:rPr>
              <w:t>R-24</w:t>
            </w:r>
          </w:p>
        </w:tc>
        <w:tc>
          <w:tcPr>
            <w:tcW w:type="dxa" w:w="2160"/>
          </w:tcPr>
          <w:p>
            <w:r/>
            <w:r>
              <w:t>GOOSE / STONE unconfirmed; access or scale may prevent the intended comparison</w:t>
            </w:r>
          </w:p>
        </w:tc>
        <w:tc>
          <w:tcPr>
            <w:tcW w:type="dxa" w:w="2160"/>
          </w:tcPr>
          <w:p>
            <w:r/>
            <w:r>
              <w:rPr>
                <w:b/>
              </w:rPr>
              <w:t>Materialised · Closed by D-06</w:t>
            </w:r>
          </w:p>
        </w:tc>
        <w:tc>
          <w:tcPr>
            <w:tcW w:type="dxa" w:w="2160"/>
          </w:tcPr>
          <w:p>
            <w:r/>
            <w:r>
              <w:t>STONE proved real, public and the only off-road dataset with annotated 4D radar — but 346 GB monolithic, no devkit, maintainers silent since March. Dropped 29 Aug</w:t>
            </w:r>
          </w:p>
        </w:tc>
      </w:tr>
      <w:tr>
        <w:tc>
          <w:tcPr>
            <w:tcW w:type="dxa" w:w="2160"/>
          </w:tcPr>
          <w:p>
            <w:r/>
            <w:r>
              <w:rPr>
                <w:b/>
              </w:rPr>
              <w:t>R-11</w:t>
            </w:r>
          </w:p>
        </w:tc>
        <w:tc>
          <w:tcPr>
            <w:tcW w:type="dxa" w:w="2160"/>
          </w:tcPr>
          <w:p>
            <w:r/>
            <w:r>
              <w:t>Scope becomes more ambitious than available hours allow</w:t>
            </w:r>
          </w:p>
        </w:tc>
        <w:tc>
          <w:tcPr>
            <w:tcW w:type="dxa" w:w="2160"/>
          </w:tcPr>
          <w:p>
            <w:r/>
            <w:r>
              <w:rPr>
                <w:b/>
              </w:rPr>
              <w:t>Materialised</w:t>
            </w:r>
          </w:p>
        </w:tc>
        <w:tc>
          <w:tcPr>
            <w:tcW w:type="dxa" w:w="2160"/>
          </w:tcPr>
          <w:p>
            <w:r/>
            <w:r>
              <w:t>Six epics across six people produced little in Sprint 1. Addressed by reorganising into three dataset pairs (D-08)</w:t>
            </w:r>
          </w:p>
        </w:tc>
      </w:tr>
      <w:tr>
        <w:tc>
          <w:tcPr>
            <w:tcW w:type="dxa" w:w="2160"/>
          </w:tcPr>
          <w:p>
            <w:r/>
            <w:r>
              <w:rPr>
                <w:b/>
              </w:rPr>
              <w:t>R-05</w:t>
            </w:r>
          </w:p>
        </w:tc>
        <w:tc>
          <w:tcPr>
            <w:tcW w:type="dxa" w:w="2160"/>
          </w:tcPr>
          <w:p>
            <w:r/>
            <w:r>
              <w:t>An open-source model does not work with the selected dataset</w:t>
            </w:r>
          </w:p>
        </w:tc>
        <w:tc>
          <w:tcPr>
            <w:tcW w:type="dxa" w:w="2160"/>
          </w:tcPr>
          <w:p>
            <w:r/>
            <w:r>
              <w:rPr>
                <w:b/>
              </w:rPr>
              <w:t>Materialised, then partly resolved</w:t>
            </w:r>
          </w:p>
        </w:tc>
        <w:tc>
          <w:tcPr>
            <w:tcW w:type="dxa" w:w="2160"/>
          </w:tcPr>
          <w:p>
            <w:r/>
            <w:r>
              <w:t>Pointcept/PTv3 could not run on Apple Silicon (CUDA-only). Reassigned to the team's GTX 1660, where it ran in FP32. Both outcomes recorded as results</w:t>
            </w:r>
          </w:p>
        </w:tc>
      </w:tr>
    </w:tbl>
    <w:p/>
    <w:p>
      <w:pPr>
        <w:pStyle w:val="Heading2"/>
      </w:pPr>
      <w:r>
        <w:t>2. Risks disproven or closed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Risk</w:t>
            </w:r>
          </w:p>
        </w:tc>
        <w:tc>
          <w:tcPr>
            <w:tcW w:type="dxa" w:w="2160"/>
          </w:tcPr>
          <w:p>
            <w:r>
              <w:rPr>
                <w:b/>
              </w:rPr>
            </w:r>
            <w:r>
              <w:rPr>
                <w:b/>
              </w:rPr>
              <w:t>Status</w:t>
            </w:r>
          </w:p>
        </w:tc>
        <w:tc>
          <w:tcPr>
            <w:tcW w:type="dxa" w:w="2160"/>
          </w:tcPr>
          <w:p>
            <w:r>
              <w:rPr>
                <w:b/>
              </w:rPr>
            </w:r>
            <w:r>
              <w:rPr>
                <w:b/>
              </w:rPr>
              <w:t>Evidence</w:t>
            </w:r>
          </w:p>
        </w:tc>
      </w:tr>
      <w:tr>
        <w:tc>
          <w:tcPr>
            <w:tcW w:type="dxa" w:w="2160"/>
          </w:tcPr>
          <w:p>
            <w:r/>
            <w:r>
              <w:rPr>
                <w:b/>
              </w:rPr>
              <w:t>R-08</w:t>
            </w:r>
          </w:p>
        </w:tc>
        <w:tc>
          <w:tcPr>
            <w:tcW w:type="dxa" w:w="2160"/>
          </w:tcPr>
          <w:p>
            <w:r/>
            <w:r>
              <w:t>No team member has a discrete NVIDIA GPU</w:t>
            </w:r>
          </w:p>
        </w:tc>
        <w:tc>
          <w:tcPr>
            <w:tcW w:type="dxa" w:w="2160"/>
          </w:tcPr>
          <w:p>
            <w:r/>
            <w:r>
              <w:rPr>
                <w:b/>
              </w:rPr>
              <w:t>Disproven</w:t>
            </w:r>
          </w:p>
        </w:tc>
        <w:tc>
          <w:tcPr>
            <w:tcW w:type="dxa" w:w="2160"/>
          </w:tcPr>
          <w:p>
            <w:r/>
            <w:r>
              <w:t xml:space="preserve">Hardware audit, 27 Aug: </w:t>
            </w:r>
            <w:r>
              <w:rPr>
                <w:b/>
              </w:rPr>
              <w:t>GTX 1660, 6 GiB</w:t>
            </w:r>
            <w:r>
              <w:t>. Bounded FP32 inference works under record 0006's patched protocol. Its ten-frame loop-body timing extrapolates to ~5 hours excluding data loading; full-split resource use is unmeasured</w:t>
            </w:r>
          </w:p>
        </w:tc>
      </w:tr>
      <w:tr>
        <w:tc>
          <w:tcPr>
            <w:tcW w:type="dxa" w:w="2160"/>
          </w:tcPr>
          <w:p>
            <w:r/>
            <w:r>
              <w:rPr>
                <w:b/>
              </w:rPr>
              <w:t>R-25</w:t>
            </w:r>
          </w:p>
        </w:tc>
        <w:tc>
          <w:tcPr>
            <w:tcW w:type="dxa" w:w="2160"/>
          </w:tcPr>
          <w:p>
            <w:r/>
            <w:r>
              <w:t>Dataset naming ambiguous — "MAN"/"TORC" versus "TruckScenes"/"TruckDrive"</w:t>
            </w:r>
          </w:p>
        </w:tc>
        <w:tc>
          <w:tcPr>
            <w:tcW w:type="dxa" w:w="2160"/>
          </w:tcPr>
          <w:p>
            <w:r/>
            <w:r>
              <w:rPr>
                <w:b/>
              </w:rPr>
              <w:t>Closed</w:t>
            </w:r>
          </w:p>
        </w:tc>
        <w:tc>
          <w:tcPr>
            <w:tcW w:type="dxa" w:w="2160"/>
          </w:tcPr>
          <w:p>
            <w:r/>
            <w:r>
              <w:t>Two distinct datasets. MAN TruckScenes is MAN + TU Munich, NeurIPS 2024; TruckDrive is Torc Robotics + Princeton, CVPR 2026. TruckDrive's own paper benchmarks against TruckScenes</w:t>
            </w:r>
          </w:p>
        </w:tc>
      </w:tr>
      <w:tr>
        <w:tc>
          <w:tcPr>
            <w:tcW w:type="dxa" w:w="2160"/>
          </w:tcPr>
          <w:p>
            <w:r/>
            <w:r>
              <w:rPr>
                <w:b/>
              </w:rPr>
              <w:t>R-02</w:t>
            </w:r>
          </w:p>
        </w:tc>
        <w:tc>
          <w:tcPr>
            <w:tcW w:type="dxa" w:w="2160"/>
          </w:tcPr>
          <w:p>
            <w:r/>
            <w:r>
              <w:t>Dataset or devkit fails to install, particularly macOS</w:t>
            </w:r>
          </w:p>
        </w:tc>
        <w:tc>
          <w:tcPr>
            <w:tcW w:type="dxa" w:w="2160"/>
          </w:tcPr>
          <w:p>
            <w:r/>
            <w:r>
              <w:rPr>
                <w:b/>
              </w:rPr>
              <w:t>Closed</w:t>
            </w:r>
          </w:p>
        </w:tc>
        <w:tc>
          <w:tcPr>
            <w:tcW w:type="dxa" w:w="2160"/>
          </w:tcPr>
          <w:p>
            <w:r/>
            <w:r>
              <w:t>All three devkits installed. GOOSE and TruckScenes on macOS; GOOSE and TruckDrive on Windows. Documented for both platforms</w:t>
            </w:r>
          </w:p>
        </w:tc>
      </w:tr>
      <w:tr>
        <w:tc>
          <w:tcPr>
            <w:tcW w:type="dxa" w:w="2160"/>
          </w:tcPr>
          <w:p>
            <w:r/>
            <w:r>
              <w:rPr>
                <w:b/>
              </w:rPr>
              <w:t>R-03</w:t>
            </w:r>
          </w:p>
        </w:tc>
        <w:tc>
          <w:tcPr>
            <w:tcW w:type="dxa" w:w="2160"/>
          </w:tcPr>
          <w:p>
            <w:r/>
            <w:r>
              <w:t>Dataset too large for personal laptops</w:t>
            </w:r>
          </w:p>
        </w:tc>
        <w:tc>
          <w:tcPr>
            <w:tcW w:type="dxa" w:w="2160"/>
          </w:tcPr>
          <w:p>
            <w:r/>
            <w:r>
              <w:rPr>
                <w:b/>
              </w:rPr>
              <w:t>Reduced</w:t>
            </w:r>
          </w:p>
        </w:tc>
        <w:tc>
          <w:tcPr>
            <w:tcW w:type="dxa" w:w="2160"/>
          </w:tcPr>
          <w:p>
            <w:r/>
            <w:r>
              <w:t>Mini and validation splits fit the available storage. Additional disk space helps but does not establish capacity for full datasets and extraction; check the intended download and working-space requirements first</w:t>
            </w:r>
          </w:p>
        </w:tc>
      </w:tr>
      <w:tr>
        <w:tc>
          <w:tcPr>
            <w:tcW w:type="dxa" w:w="2160"/>
          </w:tcPr>
          <w:p>
            <w:r/>
            <w:r>
              <w:rPr>
                <w:b/>
              </w:rPr>
              <w:t>R-10</w:t>
            </w:r>
          </w:p>
        </w:tc>
        <w:tc>
          <w:tcPr>
            <w:tcW w:type="dxa" w:w="2160"/>
          </w:tcPr>
          <w:p>
            <w:r/>
            <w:r>
              <w:t>No team member running Linux, blocking ROS 2 / Autoware</w:t>
            </w:r>
          </w:p>
        </w:tc>
        <w:tc>
          <w:tcPr>
            <w:tcW w:type="dxa" w:w="2160"/>
          </w:tcPr>
          <w:p>
            <w:r/>
            <w:r>
              <w:rPr>
                <w:b/>
              </w:rPr>
              <w:t>Open, deferred</w:t>
            </w:r>
          </w:p>
        </w:tc>
        <w:tc>
          <w:tcPr>
            <w:tcW w:type="dxa" w:w="2160"/>
          </w:tcPr>
          <w:p>
            <w:r/>
            <w:r>
              <w:t>Still true. Autoware deferred to Sprint 3 (D-07) rather than dropped</w:t>
            </w:r>
          </w:p>
        </w:tc>
      </w:tr>
    </w:tbl>
    <w:p/>
    <w:p>
      <w:pPr>
        <w:pStyle w:val="Heading2"/>
      </w:pPr>
      <w:r>
        <w:t>3. Technical and data risks — current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ID</w:t>
            </w:r>
          </w:p>
        </w:tc>
        <w:tc>
          <w:tcPr>
            <w:tcW w:type="dxa" w:w="1728"/>
          </w:tcPr>
          <w:p>
            <w:r>
              <w:rPr>
                <w:b/>
              </w:rPr>
            </w:r>
            <w:r>
              <w:rPr>
                <w:b/>
              </w:rPr>
              <w:t>Risk</w:t>
            </w:r>
          </w:p>
        </w:tc>
        <w:tc>
          <w:tcPr>
            <w:tcW w:type="dxa" w:w="1728"/>
          </w:tcPr>
          <w:p>
            <w:r>
              <w:rPr>
                <w:b/>
              </w:rPr>
            </w:r>
            <w:r>
              <w:rPr>
                <w:b/>
              </w:rPr>
              <w:t>L/I</w:t>
            </w:r>
          </w:p>
        </w:tc>
        <w:tc>
          <w:tcPr>
            <w:tcW w:type="dxa" w:w="1728"/>
          </w:tcPr>
          <w:p>
            <w:r>
              <w:rPr>
                <w:b/>
              </w:rPr>
            </w:r>
            <w:r>
              <w:rPr>
                <w:b/>
              </w:rPr>
              <w:t>Owner</w:t>
            </w:r>
          </w:p>
        </w:tc>
        <w:tc>
          <w:tcPr>
            <w:tcW w:type="dxa" w:w="1728"/>
          </w:tcPr>
          <w:p>
            <w:r>
              <w:rPr>
                <w:b/>
              </w:rPr>
            </w:r>
            <w:r>
              <w:rPr>
                <w:b/>
              </w:rPr>
              <w:t>Status and mitigation</w:t>
            </w:r>
          </w:p>
        </w:tc>
      </w:tr>
      <w:tr>
        <w:tc>
          <w:tcPr>
            <w:tcW w:type="dxa" w:w="1728"/>
          </w:tcPr>
          <w:p>
            <w:r/>
            <w:r>
              <w:t>R-01</w:t>
            </w:r>
          </w:p>
        </w:tc>
        <w:tc>
          <w:tcPr>
            <w:tcW w:type="dxa" w:w="1728"/>
          </w:tcPr>
          <w:p>
            <w:r/>
            <w:r>
              <w:t>Limited team knowledge of 4D RADAR and AV perception</w:t>
            </w:r>
          </w:p>
        </w:tc>
        <w:tc>
          <w:tcPr>
            <w:tcW w:type="dxa" w:w="1728"/>
          </w:tcPr>
          <w:p>
            <w:r/>
            <w:r>
              <w:t>Med/Med</w:t>
            </w:r>
          </w:p>
        </w:tc>
        <w:tc>
          <w:tcPr>
            <w:tcW w:type="dxa" w:w="1728"/>
          </w:tcPr>
          <w:p>
            <w:r/>
            <w:r>
              <w:t>All</w:t>
            </w:r>
          </w:p>
        </w:tc>
        <w:tc>
          <w:tcPr>
            <w:tcW w:type="dxa" w:w="1728"/>
          </w:tcPr>
          <w:p>
            <w:r/>
            <w:r>
              <w:rPr>
                <w:b/>
              </w:rPr>
              <w:t>Reduced.</w:t>
            </w:r>
            <w:r>
              <w:t xml:space="preserve"> Each pair now has working knowledge of its dataset. The cross-team survey is still unwritten</w:t>
            </w:r>
          </w:p>
        </w:tc>
      </w:tr>
      <w:tr>
        <w:tc>
          <w:tcPr>
            <w:tcW w:type="dxa" w:w="1728"/>
          </w:tcPr>
          <w:p>
            <w:r/>
            <w:r>
              <w:t>R-04</w:t>
            </w:r>
          </w:p>
        </w:tc>
        <w:tc>
          <w:tcPr>
            <w:tcW w:type="dxa" w:w="1728"/>
          </w:tcPr>
          <w:p>
            <w:r/>
            <w:r>
              <w:t>TruckDrive's non-commercial licence restricts downstream or handover use</w:t>
            </w:r>
          </w:p>
        </w:tc>
        <w:tc>
          <w:tcPr>
            <w:tcW w:type="dxa" w:w="1728"/>
          </w:tcPr>
          <w:p>
            <w:r/>
            <w:r>
              <w:t>Low/Med</w:t>
            </w:r>
          </w:p>
        </w:tc>
        <w:tc>
          <w:tcPr>
            <w:tcW w:type="dxa" w:w="1728"/>
          </w:tcPr>
          <w:p>
            <w:r/>
            <w:r>
              <w:t>Fatima</w:t>
            </w:r>
          </w:p>
        </w:tc>
        <w:tc>
          <w:tcPr>
            <w:tcW w:type="dxa" w:w="1728"/>
          </w:tcPr>
          <w:p>
            <w:r/>
            <w:r>
              <w:rPr>
                <w:b/>
              </w:rPr>
              <w:t>Open.</w:t>
            </w:r>
            <w:r>
              <w:t xml:space="preserve"> Acceptable for university work; the handover question remains unanswered because it needs the client</w:t>
            </w:r>
          </w:p>
        </w:tc>
      </w:tr>
      <w:tr>
        <w:tc>
          <w:tcPr>
            <w:tcW w:type="dxa" w:w="1728"/>
          </w:tcPr>
          <w:p>
            <w:r/>
            <w:r>
              <w:t>R-06</w:t>
            </w:r>
          </w:p>
        </w:tc>
        <w:tc>
          <w:tcPr>
            <w:tcW w:type="dxa" w:w="1728"/>
          </w:tcPr>
          <w:p>
            <w:r/>
            <w:r>
              <w:t>AI-generated code incorrect or not understood by its author</w:t>
            </w:r>
          </w:p>
        </w:tc>
        <w:tc>
          <w:tcPr>
            <w:tcW w:type="dxa" w:w="1728"/>
          </w:tcPr>
          <w:p>
            <w:r/>
            <w:r>
              <w:t>Med/Med</w:t>
            </w:r>
          </w:p>
        </w:tc>
        <w:tc>
          <w:tcPr>
            <w:tcW w:type="dxa" w:w="1728"/>
          </w:tcPr>
          <w:p>
            <w:r/>
            <w:r>
              <w:t>All</w:t>
            </w:r>
          </w:p>
        </w:tc>
        <w:tc>
          <w:tcPr>
            <w:tcW w:type="dxa" w:w="1728"/>
          </w:tcPr>
          <w:p>
            <w:r/>
            <w:r>
              <w:rPr>
                <w:b/>
              </w:rPr>
              <w:t>Open and now material.</w:t>
            </w:r>
            <w:r>
              <w:t xml:space="preserve"> The team is working AI-assisted by the client's own instruction. Mitigation: every author must be able to explain their code; PR review by another member; seven real defects were caught this way in Sprint 2</w:t>
            </w:r>
          </w:p>
        </w:tc>
      </w:tr>
      <w:tr>
        <w:tc>
          <w:tcPr>
            <w:tcW w:type="dxa" w:w="1728"/>
          </w:tcPr>
          <w:p>
            <w:r/>
            <w:r>
              <w:t>R-07</w:t>
            </w:r>
          </w:p>
        </w:tc>
        <w:tc>
          <w:tcPr>
            <w:tcW w:type="dxa" w:w="1728"/>
          </w:tcPr>
          <w:p>
            <w:r/>
            <w:r>
              <w:t>Investigation on unfamiliar tooling takes materially longer than estimated</w:t>
            </w:r>
          </w:p>
        </w:tc>
        <w:tc>
          <w:tcPr>
            <w:tcW w:type="dxa" w:w="1728"/>
          </w:tcPr>
          <w:p>
            <w:r/>
            <w:r>
              <w:t>Med/Med</w:t>
            </w:r>
          </w:p>
        </w:tc>
        <w:tc>
          <w:tcPr>
            <w:tcW w:type="dxa" w:w="1728"/>
          </w:tcPr>
          <w:p>
            <w:r/>
            <w:r>
              <w:t>Ricky</w:t>
            </w:r>
          </w:p>
        </w:tc>
        <w:tc>
          <w:tcPr>
            <w:tcW w:type="dxa" w:w="1728"/>
          </w:tcPr>
          <w:p>
            <w:r/>
            <w:r>
              <w:rPr>
                <w:b/>
              </w:rPr>
              <w:t>Reduced.</w:t>
            </w:r>
            <w:r>
              <w:t xml:space="preserve"> Time-boxing worked: the Apple Silicon CUDA blocker was identified in 15 minutes by checking prerequisites rather than debugging a build</w:t>
            </w:r>
          </w:p>
        </w:tc>
      </w:tr>
      <w:tr>
        <w:tc>
          <w:tcPr>
            <w:tcW w:type="dxa" w:w="1728"/>
          </w:tcPr>
          <w:p>
            <w:r/>
            <w:r>
              <w:t>R-21</w:t>
            </w:r>
          </w:p>
        </w:tc>
        <w:tc>
          <w:tcPr>
            <w:tcW w:type="dxa" w:w="1728"/>
          </w:tcPr>
          <w:p>
            <w:r/>
            <w:r>
              <w:t>No usable radar-first open-source detection baseline is available to the team</w:t>
            </w:r>
          </w:p>
        </w:tc>
        <w:tc>
          <w:tcPr>
            <w:tcW w:type="dxa" w:w="1728"/>
          </w:tcPr>
          <w:p>
            <w:r/>
            <w:r>
              <w:t>Med/High</w:t>
            </w:r>
          </w:p>
        </w:tc>
        <w:tc>
          <w:tcPr>
            <w:tcW w:type="dxa" w:w="1728"/>
          </w:tcPr>
          <w:p>
            <w:r/>
            <w:r>
              <w:t>Damien</w:t>
            </w:r>
          </w:p>
        </w:tc>
        <w:tc>
          <w:tcPr>
            <w:tcW w:type="dxa" w:w="1728"/>
          </w:tcPr>
          <w:p>
            <w:r/>
            <w:r>
              <w:rPr>
                <w:b/>
              </w:rPr>
              <w:t>Open.</w:t>
            </w:r>
            <w:r>
              <w:t xml:space="preserve"> The TruckScenes paper reports radar baselines, but a compatible released implementation/checkpoint and compute plan have not yet been selected. Published results alone do not establish local runnability</w:t>
            </w:r>
          </w:p>
        </w:tc>
      </w:tr>
      <w:tr>
        <w:tc>
          <w:tcPr>
            <w:tcW w:type="dxa" w:w="1728"/>
          </w:tcPr>
          <w:p>
            <w:r/>
            <w:r>
              <w:t>R-23</w:t>
            </w:r>
          </w:p>
        </w:tc>
        <w:tc>
          <w:tcPr>
            <w:tcW w:type="dxa" w:w="1728"/>
          </w:tcPr>
          <w:p>
            <w:r/>
            <w:r>
              <w:t>Results from different datasets compared on a shared axis</w:t>
            </w:r>
          </w:p>
        </w:tc>
        <w:tc>
          <w:tcPr>
            <w:tcW w:type="dxa" w:w="1728"/>
          </w:tcPr>
          <w:p>
            <w:r/>
            <w:r>
              <w:t>Med/High</w:t>
            </w:r>
          </w:p>
        </w:tc>
        <w:tc>
          <w:tcPr>
            <w:tcW w:type="dxa" w:w="1728"/>
          </w:tcPr>
          <w:p>
            <w:r/>
            <w:r>
              <w:t>Ricky</w:t>
            </w:r>
          </w:p>
        </w:tc>
        <w:tc>
          <w:tcPr>
            <w:tcW w:type="dxa" w:w="1728"/>
          </w:tcPr>
          <w:p>
            <w:r/>
            <w:r>
              <w:rPr>
                <w:b/>
              </w:rPr>
              <w:t>Reduced.</w:t>
            </w:r>
            <w:r>
              <w:t xml:space="preserve"> Now enforced by tooling: </w:t>
            </w:r>
            <w:r>
              <w:rPr>
                <w:rFonts w:ascii="Consolas" w:hAnsi="Consolas"/>
                <w:color w:val="B03060"/>
              </w:rPr>
              <w:t>dataset</w:t>
            </w:r>
            <w:r>
              <w:t xml:space="preserve">, </w:t>
            </w:r>
            <w:r>
              <w:rPr>
                <w:rFonts w:ascii="Consolas" w:hAnsi="Consolas"/>
                <w:color w:val="B03060"/>
              </w:rPr>
              <w:t>sensor_configuration</w:t>
            </w:r>
            <w:r>
              <w:t xml:space="preserve"> and </w:t>
            </w:r>
            <w:r>
              <w:rPr>
                <w:rFonts w:ascii="Consolas" w:hAnsi="Consolas"/>
                <w:color w:val="B03060"/>
              </w:rPr>
              <w:t>annotation_schema</w:t>
            </w:r>
            <w:r>
              <w:t xml:space="preserve"> are mandatory non-blank fields, and undefined metrics are rejected</w:t>
            </w:r>
          </w:p>
        </w:tc>
      </w:tr>
      <w:tr>
        <w:tc>
          <w:tcPr>
            <w:tcW w:type="dxa" w:w="1728"/>
          </w:tcPr>
          <w:p>
            <w:r/>
            <w:r>
              <w:t>R-13</w:t>
            </w:r>
          </w:p>
        </w:tc>
        <w:tc>
          <w:tcPr>
            <w:tcW w:type="dxa" w:w="1728"/>
          </w:tcPr>
          <w:p>
            <w:r/>
            <w:r>
              <w:t>Work not reproducible, weakening handover</w:t>
            </w:r>
          </w:p>
        </w:tc>
        <w:tc>
          <w:tcPr>
            <w:tcW w:type="dxa" w:w="1728"/>
          </w:tcPr>
          <w:p>
            <w:r/>
            <w:r>
              <w:t>Med/High</w:t>
            </w:r>
          </w:p>
        </w:tc>
        <w:tc>
          <w:tcPr>
            <w:tcW w:type="dxa" w:w="1728"/>
          </w:tcPr>
          <w:p>
            <w:r/>
            <w:r>
              <w:t>Fatima</w:t>
            </w:r>
          </w:p>
        </w:tc>
        <w:tc>
          <w:tcPr>
            <w:tcW w:type="dxa" w:w="1728"/>
          </w:tcPr>
          <w:p>
            <w:r/>
            <w:r>
              <w:rPr>
                <w:b/>
              </w:rPr>
              <w:t>Reduced.</w:t>
            </w:r>
            <w:r>
              <w:t xml:space="preserve"> Cross-platform reproduction achieved; environments, commands and failures recorded</w:t>
            </w:r>
          </w:p>
        </w:tc>
      </w:tr>
    </w:tbl>
    <w:p/>
    <w:p>
      <w:pPr>
        <w:pStyle w:val="Heading2"/>
      </w:pPr>
      <w:r>
        <w:t>4. New risks from Sprint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ID</w:t>
            </w:r>
          </w:p>
        </w:tc>
        <w:tc>
          <w:tcPr>
            <w:tcW w:type="dxa" w:w="1728"/>
          </w:tcPr>
          <w:p>
            <w:r>
              <w:rPr>
                <w:b/>
              </w:rPr>
            </w:r>
            <w:r>
              <w:rPr>
                <w:b/>
              </w:rPr>
              <w:t>Risk</w:t>
            </w:r>
          </w:p>
        </w:tc>
        <w:tc>
          <w:tcPr>
            <w:tcW w:type="dxa" w:w="1728"/>
          </w:tcPr>
          <w:p>
            <w:r>
              <w:rPr>
                <w:b/>
              </w:rPr>
            </w:r>
            <w:r>
              <w:rPr>
                <w:b/>
              </w:rPr>
              <w:t>L/I</w:t>
            </w:r>
          </w:p>
        </w:tc>
        <w:tc>
          <w:tcPr>
            <w:tcW w:type="dxa" w:w="1728"/>
          </w:tcPr>
          <w:p>
            <w:r>
              <w:rPr>
                <w:b/>
              </w:rPr>
            </w:r>
            <w:r>
              <w:rPr>
                <w:b/>
              </w:rPr>
              <w:t>Owner</w:t>
            </w:r>
          </w:p>
        </w:tc>
        <w:tc>
          <w:tcPr>
            <w:tcW w:type="dxa" w:w="1728"/>
          </w:tcPr>
          <w:p>
            <w:r>
              <w:rPr>
                <w:b/>
              </w:rPr>
            </w:r>
            <w:r>
              <w:rPr>
                <w:b/>
              </w:rPr>
              <w:t>Mitigation and contingency</w:t>
            </w:r>
          </w:p>
        </w:tc>
      </w:tr>
      <w:tr>
        <w:tc>
          <w:tcPr>
            <w:tcW w:type="dxa" w:w="1728"/>
          </w:tcPr>
          <w:p>
            <w:r/>
            <w:r>
              <w:rPr>
                <w:b/>
              </w:rPr>
              <w:t>R-28</w:t>
            </w:r>
          </w:p>
        </w:tc>
        <w:tc>
          <w:tcPr>
            <w:tcW w:type="dxa" w:w="1728"/>
          </w:tcPr>
          <w:p>
            <w:r/>
            <w:r>
              <w:rPr>
                <w:b/>
              </w:rPr>
              <w:t>Client unavailability blocks approval, compute and direction.</w:t>
            </w:r>
            <w:r>
              <w:t xml:space="preserve"> No response since 11 August, covering the Scope of Work, the Kaya paperwork and two licence questions</w:t>
            </w:r>
          </w:p>
        </w:tc>
        <w:tc>
          <w:tcPr>
            <w:tcW w:type="dxa" w:w="1728"/>
          </w:tcPr>
          <w:p>
            <w:r/>
            <w:r>
              <w:rPr>
                <w:b/>
              </w:rPr>
              <w:t>High/High</w:t>
            </w:r>
          </w:p>
        </w:tc>
        <w:tc>
          <w:tcPr>
            <w:tcW w:type="dxa" w:w="1728"/>
          </w:tcPr>
          <w:p>
            <w:r/>
            <w:r>
              <w:t>Damien</w:t>
            </w:r>
          </w:p>
        </w:tc>
        <w:tc>
          <w:tcPr>
            <w:tcW w:type="dxa" w:w="1728"/>
          </w:tcPr>
          <w:p>
            <w:r/>
            <w:r>
              <w:rPr>
                <w:i/>
              </w:rPr>
              <w:t>Mitigation:</w:t>
            </w:r>
            <w:r>
              <w:t xml:space="preserve"> proceed under the Sprint 1 scope as written, document all variance (D-09), and write with findings plus one specific request. </w:t>
            </w:r>
            <w:r>
              <w:rPr>
                <w:i/>
              </w:rPr>
              <w:t>Contingency:</w:t>
            </w:r>
            <w:r>
              <w:t xml:space="preserve"> continue on work needing no client input, and record the dependency as failed rather than as a team failure. </w:t>
            </w:r>
            <w:r>
              <w:rPr>
                <w:b/>
              </w:rPr>
              <w:t>This is a failed dependency on an external person, not an issue within the project</w:t>
            </w:r>
          </w:p>
        </w:tc>
      </w:tr>
      <w:tr>
        <w:tc>
          <w:tcPr>
            <w:tcW w:type="dxa" w:w="1728"/>
          </w:tcPr>
          <w:p>
            <w:r/>
            <w:r>
              <w:rPr>
                <w:b/>
              </w:rPr>
              <w:t>R-29</w:t>
            </w:r>
          </w:p>
        </w:tc>
        <w:tc>
          <w:tcPr>
            <w:tcW w:type="dxa" w:w="1728"/>
          </w:tcPr>
          <w:p>
            <w:r/>
            <w:r>
              <w:rPr>
                <w:b/>
              </w:rPr>
              <w:t>One CUDA machine on the team.</w:t>
            </w:r>
            <w:r>
              <w:t xml:space="preserve"> All model work depends on a single 6 GiB laptop GPU</w:t>
            </w:r>
          </w:p>
        </w:tc>
        <w:tc>
          <w:tcPr>
            <w:tcW w:type="dxa" w:w="1728"/>
          </w:tcPr>
          <w:p>
            <w:r/>
            <w:r>
              <w:t>High/Med</w:t>
            </w:r>
          </w:p>
        </w:tc>
        <w:tc>
          <w:tcPr>
            <w:tcW w:type="dxa" w:w="1728"/>
          </w:tcPr>
          <w:p>
            <w:r/>
            <w:r>
              <w:t>Ricky</w:t>
            </w:r>
          </w:p>
        </w:tc>
        <w:tc>
          <w:tcPr>
            <w:tcW w:type="dxa" w:w="1728"/>
          </w:tcPr>
          <w:p>
            <w:r/>
            <w:r>
              <w:rPr>
                <w:i/>
              </w:rPr>
              <w:t>Mitigation:</w:t>
            </w:r>
            <w:r>
              <w:t xml:space="preserve"> record protocol, environment and exact commands so a run is portable. </w:t>
            </w:r>
            <w:r>
              <w:rPr>
                <w:i/>
              </w:rPr>
              <w:t>Contingency:</w:t>
            </w:r>
            <w:r>
              <w:t xml:space="preserve"> Google Colab for bounded runs; Kaya if access is granted</w:t>
            </w:r>
          </w:p>
        </w:tc>
      </w:tr>
      <w:tr>
        <w:tc>
          <w:tcPr>
            <w:tcW w:type="dxa" w:w="1728"/>
          </w:tcPr>
          <w:p>
            <w:r/>
            <w:r>
              <w:rPr>
                <w:b/>
              </w:rPr>
              <w:t>R-30</w:t>
            </w:r>
          </w:p>
        </w:tc>
        <w:tc>
          <w:tcPr>
            <w:tcW w:type="dxa" w:w="1728"/>
          </w:tcPr>
          <w:p>
            <w:r/>
            <w:r>
              <w:rPr>
                <w:b/>
              </w:rPr>
              <w:t>Datasets ship multiple label taxonomies that mix silently.</w:t>
            </w:r>
            <w:r>
              <w:t xml:space="preserve"> GOOSE has a 64-class set and an 8-class remap; its challenge download contains 407 GOOSE-Ex labels among 961 base labels</w:t>
            </w:r>
          </w:p>
        </w:tc>
        <w:tc>
          <w:tcPr>
            <w:tcW w:type="dxa" w:w="1728"/>
          </w:tcPr>
          <w:p>
            <w:r/>
            <w:r>
              <w:t>Med/High</w:t>
            </w:r>
          </w:p>
        </w:tc>
        <w:tc>
          <w:tcPr>
            <w:tcW w:type="dxa" w:w="1728"/>
          </w:tcPr>
          <w:p>
            <w:r/>
            <w:r>
              <w:t>Damien</w:t>
            </w:r>
          </w:p>
        </w:tc>
        <w:tc>
          <w:tcPr>
            <w:tcW w:type="dxa" w:w="1728"/>
          </w:tcPr>
          <w:p>
            <w:r/>
            <w:r>
              <w:rPr>
                <w:i/>
              </w:rPr>
              <w:t>Mitigation:</w:t>
            </w:r>
            <w:r>
              <w:t xml:space="preserve"> loaders reject ambiguity rather than resolving it arbitrarily; every reported metric states its taxonomy. </w:t>
            </w:r>
            <w:r>
              <w:rPr>
                <w:i/>
              </w:rPr>
              <w:t>Contingency:</w:t>
            </w:r>
            <w:r>
              <w:t xml:space="preserve"> re-run affected measurements under a declared class set</w:t>
            </w:r>
          </w:p>
        </w:tc>
      </w:tr>
      <w:tr>
        <w:tc>
          <w:tcPr>
            <w:tcW w:type="dxa" w:w="1728"/>
          </w:tcPr>
          <w:p>
            <w:r/>
            <w:r>
              <w:rPr>
                <w:b/>
              </w:rPr>
              <w:t>R-31</w:t>
            </w:r>
          </w:p>
        </w:tc>
        <w:tc>
          <w:tcPr>
            <w:tcW w:type="dxa" w:w="1728"/>
          </w:tcPr>
          <w:p>
            <w:r/>
            <w:r>
              <w:rPr>
                <w:b/>
              </w:rPr>
              <w:t>No complete benchmark number exists.</w:t>
            </w:r>
          </w:p>
        </w:tc>
        <w:tc>
          <w:tcPr>
            <w:tcW w:type="dxa" w:w="1728"/>
          </w:tcPr>
          <w:p>
            <w:r/>
            <w:r>
              <w:rPr>
                <w:b/>
              </w:rPr>
              <w:t>Reduced · Med/High</w:t>
            </w:r>
          </w:p>
        </w:tc>
        <w:tc>
          <w:tcPr>
            <w:tcW w:type="dxa" w:w="1728"/>
          </w:tcPr>
          <w:p>
            <w:r/>
            <w:r>
              <w:t>Ricky</w:t>
            </w:r>
          </w:p>
        </w:tc>
        <w:tc>
          <w:tcPr>
            <w:tcW w:type="dxa" w:w="1728"/>
          </w:tcPr>
          <w:p>
            <w:r/>
            <w:r>
              <w:rPr>
                <w:b/>
              </w:rPr>
              <w:t>Changed 5 Sep.</w:t>
            </w:r>
            <w:r>
              <w:t xml:space="preserve"> A complete evaluation now exists: FCOS3D scored over all 80 TruckScenes </w:t>
            </w:r>
            <w:r>
              <w:rPr>
                <w:rFonts w:ascii="Consolas" w:hAnsi="Consolas"/>
                <w:color w:val="B03060"/>
              </w:rPr>
              <w:t>mini_val</w:t>
            </w:r>
            <w:r>
              <w:t xml:space="preserve"> samples, mAP 0.0000. It is a mini split with single-camera coverage, not a full-dataset benchmark, but it is a finished, scored run. GOOSE's PTv3 run remains at 1% of its split and stays diagnostics-only. </w:t>
            </w:r>
            <w:r>
              <w:rPr>
                <w:i/>
              </w:rPr>
              <w:t>Contingency unchanged:</w:t>
            </w:r>
            <w:r>
              <w:t xml:space="preserve"> if compute never arrives, report the measured cost of running and why larger runs could not complete</w:t>
            </w:r>
          </w:p>
        </w:tc>
      </w:tr>
      <w:tr>
        <w:tc>
          <w:tcPr>
            <w:tcW w:type="dxa" w:w="1728"/>
          </w:tcPr>
          <w:p>
            <w:r/>
            <w:r>
              <w:rPr>
                <w:b/>
              </w:rPr>
              <w:t>R-34</w:t>
            </w:r>
          </w:p>
        </w:tc>
        <w:tc>
          <w:tcPr>
            <w:tcW w:type="dxa" w:w="1728"/>
          </w:tcPr>
          <w:p>
            <w:r/>
            <w:r>
              <w:rPr>
                <w:b/>
              </w:rPr>
              <w:t>Pretrained checkpoints may not transfer to truck-mounted sensors at all.</w:t>
            </w:r>
            <w:r>
              <w:t xml:space="preserve"> A nuScenes-pretrained detector scored exactly zero on TruckScenes because of a ~0.6 m camera-height difference. Every remaining plan to run off-the-shelf checkpoints is exposed to the same failure</w:t>
            </w:r>
          </w:p>
        </w:tc>
        <w:tc>
          <w:tcPr>
            <w:tcW w:type="dxa" w:w="1728"/>
          </w:tcPr>
          <w:p>
            <w:r/>
            <w:r>
              <w:rPr>
                <w:b/>
              </w:rPr>
              <w:t>High/High</w:t>
            </w:r>
          </w:p>
        </w:tc>
        <w:tc>
          <w:tcPr>
            <w:tcW w:type="dxa" w:w="1728"/>
          </w:tcPr>
          <w:p>
            <w:r/>
            <w:r>
              <w:t>Aiden</w:t>
            </w:r>
          </w:p>
        </w:tc>
        <w:tc>
          <w:tcPr>
            <w:tcW w:type="dxa" w:w="1728"/>
          </w:tcPr>
          <w:p>
            <w:r/>
            <w:r>
              <w:rPr>
                <w:i/>
              </w:rPr>
              <w:t>Mitigation:</w:t>
            </w:r>
            <w:r>
              <w:t xml:space="preserve"> treat zero-shot transfer as a hypothesis to test rather than a baseline to assume; record camera and sensor geometry alongside every result. </w:t>
            </w:r>
            <w:r>
              <w:rPr>
                <w:i/>
              </w:rPr>
              <w:t>Contingency:</w:t>
            </w:r>
            <w:r>
              <w:t xml:space="preserve"> report the transfer gap as a finding in its own right — it is directly relevant to the client's question about how these sensors behave on trucks rather than cars</w:t>
            </w:r>
          </w:p>
        </w:tc>
      </w:tr>
      <w:tr>
        <w:tc>
          <w:tcPr>
            <w:tcW w:type="dxa" w:w="1728"/>
          </w:tcPr>
          <w:p>
            <w:r/>
            <w:r>
              <w:rPr>
                <w:b/>
              </w:rPr>
              <w:t>R-35</w:t>
            </w:r>
          </w:p>
        </w:tc>
        <w:tc>
          <w:tcPr>
            <w:tcW w:type="dxa" w:w="1728"/>
          </w:tcPr>
          <w:p>
            <w:r/>
            <w:r>
              <w:rPr>
                <w:b/>
              </w:rPr>
              <w:t>Assessment evidence sits in unmerged pull requests.</w:t>
            </w:r>
            <w:r>
              <w:t xml:space="preserve"> Two of the three datasets' strongest results — the TruckScenes survey, and the FCOS3D evaluation — are in open PRs. A reader checking </w:t>
            </w:r>
            <w:r>
              <w:rPr>
                <w:rFonts w:ascii="Consolas" w:hAnsi="Consolas"/>
                <w:color w:val="B03060"/>
              </w:rPr>
              <w:t>main</w:t>
            </w:r>
            <w:r>
              <w:t xml:space="preserve"> will not find them</w:t>
            </w:r>
          </w:p>
        </w:tc>
        <w:tc>
          <w:tcPr>
            <w:tcW w:type="dxa" w:w="1728"/>
          </w:tcPr>
          <w:p>
            <w:r/>
            <w:r>
              <w:t>Med/Med</w:t>
            </w:r>
          </w:p>
        </w:tc>
        <w:tc>
          <w:tcPr>
            <w:tcW w:type="dxa" w:w="1728"/>
          </w:tcPr>
          <w:p>
            <w:r/>
            <w:r>
              <w:t>Damien</w:t>
            </w:r>
          </w:p>
        </w:tc>
        <w:tc>
          <w:tcPr>
            <w:tcW w:type="dxa" w:w="1728"/>
          </w:tcPr>
          <w:p>
            <w:r/>
            <w:r>
              <w:rPr>
                <w:i/>
              </w:rPr>
              <w:t>Mitigation:</w:t>
            </w:r>
            <w:r>
              <w:t xml:space="preserve"> provenance is marked throughout these documents, so nothing is claimed as merged that is not. </w:t>
            </w:r>
            <w:r>
              <w:rPr>
                <w:i/>
              </w:rPr>
              <w:t>Contingency:</w:t>
            </w:r>
            <w:r>
              <w:t xml:space="preserve"> merge before submission, or submit the pull request links alongside</w:t>
            </w:r>
          </w:p>
        </w:tc>
      </w:tr>
      <w:tr>
        <w:tc>
          <w:tcPr>
            <w:tcW w:type="dxa" w:w="1728"/>
          </w:tcPr>
          <w:p>
            <w:r/>
            <w:r>
              <w:rPr>
                <w:b/>
              </w:rPr>
              <w:t>R-32</w:t>
            </w:r>
          </w:p>
        </w:tc>
        <w:tc>
          <w:tcPr>
            <w:tcW w:type="dxa" w:w="1728"/>
          </w:tcPr>
          <w:p>
            <w:r/>
            <w:r>
              <w:rPr>
                <w:b/>
              </w:rPr>
              <w:t>Sprint 2 marked against an unapproved Scope of Work.</w:t>
            </w:r>
            <w:r>
              <w:t xml:space="preserve"> Deliverables assessed against a document the client never confirmed</w:t>
            </w:r>
          </w:p>
        </w:tc>
        <w:tc>
          <w:tcPr>
            <w:tcW w:type="dxa" w:w="1728"/>
          </w:tcPr>
          <w:p>
            <w:r/>
            <w:r>
              <w:t>High/Med</w:t>
            </w:r>
          </w:p>
        </w:tc>
        <w:tc>
          <w:tcPr>
            <w:tcW w:type="dxa" w:w="1728"/>
          </w:tcPr>
          <w:p>
            <w:r/>
            <w:r>
              <w:t>Ricky</w:t>
            </w:r>
          </w:p>
        </w:tc>
        <w:tc>
          <w:tcPr>
            <w:tcW w:type="dxa" w:w="1728"/>
          </w:tcPr>
          <w:p>
            <w:r/>
            <w:r>
              <w:rPr>
                <w:i/>
              </w:rPr>
              <w:t>Mitigation:</w:t>
            </w:r>
            <w:r>
              <w:t xml:space="preserve"> this revision, with variance documented per P-7. </w:t>
            </w:r>
            <w:r>
              <w:rPr>
                <w:i/>
              </w:rPr>
              <w:t>Contingency:</w:t>
            </w:r>
            <w:r>
              <w:t xml:space="preserve"> present the original and revised documents together with the evidence trail</w:t>
            </w:r>
          </w:p>
        </w:tc>
      </w:tr>
      <w:tr>
        <w:tc>
          <w:tcPr>
            <w:tcW w:type="dxa" w:w="1728"/>
          </w:tcPr>
          <w:p>
            <w:r/>
            <w:r>
              <w:rPr>
                <w:b/>
              </w:rPr>
              <w:t>R-33</w:t>
            </w:r>
          </w:p>
        </w:tc>
        <w:tc>
          <w:tcPr>
            <w:tcW w:type="dxa" w:w="1728"/>
          </w:tcPr>
          <w:p>
            <w:r/>
            <w:r>
              <w:rPr>
                <w:b/>
              </w:rPr>
              <w:t>Uneven contribution visibility.</w:t>
            </w:r>
            <w:r>
              <w:t xml:space="preserve"> Work is concentrated in the pairs that adopted shared tooling first; some members have little in the repository</w:t>
            </w:r>
          </w:p>
        </w:tc>
        <w:tc>
          <w:tcPr>
            <w:tcW w:type="dxa" w:w="1728"/>
          </w:tcPr>
          <w:p>
            <w:r/>
            <w:r>
              <w:t>Med/Med</w:t>
            </w:r>
          </w:p>
        </w:tc>
        <w:tc>
          <w:tcPr>
            <w:tcW w:type="dxa" w:w="1728"/>
          </w:tcPr>
          <w:p>
            <w:r/>
            <w:r>
              <w:t>All</w:t>
            </w:r>
          </w:p>
        </w:tc>
        <w:tc>
          <w:tcPr>
            <w:tcW w:type="dxa" w:w="1728"/>
          </w:tcPr>
          <w:p>
            <w:r/>
            <w:r>
              <w:rPr>
                <w:i/>
              </w:rPr>
              <w:t>Mitigation:</w:t>
            </w:r>
            <w:r>
              <w:t xml:space="preserve"> the project handbook lowers the entry cost; templates exist for every artefact type. </w:t>
            </w:r>
            <w:r>
              <w:rPr>
                <w:i/>
              </w:rPr>
              <w:t>Contingency:</w:t>
            </w:r>
            <w:r>
              <w:t xml:space="preserve"> redistribute at the Sprint 3 boundary</w:t>
            </w:r>
          </w:p>
        </w:tc>
      </w:tr>
    </w:tbl>
    <w:p/>
    <w:p>
      <w:pPr>
        <w:pStyle w:val="Heading2"/>
      </w:pPr>
      <w:r>
        <w:t>5. Team availability risks</w:t>
      </w:r>
    </w:p>
    <w:p>
      <w:r>
        <w:t>Unchanged from Sprint 1 in substance. Same two controls apply throughout: work stays visible in the shared repository, and notes are handed over so another member can continue.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ID</w:t>
            </w:r>
          </w:p>
        </w:tc>
        <w:tc>
          <w:tcPr>
            <w:tcW w:type="dxa" w:w="2160"/>
          </w:tcPr>
          <w:p>
            <w:r>
              <w:rPr>
                <w:b/>
              </w:rPr>
            </w:r>
            <w:r>
              <w:rPr>
                <w:b/>
              </w:rPr>
              <w:t>Risk</w:t>
            </w:r>
          </w:p>
        </w:tc>
        <w:tc>
          <w:tcPr>
            <w:tcW w:type="dxa" w:w="2160"/>
          </w:tcPr>
          <w:p>
            <w:r>
              <w:rPr>
                <w:b/>
              </w:rPr>
            </w:r>
            <w:r>
              <w:rPr>
                <w:b/>
              </w:rPr>
              <w:t>L/I</w:t>
            </w:r>
          </w:p>
        </w:tc>
        <w:tc>
          <w:tcPr>
            <w:tcW w:type="dxa" w:w="2160"/>
          </w:tcPr>
          <w:p>
            <w:r>
              <w:rPr>
                <w:b/>
              </w:rPr>
            </w:r>
            <w:r>
              <w:rPr>
                <w:b/>
              </w:rPr>
              <w:t>Owner</w:t>
            </w:r>
          </w:p>
        </w:tc>
      </w:tr>
      <w:tr>
        <w:tc>
          <w:tcPr>
            <w:tcW w:type="dxa" w:w="2160"/>
          </w:tcPr>
          <w:p>
            <w:r/>
            <w:r>
              <w:t>R-14</w:t>
            </w:r>
          </w:p>
        </w:tc>
        <w:tc>
          <w:tcPr>
            <w:tcW w:type="dxa" w:w="2160"/>
          </w:tcPr>
          <w:p>
            <w:r/>
            <w:r>
              <w:t>Concurrent assessments in other units reduce project hours</w:t>
            </w:r>
          </w:p>
        </w:tc>
        <w:tc>
          <w:tcPr>
            <w:tcW w:type="dxa" w:w="2160"/>
          </w:tcPr>
          <w:p>
            <w:r/>
            <w:r>
              <w:t>High/Med</w:t>
            </w:r>
          </w:p>
        </w:tc>
        <w:tc>
          <w:tcPr>
            <w:tcW w:type="dxa" w:w="2160"/>
          </w:tcPr>
          <w:p>
            <w:r/>
            <w:r>
              <w:t>All</w:t>
            </w:r>
          </w:p>
        </w:tc>
      </w:tr>
      <w:tr>
        <w:tc>
          <w:tcPr>
            <w:tcW w:type="dxa" w:w="2160"/>
          </w:tcPr>
          <w:p>
            <w:r/>
            <w:r>
              <w:t>R-15</w:t>
            </w:r>
          </w:p>
        </w:tc>
        <w:tc>
          <w:tcPr>
            <w:tcW w:type="dxa" w:w="2160"/>
          </w:tcPr>
          <w:p>
            <w:r/>
            <w:r>
              <w:t>Illness or burnout affects availability</w:t>
            </w:r>
          </w:p>
        </w:tc>
        <w:tc>
          <w:tcPr>
            <w:tcW w:type="dxa" w:w="2160"/>
          </w:tcPr>
          <w:p>
            <w:r/>
            <w:r>
              <w:t>Med/Med</w:t>
            </w:r>
          </w:p>
        </w:tc>
        <w:tc>
          <w:tcPr>
            <w:tcW w:type="dxa" w:w="2160"/>
          </w:tcPr>
          <w:p>
            <w:r/>
            <w:r>
              <w:t>All</w:t>
            </w:r>
          </w:p>
        </w:tc>
      </w:tr>
      <w:tr>
        <w:tc>
          <w:tcPr>
            <w:tcW w:type="dxa" w:w="2160"/>
          </w:tcPr>
          <w:p>
            <w:r/>
            <w:r>
              <w:t>R-16</w:t>
            </w:r>
          </w:p>
        </w:tc>
        <w:tc>
          <w:tcPr>
            <w:tcW w:type="dxa" w:w="2160"/>
          </w:tcPr>
          <w:p>
            <w:r/>
            <w:r>
              <w:t>Travel with the UWA basketball team</w:t>
            </w:r>
          </w:p>
        </w:tc>
        <w:tc>
          <w:tcPr>
            <w:tcW w:type="dxa" w:w="2160"/>
          </w:tcPr>
          <w:p>
            <w:r/>
            <w:r>
              <w:t>Med/Med</w:t>
            </w:r>
          </w:p>
        </w:tc>
        <w:tc>
          <w:tcPr>
            <w:tcW w:type="dxa" w:w="2160"/>
          </w:tcPr>
          <w:p>
            <w:r/>
            <w:r>
              <w:t>Damien</w:t>
            </w:r>
          </w:p>
        </w:tc>
      </w:tr>
      <w:tr>
        <w:tc>
          <w:tcPr>
            <w:tcW w:type="dxa" w:w="2160"/>
          </w:tcPr>
          <w:p>
            <w:r/>
            <w:r>
              <w:t>R-17</w:t>
            </w:r>
          </w:p>
        </w:tc>
        <w:tc>
          <w:tcPr>
            <w:tcW w:type="dxa" w:w="2160"/>
          </w:tcPr>
          <w:p>
            <w:r/>
            <w:r>
              <w:t>Graduation, work and overseas responsibilities</w:t>
            </w:r>
          </w:p>
        </w:tc>
        <w:tc>
          <w:tcPr>
            <w:tcW w:type="dxa" w:w="2160"/>
          </w:tcPr>
          <w:p>
            <w:r/>
            <w:r>
              <w:t>Med/Med</w:t>
            </w:r>
          </w:p>
        </w:tc>
        <w:tc>
          <w:tcPr>
            <w:tcW w:type="dxa" w:w="2160"/>
          </w:tcPr>
          <w:p>
            <w:r/>
            <w:r>
              <w:t>Kelsey</w:t>
            </w:r>
          </w:p>
        </w:tc>
      </w:tr>
      <w:tr>
        <w:tc>
          <w:tcPr>
            <w:tcW w:type="dxa" w:w="2160"/>
          </w:tcPr>
          <w:p>
            <w:r/>
            <w:r>
              <w:t>R-18</w:t>
            </w:r>
          </w:p>
        </w:tc>
        <w:tc>
          <w:tcPr>
            <w:tcW w:type="dxa" w:w="2160"/>
          </w:tcPr>
          <w:p>
            <w:r/>
            <w:r>
              <w:t>Meeting clashes with other project work</w:t>
            </w:r>
          </w:p>
        </w:tc>
        <w:tc>
          <w:tcPr>
            <w:tcW w:type="dxa" w:w="2160"/>
          </w:tcPr>
          <w:p>
            <w:r/>
            <w:r>
              <w:t>Med/Low</w:t>
            </w:r>
          </w:p>
        </w:tc>
        <w:tc>
          <w:tcPr>
            <w:tcW w:type="dxa" w:w="2160"/>
          </w:tcPr>
          <w:p>
            <w:r/>
            <w:r>
              <w:t>All</w:t>
            </w:r>
          </w:p>
        </w:tc>
      </w:tr>
      <w:tr>
        <w:tc>
          <w:tcPr>
            <w:tcW w:type="dxa" w:w="2160"/>
          </w:tcPr>
          <w:p>
            <w:r/>
            <w:r>
              <w:t>R-19</w:t>
            </w:r>
          </w:p>
        </w:tc>
        <w:tc>
          <w:tcPr>
            <w:tcW w:type="dxa" w:w="2160"/>
          </w:tcPr>
          <w:p>
            <w:r/>
            <w:r>
              <w:t>Unforeseen personal or family emergencies</w:t>
            </w:r>
          </w:p>
        </w:tc>
        <w:tc>
          <w:tcPr>
            <w:tcW w:type="dxa" w:w="2160"/>
          </w:tcPr>
          <w:p>
            <w:r/>
            <w:r>
              <w:t>Med/Med</w:t>
            </w:r>
          </w:p>
        </w:tc>
        <w:tc>
          <w:tcPr>
            <w:tcW w:type="dxa" w:w="2160"/>
          </w:tcPr>
          <w:p>
            <w:r/>
            <w:r>
              <w:t>All</w:t>
            </w:r>
          </w:p>
        </w:tc>
      </w:tr>
    </w:tbl>
    <w:p/>
    <w:p>
      <w:pPr>
        <w:pStyle w:val="Heading2"/>
      </w:pPr>
      <w:r>
        <w:t>6. What this register says overall</w:t>
      </w:r>
    </w:p>
    <w:p>
      <w:r>
        <w:t>Two risks dominate and both sit outside the team's control.</w:t>
      </w:r>
    </w:p>
    <w:p>
      <w:r>
        <w:rPr>
          <w:b/>
        </w:rPr>
        <w:t>R-28 and R-09 are the same underlying dependency.</w:t>
      </w:r>
      <w:r>
        <w:t xml:space="preserve"> Client availability blocks approval, and the Kaya paperwork blocks compute, and compute blocks the benchmarking that the project exists to do. Work remains possible meanwhile: independent cold reads, baseline/checkpoint selection, TruckDrive survey/record integration and protocol review.</w:t>
      </w:r>
    </w:p>
    <w:p>
      <w:r>
        <w:rPr>
          <w:b/>
        </w:rPr>
        <w:t>R-31 has changed, and the change is the most significant of Sprint 2.</w:t>
      </w:r>
      <w:r>
        <w:t xml:space="preserve"> A complete model evaluation now exists — FCOS3D scored across all 80 TruckScenes </w:t>
      </w:r>
      <w:r>
        <w:rPr>
          <w:rFonts w:ascii="Consolas" w:hAnsi="Consolas"/>
          <w:color w:val="B03060"/>
        </w:rPr>
        <w:t>mini_val</w:t>
      </w:r>
      <w:r>
        <w:t xml:space="preserve"> samples. The result is </w:t>
      </w:r>
      <w:r>
        <w:rPr>
          <w:b/>
        </w:rPr>
        <w:t>mAP 0.0000</w:t>
      </w:r>
      <w:r>
        <w:t>, diagnosed as monocular depth misestimation caused by a camera-height domain gap: TruckScenes cameras sit at roughly 2.1 m against the ~1.5 m car-mounted cameras FCOS3D was trained on. Depth errors of 5–21 m scaling with range are the signature of that failure rather than a coordinate bug, which was ruled out by reusing the reference implementation's own transform code.</w:t>
      </w:r>
    </w:p>
    <w:p>
      <w:r>
        <w:t>That is a real result, not an absence of one, and it is the first time this project has measured how a model performs rather than what a dataset contains.</w:t>
      </w:r>
    </w:p>
    <w:p>
      <w:pPr>
        <w:pStyle w:val="Heading2"/>
      </w:pPr>
      <w:r>
        <w:t>7. Review cadence</w:t>
      </w:r>
    </w:p>
    <w:p>
      <w:r>
        <w:t>Reviewed at the end of each internal sprint, with likelihood and impact reassessed. New risks may be raised by any member at any time and are added with an owner before the next meeting. High-impact risks are raised with the client rather than managed silently. Failed dependencies are logged against the dependency.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