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Revised Scope of Work</w:t>
      </w:r>
    </w:p>
    <w:p>
      <w:r>
        <w:rPr>
          <w:b/>
        </w:rPr>
        <w:t>CITS3200 Professional Computing | Group 07 | Revision 3 | 15 September 2026</w:t>
      </w:r>
    </w:p>
    <w:p>
      <w:pPr>
        <w:ind w:left="480"/>
        <w:jc w:val="left"/>
      </w:pPr>
      <w:r>
        <w:rPr>
          <w:b/>
          <w:i/>
        </w:rPr>
        <w:t>This revises, and does not replace, the Scope of Work submitted 12 August 2026.</w:t>
      </w:r>
      <w:r>
        <w:rPr>
          <w:i/>
        </w:rPr>
        <w:t xml:space="preserve"> The original remains the record of what we intended at the start of Sprint 1. This document records what we actually scoped and delivered once circumstances changed, and why. Section 9 sets the two side by side. Revising at a sprint boundary is what the original document said would happen: </w:t>
      </w:r>
      <w:r>
        <w:rPr>
          <w:i/>
        </w:rPr>
        <w:t>"Scope is reviewed at every sprint boundary. Items are added, deferred or dropped based on what the previous sprint revealed."</w:t>
      </w:r>
      <w:r>
        <w:rPr>
          <w:i/>
        </w:rPr>
        <w:t xml:space="preserve"> Adrian's instruction at kickoff was </w:t>
      </w:r>
      <w:r>
        <w:rPr>
          <w:i/>
        </w:rPr>
        <w:t>"I want you to be agile... you guys as a team decide some agile way of working."</w:t>
      </w:r>
    </w:p>
    <w:p>
      <w:pPr>
        <w:pStyle w:val="Heading2"/>
      </w:pPr>
      <w:r>
        <w:t>1. Why this revision exists</w:t>
      </w:r>
    </w:p>
    <w:p>
      <w:r>
        <w:t>Sprint 2 work was organised around three dataset pairs and the hardware available to the team. This revision records the resulting outputs and the remaining work.</w:t>
      </w:r>
    </w:p>
    <w:p>
      <w:r>
        <w:rPr>
          <w:b/>
        </w:rPr>
        <w:t>1. Scope confirmation remains pending. The team has prepared the completed work and proposed next steps for review.</w:t>
      </w:r>
      <w:r/>
    </w:p>
    <w:p>
      <w:r>
        <w:rPr>
          <w:b/>
        </w:rPr>
        <w:t>2. Kaya access is not yet available. The core Sprint 3 proposal therefore uses existing computers. Larger model runs depend on verified access, model compatibility and a workable resource plan.</w:t>
      </w:r>
      <w:r/>
    </w:p>
    <w:p>
      <w:r>
        <w:rPr>
          <w:b/>
        </w:rPr>
        <w:t>3. STONE was dropped on 29 August.</w:t>
      </w:r>
      <w:r>
        <w:t xml:space="preserve"> It was the only off-road dataset we found with annotated 4D imaging radar, and therefore the only candidate that could have joined the off-road and radar halves of the project. It is a single 346 GB download with no sample split, contains no toolkit in its repository, and its maintainers have not answered a GitHub issue since March. Recorded in decision </w:t>
      </w:r>
      <w:r>
        <w:rPr>
          <w:b/>
        </w:rPr>
        <w:t>D-06</w:t>
      </w:r>
      <w:r>
        <w:t>.</w:t>
      </w:r>
    </w:p>
    <w:p>
      <w:r>
        <w:rPr>
          <w:b/>
        </w:rPr>
        <w:t>4. We reorganised by dataset rather than by epic. Each pair focused on getting one dataset working and producing measurements and reusable evidence.</w:t>
      </w:r>
      <w:r/>
    </w:p>
    <w:p>
      <w:pPr>
        <w:pStyle w:val="ListNumber"/>
        <w:numPr>
          <w:numId w:val="10"/>
        </w:numPr>
      </w:pPr>
      <w:r>
        <w:t>The next step is to connect those outputs through shared comparisons and cross-pair review.</w:t>
      </w:r>
    </w:p>
    <w:p>
      <w:pPr>
        <w:pStyle w:val="Heading2"/>
      </w:pPr>
      <w:r>
        <w:t>2. Initiative — unchanged</w:t>
      </w:r>
    </w:p>
    <w:p>
      <w:r>
        <w:t>Produce an evidence-based comparison of RADAR, LiDAR and camera perception for autonomous trucking, supported by a reproducible experimental record, and hand over a documented body of work a future team can extend.</w:t>
      </w:r>
    </w:p>
    <w:p>
      <w:pPr>
        <w:pStyle w:val="Heading2"/>
      </w:pPr>
      <w:r>
        <w:t>3. Revised objectives</w:t>
      </w:r>
    </w:p>
    <w:tbl>
      <w:tblPr>
        <w:tblStyle w:val="LightGrid-Accent1"/>
        <w:tblW w:type="auto" w:w="0"/>
        <w:tblLook w:firstColumn="1" w:firstRow="1" w:lastColumn="0" w:lastRow="0" w:noHBand="0" w:noVBand="1" w:val="04A0"/>
      </w:tblPr>
      <w:tblGrid>
        <w:gridCol w:w="2880"/>
        <w:gridCol w:w="2880"/>
        <w:gridCol w:w="2880"/>
      </w:tblGrid>
      <w:tr>
        <w:trPr>
          <w:tblHeader/>
          <w:cantSplit/>
        </w:trPr>
        <w:tc>
          <w:tcPr>
            <w:tcW w:type="dxa" w:w="2880"/>
          </w:tcPr>
          <w:p>
            <w:r>
              <w:rPr>
                <w:b/>
              </w:rPr>
            </w:r>
            <w:r>
              <w:rPr>
                <w:b/>
              </w:rPr>
              <w:t>#</w:t>
            </w:r>
          </w:p>
        </w:tc>
        <w:tc>
          <w:tcPr>
            <w:tcW w:type="dxa" w:w="2880"/>
          </w:tcPr>
          <w:p>
            <w:r>
              <w:rPr>
                <w:b/>
              </w:rPr>
            </w:r>
            <w:r>
              <w:rPr>
                <w:b/>
              </w:rPr>
              <w:t>Objective</w:t>
            </w:r>
          </w:p>
        </w:tc>
        <w:tc>
          <w:tcPr>
            <w:tcW w:type="dxa" w:w="2880"/>
          </w:tcPr>
          <w:p>
            <w:r>
              <w:rPr>
                <w:b/>
              </w:rPr>
              <w:t>Status at 15 Sep</w:t>
            </w:r>
            <w:r>
              <w:rPr>
                <w:b/>
              </w:rPr>
            </w:r>
          </w:p>
        </w:tc>
      </w:tr>
      <w:tr>
        <w:trPr>
          <w:cantSplit/>
        </w:trPr>
        <w:tc>
          <w:tcPr>
            <w:tcW w:type="dxa" w:w="2880"/>
          </w:tcPr>
          <w:p>
            <w:r/>
            <w:r>
              <w:t>1</w:t>
            </w:r>
          </w:p>
        </w:tc>
        <w:tc>
          <w:tcPr>
            <w:tcW w:type="dxa" w:w="2880"/>
          </w:tcPr>
          <w:p>
            <w:r/>
            <w:r>
              <w:t>Build shared domain understanding of the AD stack and sensor modalities</w:t>
            </w:r>
          </w:p>
        </w:tc>
        <w:tc>
          <w:tcPr>
            <w:tcW w:type="dxa" w:w="2880"/>
          </w:tcPr>
          <w:p>
            <w:r/>
            <w:r>
              <w:rPr>
                <w:b/>
              </w:rPr>
              <w:t>Partly met.</w:t>
            </w:r>
            <w:r>
              <w:t xml:space="preserve"> Documented per dataset; the cross-team survey (WS1) is not written</w:t>
            </w:r>
          </w:p>
        </w:tc>
      </w:tr>
      <w:tr>
        <w:trPr>
          <w:cantSplit/>
        </w:trPr>
        <w:tc>
          <w:tcPr>
            <w:tcW w:type="dxa" w:w="2880"/>
          </w:tcPr>
          <w:p>
            <w:r/>
            <w:r>
              <w:t>2</w:t>
            </w:r>
          </w:p>
        </w:tc>
        <w:tc>
          <w:tcPr>
            <w:tcW w:type="dxa" w:w="2880"/>
          </w:tcPr>
          <w:p>
            <w:r/>
            <w:r>
              <w:t>Acquire datasets, load them via their devkits, visualise RADAR and LiDAR</w:t>
            </w:r>
          </w:p>
        </w:tc>
        <w:tc>
          <w:tcPr>
            <w:tcW w:type="dxa" w:w="2880"/>
          </w:tcPr>
          <w:p>
            <w:r/>
            <w:r>
              <w:rPr>
                <w:b/>
              </w:rPr>
              <w:t>Met for the available modalities.</w:t>
            </w:r>
            <w:r>
              <w:t xml:space="preserve"> GOOSE's downloadable labelled data provides LiDAR, not radar</w:t>
            </w:r>
          </w:p>
        </w:tc>
      </w:tr>
      <w:tr>
        <w:trPr>
          <w:cantSplit/>
        </w:trPr>
        <w:tc>
          <w:tcPr>
            <w:tcW w:type="dxa" w:w="2880"/>
          </w:tcPr>
          <w:p>
            <w:r/>
            <w:r>
              <w:t>3</w:t>
            </w:r>
          </w:p>
        </w:tc>
        <w:tc>
          <w:tcPr>
            <w:tcW w:type="dxa" w:w="2880"/>
          </w:tcPr>
          <w:p>
            <w:r/>
            <w:r>
              <w:t>Determine which toolchains are practical in the time available</w:t>
            </w:r>
          </w:p>
        </w:tc>
        <w:tc>
          <w:tcPr>
            <w:tcW w:type="dxa" w:w="2880"/>
          </w:tcPr>
          <w:p>
            <w:r/>
            <w:r>
              <w:rPr>
                <w:b/>
              </w:rPr>
              <w:t>Partly met.</w:t>
            </w:r>
            <w:r>
              <w:t xml:space="preserve"> Model toolchains assessed; Autoware not attempted</w:t>
            </w:r>
          </w:p>
        </w:tc>
      </w:tr>
      <w:tr>
        <w:trPr>
          <w:cantSplit/>
        </w:trPr>
        <w:tc>
          <w:tcPr>
            <w:tcW w:type="dxa" w:w="2880"/>
          </w:tcPr>
          <w:p>
            <w:r/>
            <w:r>
              <w:t>4</w:t>
            </w:r>
          </w:p>
        </w:tc>
        <w:tc>
          <w:tcPr>
            <w:tcW w:type="dxa" w:w="2880"/>
          </w:tcPr>
          <w:p>
            <w:r/>
            <w:r>
              <w:t>Run and record comparable benchmark experiments, reported by range band</w:t>
            </w:r>
          </w:p>
        </w:tc>
        <w:tc>
          <w:tcPr>
            <w:tcW w:type="dxa" w:w="2880"/>
          </w:tcPr>
          <w:p>
            <w:r>
              <w:t>Partial. Two camera-transfer evaluations and one partial segmentation run; no matched radar/LiDAR benchmark or range-banded detection result.</w:t>
            </w:r>
            <w:r>
              <w:rPr>
                <w:b/>
              </w:rPr>
            </w:r>
            <w:r/>
            <w:r>
              <w:rPr>
                <w:rFonts w:ascii="Consolas" w:hAnsi="Consolas"/>
                <w:color w:val="B03060"/>
              </w:rPr>
            </w:r>
            <w:r/>
          </w:p>
        </w:tc>
      </w:tr>
      <w:tr>
        <w:trPr>
          <w:cantSplit/>
        </w:trPr>
        <w:tc>
          <w:tcPr>
            <w:tcW w:type="dxa" w:w="2880"/>
          </w:tcPr>
          <w:p>
            <w:r/>
            <w:r>
              <w:t>5</w:t>
            </w:r>
          </w:p>
        </w:tc>
        <w:tc>
          <w:tcPr>
            <w:tcW w:type="dxa" w:w="2880"/>
          </w:tcPr>
          <w:p>
            <w:r/>
            <w:r>
              <w:t>Test the long-range gap (D-04)</w:t>
            </w:r>
          </w:p>
        </w:tc>
        <w:tc>
          <w:tcPr>
            <w:tcW w:type="dxa" w:w="2880"/>
          </w:tcPr>
          <w:p>
            <w:r>
              <w:t>Open. Range coverage has been described; it does not establish detection degradation.</w:t>
            </w:r>
            <w:r>
              <w:rPr>
                <w:b/>
              </w:rPr>
            </w:r>
            <w:r/>
          </w:p>
        </w:tc>
      </w:tr>
      <w:tr>
        <w:trPr>
          <w:cantSplit/>
        </w:trPr>
        <w:tc>
          <w:tcPr>
            <w:tcW w:type="dxa" w:w="2880"/>
          </w:tcPr>
          <w:p>
            <w:r/>
            <w:r>
              <w:t>6</w:t>
            </w:r>
          </w:p>
        </w:tc>
        <w:tc>
          <w:tcPr>
            <w:tcW w:type="dxa" w:w="2880"/>
          </w:tcPr>
          <w:p>
            <w:r/>
            <w:r>
              <w:t>Present findings so a reader can identify the key result quickly</w:t>
            </w:r>
          </w:p>
        </w:tc>
        <w:tc>
          <w:tcPr>
            <w:tcW w:type="dxa" w:w="2880"/>
          </w:tcPr>
          <w:p>
            <w:r/>
            <w:r>
              <w:rPr>
                <w:b/>
              </w:rPr>
              <w:t>Partly met for GOOSE</w:t>
            </w:r>
            <w:r>
              <w:t xml:space="preserve"> — figure produced; outside-pair cold read outstanding</w:t>
            </w:r>
          </w:p>
        </w:tc>
      </w:tr>
      <w:tr>
        <w:trPr>
          <w:cantSplit/>
        </w:trPr>
        <w:tc>
          <w:tcPr>
            <w:tcW w:type="dxa" w:w="2880"/>
          </w:tcPr>
          <w:p>
            <w:r/>
            <w:r>
              <w:t>7</w:t>
            </w:r>
          </w:p>
        </w:tc>
        <w:tc>
          <w:tcPr>
            <w:tcW w:type="dxa" w:w="2880"/>
          </w:tcPr>
          <w:p>
            <w:r/>
            <w:r>
              <w:t>Document to a standard supporting handover</w:t>
            </w:r>
          </w:p>
        </w:tc>
        <w:tc>
          <w:tcPr>
            <w:tcW w:type="dxa" w:w="2880"/>
          </w:tcPr>
          <w:p>
            <w:r>
              <w:t>Partial. Shared documentation and records exist; TruckDrive integration and independent reproduction remain.</w:t>
            </w:r>
            <w:r>
              <w:rPr>
                <w:b/>
              </w:rPr>
            </w:r>
            <w:r/>
          </w:p>
        </w:tc>
      </w:tr>
    </w:tbl>
    <w:p/>
    <w:p>
      <w:pPr>
        <w:pStyle w:val="Heading2"/>
      </w:pPr>
      <w:r>
        <w:t>4. Revised delivery structure</w:t>
      </w:r>
    </w:p>
    <w:p>
      <w:pPr>
        <w:pStyle w:val="Heading3"/>
      </w:pPr>
      <w:r>
        <w:t>4.1 Three dataset pairs</w:t>
      </w:r>
    </w:p>
    <w:p>
      <w:r>
        <w:t>For Sprint 2 the team works in pairs, one dataset each. Each dataset answers a different question; they are instruments, not competing candidates.</w:t>
      </w:r>
    </w:p>
    <w:tbl>
      <w:tblPr>
        <w:tblStyle w:val="LightGrid-Accent1"/>
        <w:tblW w:type="auto" w:w="0"/>
        <w:tblLook w:firstColumn="1" w:firstRow="1" w:lastColumn="0" w:lastRow="0" w:noHBand="0" w:noVBand="1" w:val="04A0"/>
      </w:tblPr>
      <w:tblGrid>
        <w:gridCol w:w="2160"/>
        <w:gridCol w:w="2160"/>
        <w:gridCol w:w="2160"/>
        <w:gridCol w:w="2160"/>
      </w:tblGrid>
      <w:tr>
        <w:trPr>
          <w:tblHeader/>
          <w:cantSplit/>
        </w:trPr>
        <w:tc>
          <w:tcPr>
            <w:tcW w:type="dxa" w:w="2160"/>
          </w:tcPr>
          <w:p>
            <w:r>
              <w:rPr>
                <w:b/>
              </w:rPr>
            </w:r>
            <w:r>
              <w:rPr>
                <w:b/>
              </w:rPr>
              <w:t>Pair</w:t>
            </w:r>
          </w:p>
        </w:tc>
        <w:tc>
          <w:tcPr>
            <w:tcW w:type="dxa" w:w="2160"/>
          </w:tcPr>
          <w:p>
            <w:r>
              <w:rPr>
                <w:b/>
              </w:rPr>
            </w:r>
            <w:r>
              <w:rPr>
                <w:b/>
              </w:rPr>
              <w:t>Dataset</w:t>
            </w:r>
          </w:p>
        </w:tc>
        <w:tc>
          <w:tcPr>
            <w:tcW w:type="dxa" w:w="2160"/>
          </w:tcPr>
          <w:p>
            <w:r>
              <w:rPr>
                <w:b/>
              </w:rPr>
            </w:r>
            <w:r>
              <w:rPr>
                <w:b/>
              </w:rPr>
              <w:t>Question it answers</w:t>
            </w:r>
          </w:p>
        </w:tc>
        <w:tc>
          <w:tcPr>
            <w:tcW w:type="dxa" w:w="2160"/>
          </w:tcPr>
          <w:p>
            <w:r>
              <w:rPr>
                <w:b/>
              </w:rPr>
            </w:r>
            <w:r>
              <w:rPr>
                <w:b/>
              </w:rPr>
              <w:t>Task type</w:t>
            </w:r>
          </w:p>
        </w:tc>
      </w:tr>
      <w:tr>
        <w:trPr>
          <w:cantSplit/>
        </w:trPr>
        <w:tc>
          <w:tcPr>
            <w:tcW w:type="dxa" w:w="2160"/>
          </w:tcPr>
          <w:p>
            <w:r/>
            <w:r>
              <w:t>Damien Zhang, Ricky Yuen</w:t>
            </w:r>
          </w:p>
        </w:tc>
        <w:tc>
          <w:tcPr>
            <w:tcW w:type="dxa" w:w="2160"/>
          </w:tcPr>
          <w:p>
            <w:r/>
            <w:r>
              <w:rPr>
                <w:b/>
              </w:rPr>
              <w:t>GOOSE</w:t>
            </w:r>
            <w:r>
              <w:t xml:space="preserve"> (ICRA 2024)</w:t>
            </w:r>
          </w:p>
        </w:tc>
        <w:tc>
          <w:tcPr>
            <w:tcW w:type="dxa" w:w="2160"/>
          </w:tcPr>
          <w:p>
            <w:r/>
            <w:r>
              <w:t>Can we distinguish drivable ground from obstacles, off-road?</w:t>
            </w:r>
          </w:p>
        </w:tc>
        <w:tc>
          <w:tcPr>
            <w:tcW w:type="dxa" w:w="2160"/>
          </w:tcPr>
          <w:p>
            <w:r/>
            <w:r>
              <w:t>Semantic segmentation</w:t>
            </w:r>
          </w:p>
        </w:tc>
      </w:tr>
      <w:tr>
        <w:trPr>
          <w:cantSplit/>
        </w:trPr>
        <w:tc>
          <w:tcPr>
            <w:tcW w:type="dxa" w:w="2160"/>
          </w:tcPr>
          <w:p>
            <w:r/>
            <w:r>
              <w:t>Aiden Blampain, Fatima Sher</w:t>
            </w:r>
          </w:p>
        </w:tc>
        <w:tc>
          <w:tcPr>
            <w:tcW w:type="dxa" w:w="2160"/>
          </w:tcPr>
          <w:p>
            <w:r/>
            <w:r>
              <w:rPr>
                <w:b/>
              </w:rPr>
              <w:t>MAN TruckScenes</w:t>
            </w:r>
            <w:r>
              <w:t xml:space="preserve"> (NeurIPS 2024)</w:t>
            </w:r>
          </w:p>
        </w:tc>
        <w:tc>
          <w:tcPr>
            <w:tcW w:type="dxa" w:w="2160"/>
          </w:tcPr>
          <w:p>
            <w:r/>
            <w:r>
              <w:t>Radar vs LiDAR vs camera, like-for-like on shared ground truth</w:t>
            </w:r>
          </w:p>
        </w:tc>
        <w:tc>
          <w:tcPr>
            <w:tcW w:type="dxa" w:w="2160"/>
          </w:tcPr>
          <w:p>
            <w:r/>
            <w:r>
              <w:t>3D detection</w:t>
            </w:r>
          </w:p>
        </w:tc>
      </w:tr>
      <w:tr>
        <w:trPr>
          <w:cantSplit/>
        </w:trPr>
        <w:tc>
          <w:tcPr>
            <w:tcW w:type="dxa" w:w="2160"/>
          </w:tcPr>
          <w:p>
            <w:r/>
            <w:r>
              <w:t>Fariya Zehrin, Kelsey Chen</w:t>
            </w:r>
          </w:p>
        </w:tc>
        <w:tc>
          <w:tcPr>
            <w:tcW w:type="dxa" w:w="2160"/>
          </w:tcPr>
          <w:p>
            <w:r/>
            <w:r>
              <w:rPr>
                <w:b/>
              </w:rPr>
              <w:t>TruckDrive</w:t>
            </w:r>
            <w:r>
              <w:t xml:space="preserve"> (CVPR 2026)</w:t>
            </w:r>
          </w:p>
        </w:tc>
        <w:tc>
          <w:tcPr>
            <w:tcW w:type="dxa" w:w="2160"/>
          </w:tcPr>
          <w:p>
            <w:r/>
            <w:r>
              <w:t>Does perception degrade beyond ~150 m?</w:t>
            </w:r>
          </w:p>
        </w:tc>
        <w:tc>
          <w:tcPr>
            <w:tcW w:type="dxa" w:w="2160"/>
          </w:tcPr>
          <w:p>
            <w:r/>
            <w:r>
              <w:t>3D detection, long range</w:t>
            </w:r>
          </w:p>
        </w:tc>
      </w:tr>
    </w:tbl>
    <w:p/>
    <w:p>
      <w:pPr>
        <w:pStyle w:val="Heading3"/>
      </w:pPr>
      <w:r>
        <w:t>4.2 Why pairs, and what returns to epics</w:t>
      </w:r>
    </w:p>
    <w:p>
      <w:r>
        <w:t>Pairing was adopted because Sprint 1's structure spread six people thinly across unfamiliar territory. Working in pairs on one dataset allowed each pair to reach a working environment, real measurements and reproducible evidence.</w:t>
      </w:r>
    </w:p>
    <w:p>
      <w:r>
        <w:rPr>
          <w:b/>
        </w:rPr>
        <w:t>The original epic ownership is retained as a reference. New Stories for Sprint 3 proposes six concrete tasks that build on the dataset work; allocations and scope still need agreement.</w:t>
      </w:r>
      <w:r/>
    </w:p>
    <w:tbl>
      <w:tblPr>
        <w:tblStyle w:val="LightGrid-Accent1"/>
        <w:tblW w:type="auto" w:w="0"/>
        <w:tblLook w:firstColumn="1" w:firstRow="1" w:lastColumn="0" w:lastRow="0" w:noHBand="0" w:noVBand="1" w:val="04A0"/>
      </w:tblPr>
      <w:tblGrid>
        <w:gridCol w:w="2880"/>
        <w:gridCol w:w="2880"/>
        <w:gridCol w:w="2880"/>
      </w:tblGrid>
      <w:tr>
        <w:trPr>
          <w:tblHeader/>
          <w:cantSplit/>
        </w:trPr>
        <w:tc>
          <w:tcPr>
            <w:tcW w:type="dxa" w:w="2880"/>
          </w:tcPr>
          <w:p>
            <w:r>
              <w:rPr>
                <w:b/>
              </w:rPr>
            </w:r>
            <w:r>
              <w:rPr>
                <w:b/>
              </w:rPr>
              <w:t>Epic</w:t>
            </w:r>
          </w:p>
        </w:tc>
        <w:tc>
          <w:tcPr>
            <w:tcW w:type="dxa" w:w="2880"/>
          </w:tcPr>
          <w:p>
            <w:r>
              <w:rPr>
                <w:b/>
              </w:rPr>
            </w:r>
            <w:r>
              <w:rPr>
                <w:b/>
              </w:rPr>
              <w:t>Owner</w:t>
            </w:r>
          </w:p>
        </w:tc>
        <w:tc>
          <w:tcPr>
            <w:tcW w:type="dxa" w:w="2880"/>
          </w:tcPr>
          <w:p>
            <w:r>
              <w:rPr>
                <w:b/>
              </w:rPr>
            </w:r>
            <w:r>
              <w:rPr>
                <w:b/>
              </w:rPr>
              <w:t>Sprint 2 contribution</w:t>
            </w:r>
          </w:p>
        </w:tc>
      </w:tr>
      <w:tr>
        <w:trPr>
          <w:cantSplit/>
        </w:trPr>
        <w:tc>
          <w:tcPr>
            <w:tcW w:type="dxa" w:w="2880"/>
          </w:tcPr>
          <w:p>
            <w:r/>
            <w:r>
              <w:t>A — Simulation base and results presentation</w:t>
            </w:r>
          </w:p>
        </w:tc>
        <w:tc>
          <w:tcPr>
            <w:tcW w:type="dxa" w:w="2880"/>
          </w:tcPr>
          <w:p>
            <w:r/>
            <w:r>
              <w:t>Fariya</w:t>
            </w:r>
          </w:p>
        </w:tc>
        <w:tc>
          <w:tcPr>
            <w:tcW w:type="dxa" w:w="2880"/>
          </w:tcPr>
          <w:p>
            <w:r/>
            <w:r>
              <w:t>TruckDrive exploration; Autoware deferred</w:t>
            </w:r>
          </w:p>
        </w:tc>
      </w:tr>
      <w:tr>
        <w:trPr>
          <w:cantSplit/>
        </w:trPr>
        <w:tc>
          <w:tcPr>
            <w:tcW w:type="dxa" w:w="2880"/>
          </w:tcPr>
          <w:p>
            <w:r/>
            <w:r>
              <w:t>B — Fundamentals, off-road domain, benchmarking infrastructure</w:t>
            </w:r>
          </w:p>
        </w:tc>
        <w:tc>
          <w:tcPr>
            <w:tcW w:type="dxa" w:w="2880"/>
          </w:tcPr>
          <w:p>
            <w:r/>
            <w:r>
              <w:t>Damien</w:t>
            </w:r>
          </w:p>
        </w:tc>
        <w:tc>
          <w:tcPr>
            <w:tcW w:type="dxa" w:w="2880"/>
          </w:tcPr>
          <w:p>
            <w:r/>
            <w:r>
              <w:t>GOOSE survey; results store and schema (DZ-3, DZ-4) delivered</w:t>
            </w:r>
          </w:p>
        </w:tc>
      </w:tr>
      <w:tr>
        <w:trPr>
          <w:cantSplit/>
        </w:trPr>
        <w:tc>
          <w:tcPr>
            <w:tcW w:type="dxa" w:w="2880"/>
          </w:tcPr>
          <w:p>
            <w:r/>
            <w:r>
              <w:t>C — 4D RADAR detection and documentation</w:t>
            </w:r>
          </w:p>
        </w:tc>
        <w:tc>
          <w:tcPr>
            <w:tcW w:type="dxa" w:w="2880"/>
          </w:tcPr>
          <w:p>
            <w:r/>
            <w:r>
              <w:t>Fatima</w:t>
            </w:r>
          </w:p>
        </w:tc>
        <w:tc>
          <w:tcPr>
            <w:tcW w:type="dxa" w:w="2880"/>
          </w:tcPr>
          <w:p>
            <w:r>
              <w:t>TruckScenes matched sensor visualisations and selected-sample statistics; no controlled weather-effect study.</w:t>
            </w:r>
            <w:r/>
          </w:p>
        </w:tc>
      </w:tr>
      <w:tr>
        <w:trPr>
          <w:cantSplit/>
        </w:trPr>
        <w:tc>
          <w:tcPr>
            <w:tcW w:type="dxa" w:w="2880"/>
          </w:tcPr>
          <w:p>
            <w:r/>
            <w:r>
              <w:t>D — Dataset exploration and sensor visualisation</w:t>
            </w:r>
          </w:p>
        </w:tc>
        <w:tc>
          <w:tcPr>
            <w:tcW w:type="dxa" w:w="2880"/>
          </w:tcPr>
          <w:p>
            <w:r/>
            <w:r>
              <w:t>Kelsey</w:t>
            </w:r>
          </w:p>
        </w:tc>
        <w:tc>
          <w:tcPr>
            <w:tcW w:type="dxa" w:w="2880"/>
          </w:tcPr>
          <w:p>
            <w:r/>
            <w:r>
              <w:t>TruckDrive viewer validated; 24 mini scenes prepared</w:t>
            </w:r>
          </w:p>
        </w:tc>
      </w:tr>
      <w:tr>
        <w:trPr>
          <w:cantSplit/>
        </w:trPr>
        <w:tc>
          <w:tcPr>
            <w:tcW w:type="dxa" w:w="2880"/>
          </w:tcPr>
          <w:p>
            <w:r/>
            <w:r>
              <w:t>E — Industry and technology review</w:t>
            </w:r>
          </w:p>
        </w:tc>
        <w:tc>
          <w:tcPr>
            <w:tcW w:type="dxa" w:w="2880"/>
          </w:tcPr>
          <w:p>
            <w:r/>
            <w:r>
              <w:t>Aiden</w:t>
            </w:r>
          </w:p>
        </w:tc>
        <w:tc>
          <w:tcPr>
            <w:tcW w:type="dxa" w:w="2880"/>
          </w:tcPr>
          <w:p>
            <w:r>
              <w:t>TruckScenes devkit and CPU camera-transfer evaluations; industry review remains outstanding.</w:t>
            </w:r>
            <w:r/>
          </w:p>
        </w:tc>
      </w:tr>
      <w:tr>
        <w:trPr>
          <w:cantSplit/>
        </w:trPr>
        <w:tc>
          <w:tcPr>
            <w:tcW w:type="dxa" w:w="2880"/>
          </w:tcPr>
          <w:p>
            <w:r/>
            <w:r>
              <w:t>F — Evaluation framework, reproducibility, coordination</w:t>
            </w:r>
          </w:p>
        </w:tc>
        <w:tc>
          <w:tcPr>
            <w:tcW w:type="dxa" w:w="2880"/>
          </w:tcPr>
          <w:p>
            <w:r/>
            <w:r>
              <w:t>Ricky</w:t>
            </w:r>
          </w:p>
        </w:tc>
        <w:tc>
          <w:tcPr>
            <w:tcW w:type="dxa" w:w="2880"/>
          </w:tcPr>
          <w:p>
            <w:r/>
            <w:r>
              <w:t>Metric definitions, experiment logs, first model run</w:t>
            </w:r>
          </w:p>
        </w:tc>
      </w:tr>
    </w:tbl>
    <w:p/>
    <w:p>
      <w:pPr>
        <w:pStyle w:val="Heading3"/>
      </w:pPr>
      <w:r>
        <w:t>4.3 Shared infrastructure</w:t>
      </w:r>
    </w:p>
    <w:p>
      <w:r>
        <w:t>Three pairs producing results in parallel is how three incompatible formats get created. Two shared components prevent it, both delivered in Sprint 2:</w:t>
      </w:r>
    </w:p>
    <w:p>
      <w:pPr>
        <w:pStyle w:val="ListBullet"/>
      </w:pPr>
      <w:r>
        <w:rPr>
          <w:b/>
        </w:rPr>
        <w:t>docs/metrics-definitions.md defines the metrics and the rules for reporting segmentation and detection results separately.</w:t>
      </w:r>
      <w:r/>
    </w:p>
    <w:p>
      <w:pPr>
        <w:pStyle w:val="ListBullet"/>
      </w:pPr>
      <w:r>
        <w:rPr>
          <w:b/>
        </w:rPr>
        <w:t>results/ contains one JSON record per result, checked against the shared schema. Dataset, sensor configuration and annotation schema identify the conditions under which a result can be interpreted.</w:t>
      </w:r>
      <w:r/>
      <w:r>
        <w:rPr>
          <w:rFonts w:ascii="Consolas" w:hAnsi="Consolas"/>
          <w:color w:val="B03060"/>
        </w:rPr>
      </w:r>
      <w:r/>
    </w:p>
    <w:p>
      <w:r>
        <w:t>Failed and partial experiments are recorded with their limitations rather than treated as completed benchmarks.</w:t>
      </w:r>
    </w:p>
    <w:p>
      <w:pPr>
        <w:pStyle w:val="Heading2"/>
      </w:pPr>
      <w:r>
        <w:t>5. Revised scope boundaries</w:t>
      </w:r>
    </w:p>
    <w:tbl>
      <w:tblPr>
        <w:tblStyle w:val="LightGrid-Accent1"/>
        <w:tblW w:type="auto" w:w="0"/>
        <w:tblLook w:firstColumn="1" w:firstRow="1" w:lastColumn="0" w:lastRow="0" w:noHBand="0" w:noVBand="1" w:val="04A0"/>
      </w:tblPr>
      <w:tblGrid>
        <w:gridCol w:w="4320"/>
        <w:gridCol w:w="4320"/>
      </w:tblGrid>
      <w:tr>
        <w:trPr>
          <w:tblHeader/>
          <w:cantSplit/>
        </w:trPr>
        <w:tc>
          <w:tcPr>
            <w:tcW w:type="dxa" w:w="4320"/>
          </w:tcPr>
          <w:p>
            <w:r>
              <w:rPr>
                <w:b/>
              </w:rPr>
            </w:r>
            <w:r>
              <w:rPr>
                <w:b/>
              </w:rPr>
              <w:t>In scope</w:t>
            </w:r>
          </w:p>
        </w:tc>
        <w:tc>
          <w:tcPr>
            <w:tcW w:type="dxa" w:w="4320"/>
          </w:tcPr>
          <w:p>
            <w:r>
              <w:rPr>
                <w:b/>
              </w:rPr>
            </w:r>
            <w:r>
              <w:rPr>
                <w:b/>
              </w:rPr>
              <w:t>Out of scope</w:t>
            </w:r>
          </w:p>
        </w:tc>
      </w:tr>
      <w:tr>
        <w:trPr>
          <w:cantSplit/>
        </w:trPr>
        <w:tc>
          <w:tcPr>
            <w:tcW w:type="dxa" w:w="4320"/>
          </w:tcPr>
          <w:p>
            <w:r/>
            <w:r>
              <w:t>Dataset acquisition, devkit loading, sensor visualisation across all three datasets</w:t>
            </w:r>
          </w:p>
        </w:tc>
        <w:tc>
          <w:tcPr>
            <w:tcW w:type="dxa" w:w="4320"/>
          </w:tcPr>
          <w:p>
            <w:r/>
            <w:r>
              <w:t>Training a model from scratch</w:t>
            </w:r>
          </w:p>
        </w:tc>
      </w:tr>
      <w:tr>
        <w:trPr>
          <w:cantSplit/>
        </w:trPr>
        <w:tc>
          <w:tcPr>
            <w:tcW w:type="dxa" w:w="4320"/>
          </w:tcPr>
          <w:p>
            <w:r/>
            <w:r>
              <w:t>Per-dataset characterisation with measured statistics</w:t>
            </w:r>
          </w:p>
        </w:tc>
        <w:tc>
          <w:tcPr>
            <w:tcW w:type="dxa" w:w="4320"/>
          </w:tcPr>
          <w:p>
            <w:r/>
            <w:r>
              <w:t>Production deployment or vehicle integration</w:t>
            </w:r>
          </w:p>
        </w:tc>
      </w:tr>
      <w:tr>
        <w:trPr>
          <w:cantSplit/>
        </w:trPr>
        <w:tc>
          <w:tcPr>
            <w:tcW w:type="dxa" w:w="4320"/>
          </w:tcPr>
          <w:p>
            <w:r/>
            <w:r>
              <w:t>A shared, validated results store and metric definitions</w:t>
            </w:r>
          </w:p>
        </w:tc>
        <w:tc>
          <w:tcPr>
            <w:tcW w:type="dxa" w:w="4320"/>
          </w:tcPr>
          <w:p>
            <w:r/>
            <w:r>
              <w:t>Real-world or on-vehicle testing</w:t>
            </w:r>
          </w:p>
        </w:tc>
      </w:tr>
      <w:tr>
        <w:trPr>
          <w:cantSplit/>
        </w:trPr>
        <w:tc>
          <w:tcPr>
            <w:tcW w:type="dxa" w:w="4320"/>
          </w:tcPr>
          <w:p>
            <w:r/>
            <w:r>
              <w:t>Running existing open-source models where hardware permits</w:t>
            </w:r>
          </w:p>
        </w:tc>
        <w:tc>
          <w:tcPr>
            <w:tcW w:type="dxa" w:w="4320"/>
          </w:tcPr>
          <w:p>
            <w:r/>
            <w:r>
              <w:t>Any work requiring Kaya, until access is granted</w:t>
            </w:r>
          </w:p>
        </w:tc>
      </w:tr>
      <w:tr>
        <w:trPr>
          <w:cantSplit/>
        </w:trPr>
        <w:tc>
          <w:tcPr>
            <w:tcW w:type="dxa" w:w="4320"/>
          </w:tcPr>
          <w:p>
            <w:r/>
            <w:r>
              <w:t>Reproducible environments across macOS and Windows</w:t>
            </w:r>
          </w:p>
        </w:tc>
        <w:tc>
          <w:tcPr>
            <w:tcW w:type="dxa" w:w="4320"/>
          </w:tcPr>
          <w:p>
            <w:r/>
            <w:r>
              <w:t>STONE (dropped, D-06)</w:t>
            </w:r>
          </w:p>
        </w:tc>
      </w:tr>
      <w:tr>
        <w:trPr>
          <w:cantSplit/>
        </w:trPr>
        <w:tc>
          <w:tcPr>
            <w:tcW w:type="dxa" w:w="4320"/>
          </w:tcPr>
          <w:p>
            <w:r/>
            <w:r>
              <w:t>Documentation, decision log, handbook, handover material</w:t>
            </w:r>
          </w:p>
        </w:tc>
        <w:tc>
          <w:tcPr>
            <w:tcW w:type="dxa" w:w="4320"/>
          </w:tcPr>
          <w:p>
            <w:r>
              <w:t>Autoware / ROS 2 outside the core Sprint 3 proposal (previously deferred, D-07).</w:t>
            </w:r>
            <w:r/>
          </w:p>
        </w:tc>
      </w:tr>
      <w:tr>
        <w:trPr>
          <w:cantSplit/>
        </w:trPr>
        <w:tc>
          <w:tcPr>
            <w:tcW w:type="dxa" w:w="4320"/>
          </w:tcPr>
          <w:p>
            <w:r/>
            <w:r>
              <w:t>Negative results, recorded with evidence</w:t>
            </w:r>
          </w:p>
        </w:tc>
        <w:tc>
          <w:tcPr>
            <w:tcW w:type="dxa" w:w="4320"/>
          </w:tcPr>
          <w:p>
            <w:r/>
            <w:r>
              <w:t>Novel algorithm development</w:t>
            </w:r>
          </w:p>
        </w:tc>
      </w:tr>
    </w:tbl>
    <w:p/>
    <w:p>
      <w:pPr>
        <w:pStyle w:val="Heading2"/>
      </w:pPr>
      <w:r>
        <w:t>6. Constraints</w:t>
      </w:r>
    </w:p>
    <w:p>
      <w:r>
        <w:t>Carried from Sprint 1, with what changed:</w:t>
      </w:r>
    </w:p>
    <w:p>
      <w:pPr>
        <w:pStyle w:val="ListBullet"/>
      </w:pPr>
      <w:r>
        <w:rPr>
          <w:b/>
        </w:rPr>
        <w:t>CITS3200 is one of four units per member.</w:t>
      </w:r>
      <w:r>
        <w:t xml:space="preserve"> Unchanged.</w:t>
      </w:r>
    </w:p>
    <w:p>
      <w:pPr>
        <w:pStyle w:val="ListBullet"/>
      </w:pPr>
      <w:r>
        <w:rPr>
          <w:b/>
        </w:rPr>
        <w:t>Compute.</w:t>
      </w:r>
      <w:r>
        <w:t xml:space="preserve"> Partly resolved. Risk R-08 assumed no member had a discrete NVIDIA GPU; an audit on 27 August found a </w:t>
      </w:r>
      <w:r>
        <w:rPr>
          <w:b/>
        </w:rPr>
        <w:t>GTX 1660, 6 GiB</w:t>
      </w:r>
      <w:r>
        <w:t xml:space="preserve">, which is the team's only CUDA machine. Bounded inference works with the documented runtime patch, FP32, FlashAttention off, patch sizes 64 and one augmentation. The ten-frame loop-body mean extrapolates to </w:t>
      </w:r>
      <w:r>
        <w:rPr>
          <w:b/>
        </w:rPr>
        <w:t>~5 hours</w:t>
      </w:r>
      <w:r>
        <w:t>, excluding data loading; full-split resource use remains unmeasured. Further sustained local work requires Ricky's explicit approval.</w:t>
      </w:r>
    </w:p>
    <w:p>
      <w:pPr>
        <w:pStyle w:val="ListBullet"/>
      </w:pPr>
      <w:r>
        <w:rPr>
          <w:b/>
        </w:rPr>
        <w:t>Dataset access differs by dataset.</w:t>
      </w:r>
      <w:r>
        <w:t xml:space="preserve"> GOOSE is open; TruckScenes is open via AWS; TruckDrive requires accepting a non-commercial licence.</w:t>
      </w:r>
    </w:p>
    <w:p>
      <w:pPr>
        <w:pStyle w:val="ListBullet"/>
      </w:pPr>
      <w:r>
        <w:rPr>
          <w:b/>
        </w:rPr>
        <w:t>No tokens or credits for AI tooling.</w:t>
      </w:r>
      <w:r>
        <w:t xml:space="preserve"> Costs are borne by members.</w:t>
      </w:r>
    </w:p>
    <w:p>
      <w:pPr>
        <w:pStyle w:val="ListBullet"/>
      </w:pPr>
      <w:r>
        <w:rPr>
          <w:b/>
        </w:rPr>
        <w:t>Scope confirmation is tracked under R-28 and R-32.</w:t>
      </w:r>
      <w:r/>
    </w:p>
    <w:p>
      <w:pPr>
        <w:pStyle w:val="Heading2"/>
      </w:pPr>
      <w:r>
        <w:t>7. Recorded decisions</w:t>
      </w:r>
    </w:p>
    <w:p>
      <w:r>
        <w:t>D-01 to D-09 remain in decision-log.md. They document the comparison rules, dataset choices and delivery structure.</w:t>
      </w:r>
    </w:p>
    <w:p>
      <w:r>
        <w:t>The decision record distinguishes proposals from confirmed decisions.</w:t>
      </w:r>
    </w:p>
    <w:p>
      <w:r>
        <w:rPr>
          <w:b/>
        </w:rPr>
        <w:t>D-06 — STONE dropped.</w:t>
      </w:r>
      <w:r>
        <w:t xml:space="preserve"> 29 August. The only off-road dataset found with annotated 4D imaging radar, but a 346 GB monolithic download with no sample split, no devkit in its repository, and maintainers unresponsive since March. Storage alone was necessary but not sufficient; the absent toolkit was also a blocker. Client notification is not verified by the cited draft note.</w:t>
      </w:r>
    </w:p>
    <w:p>
      <w:r>
        <w:rPr>
          <w:b/>
        </w:rPr>
        <w:t>D-07 — Autoware was deferred. The new Sprint 3 proposal prioritises analysis, static visualisations and handover; Autoware is outside the core plan unless capacity and a clear benefit are agreed.</w:t>
      </w:r>
      <w:r/>
      <w:r>
        <w:rPr>
          <w:b/>
        </w:rPr>
      </w:r>
      <w:r/>
    </w:p>
    <w:p>
      <w:r>
        <w:rPr>
          <w:b/>
        </w:rPr>
        <w:t>D-08 — Delivery was reorganised into three dataset pairs for Sprint 2. The proposed Sprint 3 tasks retain that expertise while adding cross-pair checks.</w:t>
      </w:r>
      <w:r/>
    </w:p>
    <w:p>
      <w:r>
        <w:rPr>
          <w:b/>
        </w:rPr>
        <w:t>D-09 — The team continued technical work and documented scope variance. Revised scope confirmation remains pending.</w:t>
      </w:r>
      <w:r/>
    </w:p>
    <w:p>
      <w:pPr>
        <w:pStyle w:val="Heading2"/>
      </w:pPr>
      <w:r>
        <w:t>8. What we delivered in Sprint 2</w:t>
      </w:r>
    </w:p>
    <w:p>
      <w:r>
        <w:t>All three pairs have merged work on main, including GOOSE (#17), TruckDrive (#23, #28), TruckScenes exploration and camera experiments (#21, #27, #29), and the comparison protocol (#19).</w:t>
      </w:r>
      <w:r>
        <w:rPr>
          <w:b/>
        </w:rPr>
      </w:r>
      <w:r/>
    </w:p>
    <w:p>
      <w:pPr>
        <w:ind w:left="480"/>
        <w:jc w:val="left"/>
      </w:pPr>
      <w:r>
        <w:rPr>
          <w:b/>
          <w:i/>
        </w:rPr>
        <w:t>The three figures below are not comparable with one another.</w:t>
      </w:r>
      <w:r>
        <w:rPr>
          <w:i/>
        </w:rPr>
        <w:t xml:space="preserve"> They describe different sampling rules: GOOSE's point count covers all 961 validation frames; TruckScenes' totals use one selected radar and one selected LiDAR channel on one sample per scene; TruckDrive's long-range figure covers one radar frame in each of 24 scenes. They are descriptions of those samples — not a sensor-density ranking, and not evidence of detection accuracy. </w:t>
      </w:r>
      <w:r>
        <w:rPr>
          <w:i/>
        </w:rPr>
        <w:t>(Correction raised by Ricky Yuen, 5 September.)</w:t>
      </w:r>
    </w:p>
    <w:p>
      <w:r>
        <w:rPr>
          <w:b/>
        </w:rPr>
        <w:t>All three datasets are loading, visualised and characterised.</w:t>
      </w:r>
    </w:p>
    <w:tbl>
      <w:tblPr>
        <w:tblStyle w:val="LightGrid-Accent1"/>
        <w:tblW w:type="auto" w:w="0"/>
        <w:tblLook w:firstColumn="1" w:firstRow="1" w:lastColumn="0" w:lastRow="0" w:noHBand="0" w:noVBand="1" w:val="04A0"/>
      </w:tblPr>
      <w:tblGrid>
        <w:gridCol w:w="2880"/>
        <w:gridCol w:w="2880"/>
        <w:gridCol w:w="2880"/>
      </w:tblGrid>
      <w:tr>
        <w:trPr>
          <w:tblHeader/>
          <w:cantSplit/>
        </w:trPr>
        <w:tc>
          <w:tcPr>
            <w:tcW w:type="dxa" w:w="2880"/>
          </w:tcPr>
          <w:p>
            <w:r>
              <w:rPr>
                <w:b/>
              </w:rPr>
            </w:r>
            <w:r>
              <w:rPr>
                <w:b/>
              </w:rPr>
              <w:t>Dataset</w:t>
            </w:r>
          </w:p>
        </w:tc>
        <w:tc>
          <w:tcPr>
            <w:tcW w:type="dxa" w:w="2880"/>
          </w:tcPr>
          <w:p>
            <w:r>
              <w:rPr>
                <w:b/>
              </w:rPr>
            </w:r>
            <w:r>
              <w:rPr>
                <w:b/>
              </w:rPr>
              <w:t>Measured</w:t>
            </w:r>
          </w:p>
        </w:tc>
        <w:tc>
          <w:tcPr>
            <w:tcW w:type="dxa" w:w="2880"/>
          </w:tcPr>
          <w:p>
            <w:r>
              <w:rPr>
                <w:b/>
              </w:rPr>
            </w:r>
            <w:r>
              <w:rPr>
                <w:b/>
              </w:rPr>
              <w:t>Evidence</w:t>
            </w:r>
          </w:p>
        </w:tc>
      </w:tr>
      <w:tr>
        <w:trPr>
          <w:cantSplit/>
        </w:trPr>
        <w:tc>
          <w:tcPr>
            <w:tcW w:type="dxa" w:w="2880"/>
          </w:tcPr>
          <w:p>
            <w:r/>
            <w:r>
              <w:t>GOOSE</w:t>
            </w:r>
          </w:p>
        </w:tc>
        <w:tc>
          <w:tcPr>
            <w:tcW w:type="dxa" w:w="2880"/>
          </w:tcPr>
          <w:p>
            <w:r>
              <w:t>961 frames, 174,891,807 labelled points; 3.8% beyond 100 m. Technical closeout prepared; model benchmark remains partial.</w:t>
            </w:r>
            <w:r/>
            <w:r>
              <w:rPr>
                <w:b/>
              </w:rPr>
            </w:r>
          </w:p>
        </w:tc>
        <w:tc>
          <w:tcPr>
            <w:tcW w:type="dxa" w:w="2880"/>
          </w:tcPr>
          <w:p>
            <w:r/>
            <w:r>
              <w:t xml:space="preserve">✅ merged — </w:t>
            </w:r>
            <w:r>
              <w:rPr>
                <w:rFonts w:ascii="Consolas" w:hAnsi="Consolas"/>
                <w:color w:val="B03060"/>
              </w:rPr>
              <w:t>docs/dataset-surveys/goose.md</w:t>
            </w:r>
            <w:r>
              <w:t xml:space="preserve">, </w:t>
            </w:r>
            <w:r>
              <w:rPr>
                <w:rFonts w:ascii="Consolas" w:hAnsi="Consolas"/>
                <w:color w:val="B03060"/>
              </w:rPr>
              <w:t>dataset-statistics.md</w:t>
            </w:r>
            <w:r>
              <w:t>, six result records, four experiment logs</w:t>
            </w:r>
          </w:p>
        </w:tc>
      </w:tr>
      <w:tr>
        <w:trPr>
          <w:cantSplit/>
        </w:trPr>
        <w:tc>
          <w:tcPr>
            <w:tcW w:type="dxa" w:w="2880"/>
          </w:tcPr>
          <w:p>
            <w:r/>
            <w:r>
              <w:t>TruckDrive</w:t>
            </w:r>
          </w:p>
        </w:tc>
        <w:tc>
          <w:tcPr>
            <w:tcW w:type="dxa" w:w="2880"/>
          </w:tcPr>
          <w:p>
            <w:r/>
            <w:r>
              <w:t xml:space="preserve">24 mini scenes; 12,502 radar frames; 526,148 3D boxes; 27 classes; 6,746 radar </w:t>
            </w:r>
            <w:r>
              <w:rPr>
                <w:b/>
              </w:rPr>
              <w:t>returns</w:t>
            </w:r>
            <w:r>
              <w:t xml:space="preserve"> at ≥150 m in the sampled frames</w:t>
            </w:r>
          </w:p>
        </w:tc>
        <w:tc>
          <w:tcPr>
            <w:tcW w:type="dxa" w:w="2880"/>
          </w:tcPr>
          <w:p>
            <w:r/>
            <w:r>
              <w:t xml:space="preserve">✅ merged — </w:t>
            </w:r>
            <w:r>
              <w:rPr>
                <w:rFonts w:ascii="Consolas" w:hAnsi="Consolas"/>
                <w:color w:val="B03060"/>
              </w:rPr>
              <w:t>TruckDrive - Kelsey/</w:t>
            </w:r>
          </w:p>
        </w:tc>
      </w:tr>
      <w:tr>
        <w:trPr>
          <w:cantSplit/>
        </w:trPr>
        <w:tc>
          <w:tcPr>
            <w:tcW w:type="dxa" w:w="2880"/>
          </w:tcPr>
          <w:p>
            <w:r/>
            <w:r>
              <w:t>TruckScenes</w:t>
            </w:r>
          </w:p>
        </w:tc>
        <w:tc>
          <w:tcPr>
            <w:tcW w:type="dxa" w:w="2880"/>
          </w:tcPr>
          <w:p>
            <w:r>
              <w:t>Mini split characterised; matched sensor views; four-camera FCOS3D mAP 0.0046 and NDS 0.0038 on 80 mini_val samples.</w:t>
            </w:r>
            <w:r/>
            <w:r>
              <w:rPr>
                <w:b/>
              </w:rPr>
            </w:r>
            <w:r/>
          </w:p>
        </w:tc>
        <w:tc>
          <w:tcPr>
            <w:tcW w:type="dxa" w:w="2880"/>
          </w:tcPr>
          <w:p>
            <w:r/>
            <w:r>
              <w:t xml:space="preserve">✅ merged — </w:t>
            </w:r>
            <w:r>
              <w:rPr>
                <w:rFonts w:ascii="Consolas" w:hAnsi="Consolas"/>
                <w:color w:val="B03060"/>
              </w:rPr>
              <w:t>docs/dataset-surveys/truckscenes.md</w:t>
            </w:r>
            <w:r>
              <w:t xml:space="preserve">, </w:t>
            </w:r>
            <w:r>
              <w:rPr>
                <w:rFonts w:ascii="Consolas" w:hAnsi="Consolas"/>
                <w:color w:val="B03060"/>
              </w:rPr>
              <w:t>docs/evidence/truckscenes/</w:t>
            </w:r>
            <w:r>
              <w:t xml:space="preserve">, </w:t>
            </w:r>
            <w:r>
              <w:rPr>
                <w:rFonts w:ascii="Consolas" w:hAnsi="Consolas"/>
                <w:color w:val="B03060"/>
              </w:rPr>
              <w:t>docs/dataset-comparison.md</w:t>
            </w:r>
            <w:r>
              <w:t>, and the FCOS3D result record</w:t>
            </w:r>
          </w:p>
        </w:tc>
      </w:tr>
    </w:tbl>
    <w:p/>
    <w:p>
      <w:r>
        <w:rPr>
          <w:b/>
        </w:rPr>
        <w:t>Shared infrastructure delivered:</w:t>
      </w:r>
      <w:r>
        <w:t xml:space="preserve"> results store with schema validation; metric definitions; experiment log; survey template; cross-platform environment documentation; a project handbook; and a session guard enforcing file ownership between parallel contributors.</w:t>
      </w:r>
    </w:p>
    <w:p>
      <w:r>
        <w:rPr>
          <w:b/>
        </w:rPr>
        <w:t>Model experiments: bounded GOOSE inference and two TruckScenes camera-transfer evaluations.</w:t>
      </w:r>
    </w:p>
    <w:p>
      <w:r>
        <w:rPr>
          <w:i/>
        </w:rPr>
        <w:t>TruckScenes — FCOS3D was evaluated zero-shot using a nuScenes-trained checkpoint on CPU. The original single-camera submission scored mAP 0.0000. The new four-camera experiment has 5,247 boxes and nonempty predictions for all 80 mini_val samples; its saved metrics are mAP 0.0046 and NDS 0.0038. The cause of the low score remains unresolved. Reusing reference conversion code does not independently rule out geometry, calibration or preprocessing errors. Neither experiment compares radar with LiDAR.</w:t>
      </w:r>
      <w:r/>
      <w:r>
        <w:rPr>
          <w:rFonts w:ascii="Consolas" w:hAnsi="Consolas"/>
          <w:color w:val="B03060"/>
        </w:rPr>
      </w:r>
      <w:r/>
      <w:r>
        <w:rPr>
          <w:b/>
        </w:rPr>
      </w:r>
      <w:r/>
    </w:p>
    <w:p>
      <w:r>
        <w:rPr>
          <w:i/>
        </w:rPr>
        <w:t>GOOSE — PTv3 ran under a modified FP32 configuration on a GTX 1660 and stopped after 10 of 961 validation frames. This is a partial diagnostic run. The measured processing-loop mean extrapolates to about five hours for the split, excluding loading; a full run has not been measured.</w:t>
      </w:r>
      <w:r/>
    </w:p>
    <w:p>
      <w:r>
        <w:rPr>
          <w:b/>
        </w:rPr>
        <w:t>These experiments demonstrate local runnability under specific conditions and expose limits that the next plan must address. Dataset statistics, model predictions and evaluated performance remain separate forms of evidence.</w:t>
      </w:r>
      <w:r/>
    </w:p>
    <w:p>
      <w:pPr>
        <w:pStyle w:val="Heading2"/>
      </w:pPr>
      <w:r>
        <w:t>9. Variance from the Sprint 1 Scope of Work</w:t>
      </w:r>
    </w:p>
    <w:p>
      <w:r>
        <w:t xml:space="preserve">Recorded because acceptance criterion </w:t>
      </w:r>
      <w:r>
        <w:rPr>
          <w:b/>
        </w:rPr>
        <w:t>P-7</w:t>
      </w:r>
      <w:r>
        <w:t xml:space="preserve"> requires it.</w:t>
      </w:r>
    </w:p>
    <w:tbl>
      <w:tblPr>
        <w:tblStyle w:val="LightGrid-Accent1"/>
        <w:tblW w:type="auto" w:w="0"/>
        <w:tblLook w:firstColumn="1" w:firstRow="1" w:lastColumn="0" w:lastRow="0" w:noHBand="0" w:noVBand="1" w:val="04A0"/>
      </w:tblPr>
      <w:tblGrid>
        <w:gridCol w:w="2880"/>
        <w:gridCol w:w="2880"/>
        <w:gridCol w:w="2880"/>
      </w:tblGrid>
      <w:tr>
        <w:trPr>
          <w:tblHeader/>
          <w:cantSplit/>
        </w:trPr>
        <w:tc>
          <w:tcPr>
            <w:tcW w:type="dxa" w:w="2880"/>
          </w:tcPr>
          <w:p>
            <w:r>
              <w:rPr>
                <w:b/>
              </w:rPr>
            </w:r>
            <w:r>
              <w:rPr>
                <w:b/>
              </w:rPr>
              <w:t>Sprint 1 intent</w:t>
            </w:r>
          </w:p>
        </w:tc>
        <w:tc>
          <w:tcPr>
            <w:tcW w:type="dxa" w:w="2880"/>
          </w:tcPr>
          <w:p>
            <w:r>
              <w:rPr>
                <w:b/>
              </w:rPr>
            </w:r>
            <w:r>
              <w:rPr>
                <w:b/>
              </w:rPr>
              <w:t>Outcome</w:t>
            </w:r>
          </w:p>
        </w:tc>
        <w:tc>
          <w:tcPr>
            <w:tcW w:type="dxa" w:w="2880"/>
          </w:tcPr>
          <w:p>
            <w:r>
              <w:rPr>
                <w:b/>
              </w:rPr>
            </w:r>
            <w:r>
              <w:rPr>
                <w:b/>
              </w:rPr>
              <w:t>Reason</w:t>
            </w:r>
          </w:p>
        </w:tc>
      </w:tr>
      <w:tr>
        <w:trPr>
          <w:cantSplit/>
        </w:trPr>
        <w:tc>
          <w:tcPr>
            <w:tcW w:type="dxa" w:w="2880"/>
          </w:tcPr>
          <w:p>
            <w:r/>
            <w:r>
              <w:t>Six epics, one per member</w:t>
            </w:r>
          </w:p>
        </w:tc>
        <w:tc>
          <w:tcPr>
            <w:tcW w:type="dxa" w:w="2880"/>
          </w:tcPr>
          <w:p>
            <w:r/>
            <w:r>
              <w:t>Three dataset pairs</w:t>
            </w:r>
          </w:p>
        </w:tc>
        <w:tc>
          <w:tcPr>
            <w:tcW w:type="dxa" w:w="2880"/>
          </w:tcPr>
          <w:p>
            <w:r/>
            <w:r>
              <w:t>Epics spread six people too thinly; D-08</w:t>
            </w:r>
          </w:p>
        </w:tc>
      </w:tr>
      <w:tr>
        <w:trPr>
          <w:cantSplit/>
        </w:trPr>
        <w:tc>
          <w:tcPr>
            <w:tcW w:type="dxa" w:w="2880"/>
          </w:tcPr>
          <w:p>
            <w:r/>
            <w:r>
              <w:t>Off-road strand including STONE</w:t>
            </w:r>
          </w:p>
        </w:tc>
        <w:tc>
          <w:tcPr>
            <w:tcW w:type="dxa" w:w="2880"/>
          </w:tcPr>
          <w:p>
            <w:r/>
            <w:r>
              <w:t>STONE dropped</w:t>
            </w:r>
          </w:p>
        </w:tc>
        <w:tc>
          <w:tcPr>
            <w:tcW w:type="dxa" w:w="2880"/>
          </w:tcPr>
          <w:p>
            <w:r/>
            <w:r>
              <w:t>No devkit, unresponsive maintainers; D-06</w:t>
            </w:r>
          </w:p>
        </w:tc>
      </w:tr>
      <w:tr>
        <w:trPr>
          <w:cantSplit/>
        </w:trPr>
        <w:tc>
          <w:tcPr>
            <w:tcW w:type="dxa" w:w="2880"/>
          </w:tcPr>
          <w:p>
            <w:r/>
            <w:r>
              <w:t>Autoware / ROS 2 feasibility (WS3)</w:t>
            </w:r>
          </w:p>
        </w:tc>
        <w:tc>
          <w:tcPr>
            <w:tcW w:type="dxa" w:w="2880"/>
          </w:tcPr>
          <w:p>
            <w:r/>
            <w:r>
              <w:t>Not attempted</w:t>
            </w:r>
          </w:p>
        </w:tc>
        <w:tc>
          <w:tcPr>
            <w:tcW w:type="dxa" w:w="2880"/>
          </w:tcPr>
          <w:p>
            <w:r/>
            <w:r>
              <w:t>No Linux machine; D-07</w:t>
            </w:r>
          </w:p>
        </w:tc>
      </w:tr>
      <w:tr>
        <w:trPr>
          <w:cantSplit/>
        </w:trPr>
        <w:tc>
          <w:tcPr>
            <w:tcW w:type="dxa" w:w="2880"/>
          </w:tcPr>
          <w:p>
            <w:r/>
            <w:r>
              <w:t>Benchmarking across models (WS4)</w:t>
            </w:r>
          </w:p>
        </w:tc>
        <w:tc>
          <w:tcPr>
            <w:tcW w:type="dxa" w:w="2880"/>
          </w:tcPr>
          <w:p>
            <w:r>
              <w:t>Shared metrics/store, two camera-transfer evaluations and one partial GOOSE run.</w:t>
            </w:r>
            <w:r/>
          </w:p>
        </w:tc>
        <w:tc>
          <w:tcPr>
            <w:tcW w:type="dxa" w:w="2880"/>
          </w:tcPr>
          <w:p>
            <w:r>
              <w:t>Matched sensor benchmarking still needs compatible models, an agreed protocol and suitable compute.</w:t>
            </w:r>
            <w:r/>
          </w:p>
        </w:tc>
      </w:tr>
      <w:tr>
        <w:trPr>
          <w:cantSplit/>
        </w:trPr>
        <w:tc>
          <w:tcPr>
            <w:tcW w:type="dxa" w:w="2880"/>
          </w:tcPr>
          <w:p>
            <w:r/>
            <w:r>
              <w:t>Cross-team sensor survey (WS1)</w:t>
            </w:r>
          </w:p>
        </w:tc>
        <w:tc>
          <w:tcPr>
            <w:tcW w:type="dxa" w:w="2880"/>
          </w:tcPr>
          <w:p>
            <w:r/>
            <w:r>
              <w:t>Not written</w:t>
            </w:r>
          </w:p>
        </w:tc>
        <w:tc>
          <w:tcPr>
            <w:tcW w:type="dxa" w:w="2880"/>
          </w:tcPr>
          <w:p>
            <w:r/>
            <w:r>
              <w:t>Deferred with the epics</w:t>
            </w:r>
          </w:p>
        </w:tc>
      </w:tr>
      <w:tr>
        <w:trPr>
          <w:cantSplit/>
        </w:trPr>
        <w:tc>
          <w:tcPr>
            <w:tcW w:type="dxa" w:w="2880"/>
          </w:tcPr>
          <w:p>
            <w:r/>
            <w:r>
              <w:t>Changes raised with Adrian at the time</w:t>
            </w:r>
          </w:p>
        </w:tc>
        <w:tc>
          <w:tcPr>
            <w:tcW w:type="dxa" w:w="2880"/>
          </w:tcPr>
          <w:p>
            <w:r>
              <w:t>Variance documented; confirmation pending.</w:t>
            </w:r>
            <w:r/>
          </w:p>
        </w:tc>
        <w:tc>
          <w:tcPr>
            <w:tcW w:type="dxa" w:w="2880"/>
          </w:tcPr>
          <w:p>
            <w:r>
              <w:t>Retain dated communication and feedback when available.</w:t>
            </w:r>
            <w:r/>
          </w:p>
        </w:tc>
      </w:tr>
    </w:tbl>
    <w:p/>
    <w:p>
      <w:r>
        <w:rPr>
          <w:b/>
        </w:rPr>
        <w:t>P-7 is partly met: variance is documented, while evidence of scope communication and agreement must be retained when available.</w:t>
      </w:r>
      <w:r/>
      <w:r>
        <w:rPr>
          <w:i/>
        </w:rPr>
      </w:r>
      <w:r/>
      <w:r>
        <w:rPr>
          <w:rFonts w:ascii="Consolas" w:hAnsi="Consolas"/>
          <w:color w:val="B03060"/>
        </w:rPr>
      </w:r>
      <w:r/>
    </w:p>
    <w:p>
      <w:r>
        <w:t>Companion documents: Revised Risk Register, Revised Project Acceptance Tests, Revised Set of Stories; Project Summary and New Stories for Sprint 3. Repository: https://github.com/Ricky24248619/Group-7-RADAR-for-Autonomous-Driving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F26039E7D5634FB0F6B28645670747" ma:contentTypeVersion="5" ma:contentTypeDescription="Create a new document." ma:contentTypeScope="" ma:versionID="49e77cf0d2d0c79418ff5fb4500b6204">
  <xsd:schema xmlns:xsd="http://www.w3.org/2001/XMLSchema" xmlns:xs="http://www.w3.org/2001/XMLSchema" xmlns:p="http://schemas.microsoft.com/office/2006/metadata/properties" xmlns:ns2="bf36fff2-3bbb-4817-94ce-4769e47fe68e" targetNamespace="http://schemas.microsoft.com/office/2006/metadata/properties" ma:root="true" ma:fieldsID="c3790fb5b99def2e3f7904f9796c7115" ns2:_="">
    <xsd:import namespace="bf36fff2-3bbb-4817-94ce-4769e47fe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6fff2-3bbb-4817-94ce-4769e47fe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2C78482-1A68-4549-B108-EEC5D7EEE26B}"/>
</file>

<file path=customXml/itemProps3.xml><?xml version="1.0" encoding="utf-8"?>
<ds:datastoreItem xmlns:ds="http://schemas.openxmlformats.org/officeDocument/2006/customXml" ds:itemID="{AB7D6BF7-6519-4BB4-BB5B-388C906E8DB2}"/>
</file>

<file path=customXml/itemProps4.xml><?xml version="1.0" encoding="utf-8"?>
<ds:datastoreItem xmlns:ds="http://schemas.openxmlformats.org/officeDocument/2006/customXml" ds:itemID="{768D8459-DF35-4B55-ACB1-FB2C023EAB4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0x0101007FF26039E7D5634FB0F6B28645670747</vt:lpwstr>
  </property>
</Properties>
</file>