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Revised Set of Stories</w:t>
      </w:r>
    </w:p>
    <w:p>
      <w:r>
        <w:rPr>
          <w:b/>
        </w:rPr>
        <w:t>CITS3200 Professional Computing | Group 07 | Revision 2 | 5 September 2026</w:t>
      </w:r>
    </w:p>
    <w:p>
      <w:pPr>
        <w:ind w:left="480"/>
        <w:jc w:val="left"/>
      </w:pPr>
      <w:r>
        <w:rPr>
          <w:i/>
        </w:rPr>
        <w:t xml:space="preserve">Revises the Set of Stories of 12 August. </w:t>
      </w:r>
      <w:r>
        <w:rPr>
          <w:b/>
          <w:i/>
        </w:rPr>
        <w:t>Original identifiers are preserved</w:t>
      </w:r>
      <w:r>
        <w:rPr>
          <w:i/>
        </w:rPr>
        <w:t xml:space="preserve"> — DZ-1 here is the same story as DZ-1 there — and each carries its status. Sprint 2 stories are added with dataset-pair identifiers. The original noted that 27 stories formed a whole-project backlog and that </w:t>
      </w:r>
      <w:r>
        <w:rPr>
          <w:i/>
        </w:rPr>
        <w:t>"the team expects to complete a small number of these by the end of Sprint 2"</w:t>
      </w:r>
      <w:r>
        <w:rPr>
          <w:i/>
        </w:rPr>
        <w:t>. This document records which, and what replaced the rest.</w:t>
      </w:r>
    </w:p>
    <w:p>
      <w:pPr>
        <w:pStyle w:val="Heading2"/>
      </w:pPr>
      <w:r>
        <w:t>1. Identifier scheme</w:t>
      </w:r>
    </w:p>
    <w:p>
      <w:r>
        <w:rPr>
          <w:b/>
        </w:rPr>
        <w:t>Sprint 1 stories</w:t>
      </w:r>
      <w:r>
        <w:t xml:space="preserve"> keep owner initials: FZ (Fariya), DZ (Damien), FA (Fatima), KL (Kelsey), AD (Aiden), RY (Ricky).</w:t>
      </w:r>
    </w:p>
    <w:p>
      <w:r>
        <w:rPr>
          <w:b/>
        </w:rPr>
        <w:t>Sprint 2 stories</w:t>
      </w:r>
      <w:r>
        <w:t xml:space="preserve"> are prefixed by dataset, because that is how the work was organised: </w:t>
      </w:r>
      <w:r>
        <w:rPr>
          <w:b/>
        </w:rPr>
        <w:t>GO</w:t>
      </w:r>
      <w:r>
        <w:t xml:space="preserve"> (GOOSE), </w:t>
      </w:r>
      <w:r>
        <w:rPr>
          <w:b/>
        </w:rPr>
        <w:t>TS</w:t>
      </w:r>
      <w:r>
        <w:t xml:space="preserve"> (TruckScenes), </w:t>
      </w:r>
      <w:r>
        <w:rPr>
          <w:b/>
        </w:rPr>
        <w:t>TD</w:t>
      </w:r>
      <w:r>
        <w:t xml:space="preserve"> (TruckDrive), </w:t>
      </w:r>
      <w:r>
        <w:rPr>
          <w:b/>
        </w:rPr>
        <w:t>SH</w:t>
      </w:r>
      <w:r>
        <w:t xml:space="preserve"> (shared infrastructure).</w:t>
      </w:r>
    </w:p>
    <w:p>
      <w:r>
        <w:rPr>
          <w:b/>
        </w:rPr>
        <w:t>Status:</w:t>
      </w:r>
      <w:r>
        <w:t xml:space="preserve"> Delivered · Partial · Deferred (still intended) · Dropped (with reason).</w:t>
      </w:r>
    </w:p>
    <w:p>
      <w:pPr>
        <w:pStyle w:val="Heading2"/>
      </w:pPr>
      <w:r>
        <w:t>2. Sprint 1 backlog — what happened to each story</w:t>
      </w:r>
    </w:p>
    <w:p>
      <w:pPr>
        <w:pStyle w:val="Heading3"/>
      </w:pPr>
      <w:r>
        <w:t>Fariya Zehrin — Epic 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FZ-1</w:t>
            </w:r>
          </w:p>
        </w:tc>
        <w:tc>
          <w:tcPr>
            <w:tcW w:type="dxa" w:w="2880"/>
          </w:tcPr>
          <w:p>
            <w:r/>
            <w:r>
              <w:t>Autoware running locally with a test scenario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 xml:space="preserve"> — no Linux machine; D-07</w:t>
            </w:r>
          </w:p>
        </w:tc>
      </w:tr>
      <w:tr>
        <w:tc>
          <w:tcPr>
            <w:tcW w:type="dxa" w:w="2880"/>
          </w:tcPr>
          <w:p>
            <w:r/>
            <w:r>
              <w:t>FZ-2</w:t>
            </w:r>
          </w:p>
        </w:tc>
        <w:tc>
          <w:tcPr>
            <w:tcW w:type="dxa" w:w="2880"/>
          </w:tcPr>
          <w:p>
            <w:r/>
            <w:r>
              <w:t>Interactive dashboard across datasets, sensors and conditions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 xml:space="preserve"> — needs results to display; the store now exists</w:t>
            </w:r>
          </w:p>
        </w:tc>
      </w:tr>
      <w:tr>
        <w:tc>
          <w:tcPr>
            <w:tcW w:type="dxa" w:w="2880"/>
          </w:tcPr>
          <w:p>
            <w:r/>
            <w:r>
              <w:t>FZ-3</w:t>
            </w:r>
          </w:p>
        </w:tc>
        <w:tc>
          <w:tcPr>
            <w:tcW w:type="dxa" w:w="2880"/>
          </w:tcPr>
          <w:p>
            <w:r/>
            <w:r>
              <w:t>Plain-language summary generated alongside raw metrics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</w:p>
        </w:tc>
      </w:tr>
      <w:tr>
        <w:tc>
          <w:tcPr>
            <w:tcW w:type="dxa" w:w="2880"/>
          </w:tcPr>
          <w:p>
            <w:r/>
            <w:r>
              <w:t>FZ-4</w:t>
            </w:r>
          </w:p>
        </w:tc>
        <w:tc>
          <w:tcPr>
            <w:tcW w:type="dxa" w:w="2880"/>
          </w:tcPr>
          <w:p>
            <w:r/>
            <w:r>
              <w:t>Backend serving processed metrics as JSON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Superseded by SH-1.</w:t>
            </w:r>
            <w:r>
              <w:t xml:space="preserve"> The results store serves the same purpose as files rather than a service, which DZ-4 required for handover</w:t>
            </w:r>
          </w:p>
        </w:tc>
      </w:tr>
    </w:tbl>
    <w:p/>
    <w:p>
      <w:pPr>
        <w:pStyle w:val="Heading3"/>
      </w:pPr>
      <w:r>
        <w:t>Damien Zhang — Epic B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DZ-1</w:t>
            </w:r>
          </w:p>
        </w:tc>
        <w:tc>
          <w:tcPr>
            <w:tcW w:type="dxa" w:w="2880"/>
          </w:tcPr>
          <w:p>
            <w:r/>
            <w:r>
              <w:t>Survey of the self-driving stack and sensor comparison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per-dataset context and the project handbook written; the cross-team survey is not</w:t>
            </w:r>
          </w:p>
        </w:tc>
      </w:tr>
      <w:tr>
        <w:tc>
          <w:tcPr>
            <w:tcW w:type="dxa" w:w="2880"/>
          </w:tcPr>
          <w:p>
            <w:r/>
            <w:r>
              <w:t>DZ-2</w:t>
            </w:r>
          </w:p>
        </w:tc>
        <w:tc>
          <w:tcPr>
            <w:tcW w:type="dxa" w:w="2880"/>
          </w:tcPr>
          <w:p>
            <w:r/>
            <w:r>
              <w:t>Catalogue of off-road datasets, recording radar presence per dataset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Delivered.</w:t>
            </w:r>
            <w:r>
              <w:t xml:space="preserve"> GOOSE and STONE surveyed against a fixed checklist. The finding — that off-road radar exists but is not obtainable — was reported to the client</w:t>
            </w:r>
          </w:p>
        </w:tc>
      </w:tr>
      <w:tr>
        <w:tc>
          <w:tcPr>
            <w:tcW w:type="dxa" w:w="2880"/>
          </w:tcPr>
          <w:p>
            <w:r/>
            <w:r>
              <w:t>DZ-3</w:t>
            </w:r>
          </w:p>
        </w:tc>
        <w:tc>
          <w:tcPr>
            <w:tcW w:type="dxa" w:w="2880"/>
          </w:tcPr>
          <w:p>
            <w:r/>
            <w:r>
              <w:t>Repeatable way to run models and record results consistently, including failures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as SH-1 and SH-2</w:t>
            </w:r>
          </w:p>
        </w:tc>
      </w:tr>
      <w:tr>
        <w:tc>
          <w:tcPr>
            <w:tcW w:type="dxa" w:w="2880"/>
          </w:tcPr>
          <w:p>
            <w:r/>
            <w:r>
              <w:t>DZ-4</w:t>
            </w:r>
          </w:p>
        </w:tc>
        <w:tc>
          <w:tcPr>
            <w:tcW w:type="dxa" w:w="2880"/>
          </w:tcPr>
          <w:p>
            <w:r/>
            <w:r>
              <w:t>Benchmark results in a queryable store with a documented schema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as SH-1</w:t>
            </w:r>
          </w:p>
        </w:tc>
      </w:tr>
      <w:tr>
        <w:tc>
          <w:tcPr>
            <w:tcW w:type="dxa" w:w="2880"/>
          </w:tcPr>
          <w:p>
            <w:r/>
            <w:r>
              <w:t>DZ-5</w:t>
            </w:r>
          </w:p>
        </w:tc>
        <w:tc>
          <w:tcPr>
            <w:tcW w:type="dxa" w:w="2880"/>
          </w:tcPr>
          <w:p>
            <w:r/>
            <w:r>
              <w:t>Compare models on shared axes and by range band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 xml:space="preserve"> — requires more than one completed model run</w:t>
            </w:r>
          </w:p>
        </w:tc>
      </w:tr>
    </w:tbl>
    <w:p/>
    <w:p>
      <w:pPr>
        <w:pStyle w:val="Heading3"/>
      </w:pPr>
      <w:r>
        <w:t>Fatima Sher — Epic 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FA-1</w:t>
            </w:r>
          </w:p>
        </w:tc>
        <w:tc>
          <w:tcPr>
            <w:tcW w:type="dxa" w:w="2880"/>
          </w:tcPr>
          <w:p>
            <w:r/>
            <w:r>
              <w:t>Clear documentation for each dataset, devkit and model experiment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surveys, experiment logs and result records across three datasets</w:t>
            </w:r>
          </w:p>
        </w:tc>
      </w:tr>
      <w:tr>
        <w:tc>
          <w:tcPr>
            <w:tcW w:type="dxa" w:w="2880"/>
          </w:tcPr>
          <w:p>
            <w:r/>
            <w:r>
              <w:t>FA-2</w:t>
            </w:r>
          </w:p>
        </w:tc>
        <w:tc>
          <w:tcPr>
            <w:tcW w:type="dxa" w:w="2880"/>
          </w:tcPr>
          <w:p>
            <w:r/>
            <w:r>
              <w:t>Plain-language glossary of project terms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Superseded</w:t>
            </w:r>
            <w:r>
              <w:t xml:space="preserve"> by the project handbook, which explains the concepts in context rather than as isolated definitions</w:t>
            </w:r>
          </w:p>
        </w:tc>
      </w:tr>
      <w:tr>
        <w:tc>
          <w:tcPr>
            <w:tcW w:type="dxa" w:w="2880"/>
          </w:tcPr>
          <w:p>
            <w:r/>
            <w:r>
              <w:t>FA-3</w:t>
            </w:r>
          </w:p>
        </w:tc>
        <w:tc>
          <w:tcPr>
            <w:tcW w:type="dxa" w:w="2880"/>
          </w:tcPr>
          <w:p>
            <w:r/>
            <w:r>
              <w:t>Installation problems and attempted solutions recorded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experiment log; failure records are schema-enforced</w:t>
            </w:r>
          </w:p>
        </w:tc>
      </w:tr>
      <w:tr>
        <w:tc>
          <w:tcPr>
            <w:tcW w:type="dxa" w:w="2880"/>
          </w:tcPr>
          <w:p>
            <w:r/>
            <w:r>
              <w:t>FA-4</w:t>
            </w:r>
          </w:p>
        </w:tc>
        <w:tc>
          <w:tcPr>
            <w:tcW w:type="dxa" w:w="2880"/>
          </w:tcPr>
          <w:p>
            <w:r/>
            <w:r>
              <w:t>Client-facing summary of completed, failed and ongoing experiments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note drafted and revised; not sent, pending client availability</w:t>
            </w:r>
          </w:p>
        </w:tc>
      </w:tr>
    </w:tbl>
    <w:p/>
    <w:p>
      <w:pPr>
        <w:pStyle w:val="Heading3"/>
      </w:pPr>
      <w:r>
        <w:t>Kelsey Chen — Epic 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KL-1</w:t>
            </w:r>
          </w:p>
        </w:tc>
        <w:tc>
          <w:tcPr>
            <w:tcW w:type="dxa" w:w="2880"/>
          </w:tcPr>
          <w:p>
            <w:r/>
            <w:r>
              <w:t>Explore TruckScenes and TruckDrive datasets and devkits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 for TruckDrive</w:t>
            </w:r>
          </w:p>
        </w:tc>
      </w:tr>
      <w:tr>
        <w:tc>
          <w:tcPr>
            <w:tcW w:type="dxa" w:w="2880"/>
          </w:tcPr>
          <w:p>
            <w:r/>
            <w:r>
              <w:t>KL-2</w:t>
            </w:r>
          </w:p>
        </w:tc>
        <w:tc>
          <w:tcPr>
            <w:tcW w:type="dxa" w:w="2880"/>
          </w:tcPr>
          <w:p>
            <w:r/>
            <w:r>
              <w:t>Load and visualise RADAR and LiDAR data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camera, LiDAR and radar verified</w:t>
            </w:r>
          </w:p>
        </w:tc>
      </w:tr>
      <w:tr>
        <w:tc>
          <w:tcPr>
            <w:tcW w:type="dxa" w:w="2880"/>
          </w:tcPr>
          <w:p>
            <w:r/>
            <w:r>
              <w:t>KL-3</w:t>
            </w:r>
          </w:p>
        </w:tc>
        <w:tc>
          <w:tcPr>
            <w:tcW w:type="dxa" w:w="2880"/>
          </w:tcPr>
          <w:p>
            <w:r/>
            <w:r>
              <w:t>Investigate dataset use with Autoware or comparable tools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>; D-07</w:t>
            </w:r>
          </w:p>
        </w:tc>
      </w:tr>
      <w:tr>
        <w:tc>
          <w:tcPr>
            <w:tcW w:type="dxa" w:w="2880"/>
          </w:tcPr>
          <w:p>
            <w:r/>
            <w:r>
              <w:t>KL-4</w:t>
            </w:r>
          </w:p>
        </w:tc>
        <w:tc>
          <w:tcPr>
            <w:tcW w:type="dxa" w:w="2880"/>
          </w:tcPr>
          <w:p>
            <w:r/>
            <w:r>
              <w:t>Explore existing detection approaches, and report early if no radar-first baseline exists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started.</w:t>
            </w:r>
            <w:r>
              <w:t xml:space="preserve"> This is risk R-21 and remains the most significant unexamined question</w:t>
            </w:r>
          </w:p>
        </w:tc>
      </w:tr>
    </w:tbl>
    <w:p/>
    <w:p>
      <w:pPr>
        <w:pStyle w:val="Heading3"/>
      </w:pPr>
      <w:r>
        <w:t>Aiden Blampain — Epic 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AD-1</w:t>
            </w:r>
          </w:p>
        </w:tc>
        <w:tc>
          <w:tcPr>
            <w:tcW w:type="dxa" w:w="2880"/>
          </w:tcPr>
          <w:p>
            <w:r/>
            <w:r>
              <w:t>Review of current autonomous truck systems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</w:t>
            </w:r>
            <w:r>
              <w:t xml:space="preserve"> — deferred with the epics</w:t>
            </w:r>
          </w:p>
        </w:tc>
      </w:tr>
      <w:tr>
        <w:tc>
          <w:tcPr>
            <w:tcW w:type="dxa" w:w="2880"/>
          </w:tcPr>
          <w:p>
            <w:r/>
            <w:r>
              <w:t>AD-2</w:t>
            </w:r>
          </w:p>
        </w:tc>
        <w:tc>
          <w:tcPr>
            <w:tcW w:type="dxa" w:w="2880"/>
          </w:tcPr>
          <w:p>
            <w:r/>
            <w:r>
              <w:t>Comparison of perception technologies including sensor fusion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</w:t>
            </w:r>
          </w:p>
        </w:tc>
      </w:tr>
      <w:tr>
        <w:tc>
          <w:tcPr>
            <w:tcW w:type="dxa" w:w="2880"/>
          </w:tcPr>
          <w:p>
            <w:r/>
            <w:r>
              <w:t>AD-3</w:t>
            </w:r>
          </w:p>
        </w:tc>
        <w:tc>
          <w:tcPr>
            <w:tcW w:type="dxa" w:w="2880"/>
          </w:tcPr>
          <w:p>
            <w:r/>
            <w:r>
              <w:t>Comparison of leading autonomous trucking companies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</w:t>
            </w:r>
          </w:p>
        </w:tc>
      </w:tr>
      <w:tr>
        <w:tc>
          <w:tcPr>
            <w:tcW w:type="dxa" w:w="2880"/>
          </w:tcPr>
          <w:p>
            <w:r/>
            <w:r>
              <w:t>AD-4</w:t>
            </w:r>
          </w:p>
        </w:tc>
        <w:tc>
          <w:tcPr>
            <w:tcW w:type="dxa" w:w="2880"/>
          </w:tcPr>
          <w:p>
            <w:r/>
            <w:r>
              <w:t>Evaluation framework against consistent criteria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Partly superseded</w:t>
            </w:r>
            <w:r>
              <w:t xml:space="preserve"> by </w:t>
            </w:r>
            <w:r>
              <w:rPr>
                <w:rFonts w:ascii="Consolas" w:hAnsi="Consolas"/>
                <w:color w:val="B03060"/>
              </w:rPr>
              <w:t>docs/metrics-definitions.md</w:t>
            </w:r>
            <w:r>
              <w:t>, which does this for measurable outcomes</w:t>
            </w:r>
          </w:p>
        </w:tc>
      </w:tr>
    </w:tbl>
    <w:p/>
    <w:p>
      <w:pPr>
        <w:pStyle w:val="Heading3"/>
      </w:pPr>
      <w:r>
        <w:t>Ricky Yuen — Epic 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RY-1</w:t>
            </w:r>
          </w:p>
        </w:tc>
        <w:tc>
          <w:tcPr>
            <w:tcW w:type="dxa" w:w="2880"/>
          </w:tcPr>
          <w:p>
            <w:r/>
            <w:r>
              <w:t>Sensor-and-dataset comparison template with mandatory identification fields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 and strengthened</w:t>
            </w:r>
            <w:r>
              <w:t xml:space="preserve"> — enforced by a validator rather than convention</w:t>
            </w:r>
          </w:p>
        </w:tc>
      </w:tr>
      <w:tr>
        <w:tc>
          <w:tcPr>
            <w:tcW w:type="dxa" w:w="2880"/>
          </w:tcPr>
          <w:p>
            <w:r/>
            <w:r>
              <w:t>RY-2</w:t>
            </w:r>
          </w:p>
        </w:tc>
        <w:tc>
          <w:tcPr>
            <w:tcW w:type="dxa" w:w="2880"/>
          </w:tcPr>
          <w:p>
            <w:r/>
            <w:r>
              <w:t>Reproducible experiment log for every attempt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four entries covering setup, statistics, rendering and the model run</w:t>
            </w:r>
          </w:p>
        </w:tc>
      </w:tr>
      <w:tr>
        <w:tc>
          <w:tcPr>
            <w:tcW w:type="dxa" w:w="2880"/>
          </w:tcPr>
          <w:p>
            <w:r/>
            <w:r>
              <w:t>RY-3</w:t>
            </w:r>
          </w:p>
        </w:tc>
        <w:tc>
          <w:tcPr>
            <w:tcW w:type="dxa" w:w="2880"/>
          </w:tcPr>
          <w:p>
            <w:r/>
            <w:r>
              <w:t>Time-boxed baseline evaluation or documented feasibility test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 on both branches.</w:t>
            </w:r>
            <w:r>
              <w:t xml:space="preserve"> PTv3 impossible on Apple Silicon; ran on the GTX 1660</w:t>
            </w:r>
          </w:p>
        </w:tc>
      </w:tr>
      <w:tr>
        <w:tc>
          <w:tcPr>
            <w:tcW w:type="dxa" w:w="2880"/>
          </w:tcPr>
          <w:p>
            <w:r/>
            <w:r>
              <w:t>RY-4</w:t>
            </w:r>
          </w:p>
        </w:tc>
        <w:tc>
          <w:tcPr>
            <w:tcW w:type="dxa" w:w="2880"/>
          </w:tcPr>
          <w:p>
            <w:r/>
            <w:r>
              <w:t>Findings translated into concise client notes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drafted and revised; not sent</w:t>
            </w:r>
          </w:p>
        </w:tc>
      </w:tr>
      <w:tr>
        <w:tc>
          <w:tcPr>
            <w:tcW w:type="dxa" w:w="2880"/>
          </w:tcPr>
          <w:p>
            <w:r/>
            <w:r>
              <w:t>RY-5</w:t>
            </w:r>
          </w:p>
        </w:tc>
        <w:tc>
          <w:tcPr>
            <w:tcW w:type="dxa" w:w="2880"/>
          </w:tcPr>
          <w:p>
            <w:r/>
            <w:r>
              <w:t>Decisions, owners, due dates and blockers captured after meetings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</w:t>
            </w:r>
            <w:r>
              <w:rPr>
                <w:rFonts w:ascii="Consolas" w:hAnsi="Consolas"/>
                <w:color w:val="B03060"/>
              </w:rPr>
              <w:t>decision-log.md</w:t>
            </w:r>
            <w:r>
              <w:t>, D-01 to D-09</w:t>
            </w:r>
          </w:p>
        </w:tc>
      </w:tr>
      <w:tr>
        <w:tc>
          <w:tcPr>
            <w:tcW w:type="dxa" w:w="2880"/>
          </w:tcPr>
          <w:p>
            <w:r/>
            <w:r>
              <w:t>RY-6</w:t>
            </w:r>
          </w:p>
        </w:tc>
        <w:tc>
          <w:tcPr>
            <w:tcW w:type="dxa" w:w="2880"/>
          </w:tcPr>
          <w:p>
            <w:r/>
            <w:r>
              <w:t>Failed or inconclusive experiments explicitly recorded with likely causes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schema-enforced</w:t>
            </w:r>
          </w:p>
        </w:tc>
      </w:tr>
    </w:tbl>
    <w:p/>
    <w:p>
      <w:r>
        <w:rPr>
          <w:b/>
        </w:rPr>
        <w:t>Summary: 12 delivered or strengthened, 4 partial, 7 deferred, 4 not started.</w:t>
      </w:r>
    </w:p>
    <w:p>
      <w:pPr>
        <w:pStyle w:val="Heading2"/>
      </w:pPr>
      <w:r>
        <w:t>3. Sprint 2 stories — what the team actually did</w:t>
      </w:r>
    </w:p>
    <w:p>
      <w:pPr>
        <w:pStyle w:val="Heading3"/>
      </w:pPr>
      <w:r>
        <w:t>Shared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t>SH-1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 team of three pairs, I want one results store with a documented schema, so results from different datasets and people are recorded identically and the receiving team can read them with no service running.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SH-2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 reviewer, I want a validator that rejects a record missing its identification fields, so decision D-01 is enforced by tooling rather than by memory.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SH-3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an evaluator, I want every metric defined before it is reported, so no number enters the project under a name nobody has defined.</w:t>
            </w:r>
          </w:p>
        </w:tc>
        <w:tc>
          <w:tcPr>
            <w:tcW w:type="dxa" w:w="2160"/>
          </w:tcPr>
          <w:p>
            <w:r/>
            <w:r>
              <w:t>Ricky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SH-4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two people working one repository from different machines, I want file ownership and branch rules enforced by a script, so parallel work does not collide.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SH-5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anyone joining this project, I want one document explaining the datasets, devkits and each person's stack, so I do not have to reconstruct it from pull requests.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</w:tbl>
    <w:p/>
    <w:p>
      <w:pPr>
        <w:pStyle w:val="Heading3"/>
      </w:pPr>
      <w:r>
        <w:t>GOOSE — Damien &amp; Ricky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GO-1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GOOSE devkit installed and a frame rendered, so we know the dataset is usable before planning around it.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macOS and Windows</w:t>
            </w:r>
          </w:p>
        </w:tc>
      </w:tr>
      <w:tr>
        <w:tc>
          <w:tcPr>
            <w:tcW w:type="dxa" w:w="2880"/>
          </w:tcPr>
          <w:p>
            <w:r/>
            <w:r>
              <w:t>GO-2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full validation split measured, so claims about GOOSE rest on numbers rather than impressions.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961 frames, 174,891,807 points</w:t>
            </w:r>
          </w:p>
        </w:tc>
      </w:tr>
      <w:tr>
        <w:tc>
          <w:tcPr>
            <w:tcW w:type="dxa" w:w="2880"/>
          </w:tcPr>
          <w:p>
            <w:r/>
            <w:r>
              <w:t>GO-3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all 64 classes mapped to traversability levels with a written rationale each, so the judgement is reviewable and Fabian can disagree with a specific line.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GO-4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drivable/not-drivable view rendered across every scenario, so we can see whether the mapping is coherent rather than assume it.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8 of 8</w:t>
            </w:r>
          </w:p>
        </w:tc>
      </w:tr>
      <w:tr>
        <w:tc>
          <w:tcPr>
            <w:tcW w:type="dxa" w:w="2880"/>
          </w:tcPr>
          <w:p>
            <w:r/>
            <w:r>
              <w:t>GO-5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As the client, I want one image showing what a vehicle can drive on, so I can see the answer without reading code.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cold read outstanding</w:t>
            </w:r>
          </w:p>
        </w:tc>
      </w:tr>
      <w:tr>
        <w:tc>
          <w:tcPr>
            <w:tcW w:type="dxa" w:w="2880"/>
          </w:tcPr>
          <w:p>
            <w:r/>
            <w:r>
              <w:t>GO-6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published baseline model run, so the project produces a benchmark number rather than only descriptions.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ran in FP32 on the GTX 1660; stopped at 10 of 961 frames</w:t>
            </w:r>
          </w:p>
        </w:tc>
      </w:tr>
    </w:tbl>
    <w:p/>
    <w:p>
      <w:pPr>
        <w:pStyle w:val="Heading3"/>
      </w:pPr>
      <w:r>
        <w:t>MAN TruckScenes — Aiden &amp; Fatima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TS-1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TruckScenes devkit installed and a scene loaded, so the dataset is usable.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TS-2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LiDAR and radar visualised for the same scene, so the difference between the modalities can be seen directly rather than read about.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TS-3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same comparison in clear, snow and rain, so we have evidence about how conditions affect each sensor.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the team's only direct multi-condition sensor comparison</w:t>
            </w:r>
          </w:p>
        </w:tc>
      </w:tr>
      <w:tr>
        <w:tc>
          <w:tcPr>
            <w:tcW w:type="dxa" w:w="2880"/>
          </w:tcPr>
          <w:p>
            <w:r/>
            <w:r>
              <w:t>TS-4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mini split characterised, so its scale and composition are recorded.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TS-5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a survey stating what TruckScenes can and cannot answer, so the team can plan against it.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</w:tbl>
    <w:p/>
    <w:p>
      <w:pPr>
        <w:pStyle w:val="Heading3"/>
      </w:pPr>
      <w:r>
        <w:t>TruckDrive — Fariya &amp; Kelsey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TD-1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official TruckDrive viewer working, so the dataset can be inspected.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Windows</w:t>
            </w:r>
          </w:p>
        </w:tc>
      </w:tr>
      <w:tr>
        <w:tc>
          <w:tcPr>
            <w:tcW w:type="dxa" w:w="2880"/>
          </w:tcPr>
          <w:p>
            <w:r/>
            <w:r>
              <w:t>TD-2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camera, LiDAR and radar loading verified, so we know all three modalities are usable.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TD-3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24 mini scenes prepared with radar, annotations, calibration and poses, so later work has a complete subset.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TD-4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mini split characterised, so its scale is recorded rather than quoted from the paper.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12,502 radar frames, 526,148 boxes, 27 classes</w:t>
            </w:r>
          </w:p>
        </w:tc>
      </w:tr>
      <w:tr>
        <w:tc>
          <w:tcPr>
            <w:tcW w:type="dxa" w:w="2880"/>
          </w:tcPr>
          <w:p>
            <w:r/>
            <w:r>
              <w:t>TD-5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radar detections beyond 150 m quantified, so we have direct evidence on the long-range question.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6,746 detections at ≥150 m</w:t>
            </w:r>
          </w:p>
        </w:tc>
      </w:tr>
      <w:tr>
        <w:tc>
          <w:tcPr>
            <w:tcW w:type="dxa" w:w="2880"/>
          </w:tcPr>
          <w:p>
            <w:r/>
            <w:r>
              <w:t>TD-6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findings recorded in the shared survey template and results store, so they can be read alongside the other datasets.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met</w:t>
            </w:r>
            <w:r>
              <w:t xml:space="preserve"> — findings exist outside the shared artefacts</w:t>
            </w:r>
          </w:p>
        </w:tc>
      </w:tr>
    </w:tbl>
    <w:p/>
    <w:p>
      <w:pPr>
        <w:pStyle w:val="Heading2"/>
      </w:pPr>
      <w:r>
        <w:t>4. Sprint 3 candidates</w:t>
      </w:r>
    </w:p>
    <w:p>
      <w:r>
        <w:t>Ordered by what unblocks the most. These are candidates, not commitments.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first</w:t>
            </w:r>
          </w:p>
        </w:tc>
      </w:tr>
      <w:tr>
        <w:tc>
          <w:tcPr>
            <w:tcW w:type="dxa" w:w="2880"/>
          </w:tcPr>
          <w:p>
            <w:r/>
            <w:r>
              <w:t>TD-6</w:t>
            </w:r>
          </w:p>
        </w:tc>
        <w:tc>
          <w:tcPr>
            <w:tcW w:type="dxa" w:w="2880"/>
          </w:tcPr>
          <w:p>
            <w:r/>
            <w:r>
              <w:t>Bring TruckDrive findings into the shared survey and results store</w:t>
            </w:r>
          </w:p>
        </w:tc>
        <w:tc>
          <w:tcPr>
            <w:tcW w:type="dxa" w:w="2880"/>
          </w:tcPr>
          <w:p>
            <w:r/>
            <w:r>
              <w:t>Without it one third of the work cannot be read alongside the rest</w:t>
            </w:r>
          </w:p>
        </w:tc>
      </w:tr>
      <w:tr>
        <w:tc>
          <w:tcPr>
            <w:tcW w:type="dxa" w:w="2880"/>
          </w:tcPr>
          <w:p>
            <w:r/>
            <w:r>
              <w:t>KL-4 / R-21</w:t>
            </w:r>
          </w:p>
        </w:tc>
        <w:tc>
          <w:tcPr>
            <w:tcW w:type="dxa" w:w="2880"/>
          </w:tcPr>
          <w:p>
            <w:r/>
            <w:r>
              <w:t>Determine whether any radar-first open-source detection baseline exists</w:t>
            </w:r>
          </w:p>
        </w:tc>
        <w:tc>
          <w:tcPr>
            <w:tcW w:type="dxa" w:w="2880"/>
          </w:tcPr>
          <w:p>
            <w:r/>
            <w:r>
              <w:t>The most significant unexamined question in the project. If none exists, that is a finding the client needs</w:t>
            </w:r>
          </w:p>
        </w:tc>
      </w:tr>
      <w:tr>
        <w:tc>
          <w:tcPr>
            <w:tcW w:type="dxa" w:w="2880"/>
          </w:tcPr>
          <w:p>
            <w:r/>
            <w:r>
              <w:t>GO-6</w:t>
            </w:r>
          </w:p>
        </w:tc>
        <w:tc>
          <w:tcPr>
            <w:tcW w:type="dxa" w:w="2880"/>
          </w:tcPr>
          <w:p>
            <w:r/>
            <w:r>
              <w:t>Complete a model run, or document why it cannot be completed</w:t>
            </w:r>
          </w:p>
        </w:tc>
        <w:tc>
          <w:tcPr>
            <w:tcW w:type="dxa" w:w="2880"/>
          </w:tcPr>
          <w:p>
            <w:r/>
            <w:r>
              <w:t>The project's only route to a benchmark number</w:t>
            </w:r>
          </w:p>
        </w:tc>
      </w:tr>
      <w:tr>
        <w:tc>
          <w:tcPr>
            <w:tcW w:type="dxa" w:w="2880"/>
          </w:tcPr>
          <w:p>
            <w:r/>
            <w:r>
              <w:t>DZ-1</w:t>
            </w:r>
          </w:p>
        </w:tc>
        <w:tc>
          <w:tcPr>
            <w:tcW w:type="dxa" w:w="2880"/>
          </w:tcPr>
          <w:p>
            <w:r/>
            <w:r>
              <w:t>Cross-team sensor survey</w:t>
            </w:r>
          </w:p>
        </w:tc>
        <w:tc>
          <w:tcPr>
            <w:tcW w:type="dxa" w:w="2880"/>
          </w:tcPr>
          <w:p>
            <w:r/>
            <w:r>
              <w:t>Required by P-2; the domain-study template exists and is unused</w:t>
            </w:r>
          </w:p>
        </w:tc>
      </w:tr>
      <w:tr>
        <w:tc>
          <w:tcPr>
            <w:tcW w:type="dxa" w:w="2880"/>
          </w:tcPr>
          <w:p>
            <w:r/>
            <w:r>
              <w:t>DZ-5</w:t>
            </w:r>
          </w:p>
        </w:tc>
        <w:tc>
          <w:tcPr>
            <w:tcW w:type="dxa" w:w="2880"/>
          </w:tcPr>
          <w:p>
            <w:r/>
            <w:r>
              <w:t>Compare models on shared axes by range band</w:t>
            </w:r>
          </w:p>
        </w:tc>
        <w:tc>
          <w:tcPr>
            <w:tcW w:type="dxa" w:w="2880"/>
          </w:tcPr>
          <w:p>
            <w:r/>
            <w:r>
              <w:t>Requires at least two completed runs</w:t>
            </w:r>
          </w:p>
        </w:tc>
      </w:tr>
      <w:tr>
        <w:tc>
          <w:tcPr>
            <w:tcW w:type="dxa" w:w="2880"/>
          </w:tcPr>
          <w:p>
            <w:r/>
            <w:r>
              <w:t>FZ-1 / KL-3</w:t>
            </w:r>
          </w:p>
        </w:tc>
        <w:tc>
          <w:tcPr>
            <w:tcW w:type="dxa" w:w="2880"/>
          </w:tcPr>
          <w:p>
            <w:r/>
            <w:r>
              <w:t>Autoware feasibility</w:t>
            </w:r>
          </w:p>
        </w:tc>
        <w:tc>
          <w:tcPr>
            <w:tcW w:type="dxa" w:w="2880"/>
          </w:tcPr>
          <w:p>
            <w:r/>
            <w:r>
              <w:t>GOOSE ships ROS bags, making it the cheapest entry point; needs a Linux environment</w:t>
            </w:r>
          </w:p>
        </w:tc>
      </w:tr>
    </w:tbl>
    <w:p/>
    <w:p>
      <w:r>
        <w:rPr>
          <w:b/>
        </w:rPr>
        <w:t>A story producing a negative result — a toolchain that is not viable, a dataset that does not exist, a baseline that cannot be found — is complete once that result is documented, and is not carried forward as unfinished work.</w:t>
      </w:r>
      <w:r>
        <w:t xml:space="preserve"> That rule is unchanged from Sprint 1 and it is how GO-6, DZ-2 and RY-3 were satisfied.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