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Stories for Sprint 3</w:t>
      </w:r>
    </w:p>
    <w:p>
      <w:pPr>
        <w:pStyle w:val="Subtitle"/>
      </w:pPr>
      <w:r>
        <w:t>CITS3200 Group 07 | Proposed plan for Sprint 2 submission | 15 September 2026</w:t>
      </w:r>
    </w:p>
    <w:p>
      <w:r>
        <w:t>Sprint 3 will connect the work from our three dataset pairs into a clear, reproducible analysis of what the data and current model experiments show. The core plan is achievable on our existing computers. A matched radar-versus-LiDAR detector benchmark is conditional on finding compatible models and a workable compute plan.</w:t>
      </w:r>
    </w:p>
    <w:p>
      <w:r>
        <w:t>All owners, reviewers, estimates and milestones below are proposed for team agreement. The revised scope also needs client review. No new allocation or scope approval is implied by this document.</w:t>
      </w:r>
    </w:p>
    <w:p>
      <w:pPr>
        <w:pStyle w:val="Heading1"/>
      </w:pPr>
      <w:r>
        <w:t>1. What we are building on</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872"/>
            <w:shd w:fill="E8EDF2"/>
          </w:tcPr>
          <w:p>
            <w:pPr>
              <w:spacing w:after="100"/>
            </w:pPr>
            <w:r>
              <w:rPr>
                <w:b/>
                <w:sz w:val="20"/>
              </w:rPr>
              <w:t>Pair / dataset</w:t>
            </w:r>
          </w:p>
        </w:tc>
        <w:tc>
          <w:tcPr>
            <w:tcW w:type="dxa" w:w="4032"/>
            <w:shd w:fill="E8EDF2"/>
          </w:tcPr>
          <w:p>
            <w:pPr>
              <w:spacing w:after="100"/>
            </w:pPr>
            <w:r>
              <w:rPr>
                <w:b/>
                <w:sz w:val="20"/>
              </w:rPr>
              <w:t>Sprint 2 output</w:t>
            </w:r>
          </w:p>
        </w:tc>
        <w:tc>
          <w:tcPr>
            <w:tcW w:type="dxa" w:w="4032"/>
            <w:shd w:fill="E8EDF2"/>
          </w:tcPr>
          <w:p>
            <w:pPr>
              <w:spacing w:after="100"/>
            </w:pPr>
            <w:r>
              <w:rPr>
                <w:b/>
                <w:sz w:val="20"/>
              </w:rPr>
              <w:t>Next useful step</w:t>
            </w:r>
          </w:p>
        </w:tc>
      </w:tr>
      <w:tr>
        <w:trPr>
          <w:cantSplit/>
        </w:trPr>
        <w:tc>
          <w:tcPr>
            <w:tcW w:type="dxa" w:w="1872"/>
          </w:tcPr>
          <w:p>
            <w:pPr>
              <w:spacing w:after="100"/>
            </w:pPr>
            <w:r>
              <w:rPr>
                <w:sz w:val="20"/>
              </w:rPr>
              <w:t>Damien + Ricky / GOOSE</w:t>
            </w:r>
          </w:p>
        </w:tc>
        <w:tc>
          <w:tcPr>
            <w:tcW w:type="dxa" w:w="4032"/>
          </w:tcPr>
          <w:p>
            <w:pPr>
              <w:spacing w:after="100"/>
            </w:pPr>
            <w:r>
              <w:rPr>
                <w:sz w:val="20"/>
              </w:rPr>
              <w:t>Full validation statistics, label-based traversability figures, shared result tools, partial PTv3 inference.</w:t>
            </w:r>
          </w:p>
        </w:tc>
        <w:tc>
          <w:tcPr>
            <w:tcW w:type="dxa" w:w="4032"/>
          </w:tcPr>
          <w:p>
            <w:pPr>
              <w:spacing w:after="100"/>
            </w:pPr>
            <w:r>
              <w:rPr>
                <w:sz w:val="20"/>
              </w:rPr>
              <w:t>Explain the evidence and limits; make it reproducible and readable by the other pairs.</w:t>
            </w:r>
          </w:p>
        </w:tc>
      </w:tr>
      <w:tr>
        <w:trPr>
          <w:cantSplit/>
        </w:trPr>
        <w:tc>
          <w:tcPr>
            <w:tcW w:type="dxa" w:w="1872"/>
          </w:tcPr>
          <w:p>
            <w:pPr>
              <w:spacing w:after="100"/>
            </w:pPr>
            <w:r>
              <w:rPr>
                <w:sz w:val="20"/>
              </w:rPr>
              <w:t>Aiden + Fatima / TruckScenes</w:t>
            </w:r>
          </w:p>
        </w:tc>
        <w:tc>
          <w:tcPr>
            <w:tcW w:type="dxa" w:w="4032"/>
          </w:tcPr>
          <w:p>
            <w:pPr>
              <w:spacing w:after="100"/>
            </w:pPr>
            <w:r>
              <w:rPr>
                <w:sz w:val="20"/>
              </w:rPr>
              <w:t>Devkit and matched sensor views; two CPU camera-transfer evaluations, including the four-camera result.</w:t>
            </w:r>
          </w:p>
        </w:tc>
        <w:tc>
          <w:tcPr>
            <w:tcW w:type="dxa" w:w="4032"/>
          </w:tcPr>
          <w:p>
            <w:pPr>
              <w:spacing w:after="100"/>
            </w:pPr>
            <w:r>
              <w:rPr>
                <w:sz w:val="20"/>
              </w:rPr>
              <w:t>Standardise sensor analysis; diagnose the camera workflow and assess compatible radar/LiDAR models.</w:t>
            </w:r>
          </w:p>
        </w:tc>
      </w:tr>
      <w:tr>
        <w:trPr>
          <w:cantSplit/>
        </w:trPr>
        <w:tc>
          <w:tcPr>
            <w:tcW w:type="dxa" w:w="1872"/>
          </w:tcPr>
          <w:p>
            <w:pPr>
              <w:spacing w:after="100"/>
            </w:pPr>
            <w:r>
              <w:rPr>
                <w:sz w:val="20"/>
              </w:rPr>
              <w:t>Fariya + Kelsey / TruckDrive</w:t>
            </w:r>
          </w:p>
        </w:tc>
        <w:tc>
          <w:tcPr>
            <w:tcW w:type="dxa" w:w="4032"/>
          </w:tcPr>
          <w:p>
            <w:pPr>
              <w:spacing w:after="100"/>
            </w:pPr>
            <w:r>
              <w:rPr>
                <w:sz w:val="20"/>
              </w:rPr>
              <w:t>Mini radar/annotation characterisation, selected multimodal views and a reported Windows reproduction.</w:t>
            </w:r>
          </w:p>
        </w:tc>
        <w:tc>
          <w:tcPr>
            <w:tcW w:type="dxa" w:w="4032"/>
          </w:tcPr>
          <w:p>
            <w:pPr>
              <w:spacing w:after="100"/>
            </w:pPr>
            <w:r>
              <w:rPr>
                <w:sz w:val="20"/>
              </w:rPr>
              <w:t>Complete shared records and analyse a declared long-range subset.</w:t>
            </w:r>
          </w:p>
        </w:tc>
      </w:tr>
    </w:tbl>
    <w:p>
      <w:pPr>
        <w:pStyle w:val="Heading1"/>
      </w:pPr>
      <w:r>
        <w:t>2. Comparison rules</w:t>
      </w:r>
    </w:p>
    <w:p>
      <w:pPr>
        <w:pStyle w:val="ListBullet"/>
      </w:pPr>
      <w:r>
        <w:t>Across datasets, compare suitability: sensors available, label task, coverage, usable samples, tools, storage and limitations. Do not rank sensors using unmatched raw point counts or compare GOOSE mIoU with detection mAP.</w:t>
      </w:r>
    </w:p>
    <w:p>
      <w:pPr>
        <w:pStyle w:val="ListBullet"/>
      </w:pPr>
      <w:r>
        <w:t>Within TruckScenes or TruckDrive, use matched sample identifiers, sensor channels and coordinate frames for visualisation. State the sampling rule and denominator for every statistic.</w:t>
      </w:r>
    </w:p>
    <w:p>
      <w:pPr>
        <w:pStyle w:val="ListBullet"/>
      </w:pPr>
      <w:r>
        <w:t>Detector comparisons require the same dataset split, sample list, ground truth, class mapping, distance definition and evaluator. Different model architectures or training data remain confounders when interpreting a sensor comparison.</w:t>
      </w:r>
    </w:p>
    <w:p>
      <w:pPr>
        <w:pStyle w:val="ListBullet"/>
      </w:pPr>
      <w:r>
        <w:t>Range plots of sensor returns are coverage analysis. They do not show object-detection accuracy. Stock TruckScenes scores do not cover objects beyond 150 m; any extended evaluator needs a justified protocol and separate reporting.</w:t>
      </w:r>
    </w:p>
    <w:p>
      <w:pPr>
        <w:pStyle w:val="Heading1"/>
      </w:pPr>
      <w:r>
        <w:t>3. Six proposed stories</w:t>
      </w:r>
    </w:p>
    <w:p>
      <w:r>
        <w:t>The original owner initials and epics are retained. Each story has an 8–12 hour initial planning allowance, including documentation and review. These are estimates for this backlog, not recorded hours or a promise of a complete semester workload. Re-estimate at the first checkpoint and leave time for meetings, integration and handover.</w:t>
      </w:r>
    </w:p>
    <w:p>
      <w:pPr>
        <w:pStyle w:val="Heading2"/>
      </w:pPr>
      <w:r>
        <w:t>FZ-S3-1 — Results presentation and reproduction checks</w:t>
      </w:r>
    </w:p>
    <w:p>
      <w:r>
        <w:t>Fariya | Reviewer: Damien | Epic A; FZ-2/FZ-3</w:t>
      </w:r>
    </w:p>
    <w:p>
      <w:r>
        <w:t>As a reader, I want a small set of clearly labelled figures and a walkthrough, so I can understand the three datasets without setting up every tool.</w:t>
      </w:r>
    </w:p>
    <w:p>
      <w:pPr>
        <w:pStyle w:val="ListBullet"/>
      </w:pPr>
      <w:r>
        <w:t>Assemble 4–6 existing or newly verified figures in a static report; label dataset, sample, sensor, ground truth/prediction and limitation. Reuse the repository and document tools; no new dashboard service.</w:t>
      </w:r>
    </w:p>
    <w:p>
      <w:pPr>
        <w:pStyle w:val="ListBullet"/>
      </w:pPr>
      <w:r>
        <w:t>Follow one GOOSE or TruckScenes workflow from the other pair’s instructions and record the steps, result and any blocker. A failed reproduction is documented, not marked as a pass.</w:t>
      </w:r>
    </w:p>
    <w:p>
      <w:pPr>
        <w:pStyle w:val="ListBullet"/>
      </w:pPr>
      <w:r>
        <w:t>Resolve or precisely document the TruckDrive dependency and overlay warnings with Kelsey; add a short walkthrough of the verified viewer path.</w:t>
      </w:r>
    </w:p>
    <w:p>
      <w:r>
        <w:t>Done when the report links to its inputs, a member outside the source pair can explain each figure, and the reproduction check has a dated outcome.</w:t>
      </w:r>
    </w:p>
    <w:p>
      <w:pPr>
        <w:pStyle w:val="Heading2"/>
      </w:pPr>
      <w:r>
        <w:t>DZ-S3-1 — Dataset suitability and off-road synthesis</w:t>
      </w:r>
    </w:p>
    <w:p>
      <w:r>
        <w:t>Damien | Reviewer: Fariya | Epic B; DZ-1/DZ-2/DZ-5</w:t>
      </w:r>
    </w:p>
    <w:p>
      <w:r>
        <w:t>As the team and client, we want one evidence-backed comparison of dataset suitability, so we know which question each dataset can answer.</w:t>
      </w:r>
    </w:p>
    <w:p>
      <w:pPr>
        <w:pStyle w:val="ListBullet"/>
      </w:pPr>
      <w:r>
        <w:t>Use the existing surveys to compare released assets, labels, range coverage, setup effort and feasible experiments. Include exact sampling descriptions beside the current measurements.</w:t>
      </w:r>
    </w:p>
    <w:p>
      <w:pPr>
        <w:pStyle w:val="ListBullet"/>
      </w:pPr>
      <w:r>
        <w:t>Explain the GOOSE traversability mapping and its dependence on human labels. Separate the complete 961-frame statistics from the partial 10-frame PTv3 run.</w:t>
      </w:r>
    </w:p>
    <w:p>
      <w:pPr>
        <w:pStyle w:val="ListBullet"/>
      </w:pPr>
      <w:r>
        <w:t>Record unresolved gaps and link each claim to a source or saved result. Run the existing result validator after integrating new records.</w:t>
      </w:r>
    </w:p>
    <w:p>
      <w:r>
        <w:t>Done when the comparison is source-linked, contains no unsupported cross-dataset accuracy ranking, and an outside-pair reader explains the GOOSE figure and limitations.</w:t>
      </w:r>
    </w:p>
    <w:p>
      <w:pPr>
        <w:pStyle w:val="Heading2"/>
      </w:pPr>
      <w:r>
        <w:t>FA-S3-1 — Matched TruckScenes sensor and range analysis</w:t>
      </w:r>
    </w:p>
    <w:p>
      <w:r>
        <w:t>Fatima | Reviewer: Kelsey | Epic C; FA-1/FA-3 and TS-2/TS-4</w:t>
      </w:r>
    </w:p>
    <w:p>
      <w:r>
        <w:t>As an evaluator, I want reproducible paired radar and LiDAR summaries on a declared subset, so we can distinguish sensor coverage from detection performance.</w:t>
      </w:r>
    </w:p>
    <w:p>
      <w:pPr>
        <w:pStyle w:val="ListBullet"/>
      </w:pPr>
      <w:r>
        <w:t>Start with the existing selected mini samples. Save the sample tokens, channels, coordinate frame and inclusion rules before extending the analysis.</w:t>
      </w:r>
    </w:p>
    <w:p>
      <w:pPr>
        <w:pStyle w:val="ListBullet"/>
      </w:pPr>
      <w:r>
        <w:t>Produce paired views and counts/proportions by documented distance bands. Use common plot scales within each paired comparison and show sample counts.</w:t>
      </w:r>
    </w:p>
    <w:p>
      <w:pPr>
        <w:pStyle w:val="ListBullet"/>
      </w:pPr>
      <w:r>
        <w:t>Record limitations in sensor field of view and sampling. Do not infer weather effects from a few differently labelled scenes. Add shared result records and a short interpretation.</w:t>
      </w:r>
    </w:p>
    <w:p>
      <w:r>
        <w:t>Done when another member can rerun the saved sample list and obtain the same summary, and every chart states what was counted and its denominator.</w:t>
      </w:r>
    </w:p>
    <w:p>
      <w:pPr>
        <w:pStyle w:val="Heading2"/>
      </w:pPr>
      <w:r>
        <w:t>KL-S3-1 — TruckDrive long-range subset and shared records</w:t>
      </w:r>
    </w:p>
    <w:p>
      <w:r>
        <w:t>Kelsey | Reviewer: Fatima | Epic D; KL-1/KL-2 and TD-5/TD-6</w:t>
      </w:r>
    </w:p>
    <w:p>
      <w:r>
        <w:t>As an evaluator, I want a documented TruckDrive subset and range analysis, so its long-range evidence can be understood and reused.</w:t>
      </w:r>
    </w:p>
    <w:p>
      <w:pPr>
        <w:pStyle w:val="ListBullet"/>
      </w:pPr>
      <w:r>
        <w:t>Complete the shared TruckDrive survey and result records from existing source outputs. Verify the scope of each count; 6,746 refers to radar returns in 24 selected frames.</w:t>
      </w:r>
    </w:p>
    <w:p>
      <w:pPr>
        <w:pStyle w:val="ListBullet"/>
      </w:pPr>
      <w:r>
        <w:t>For data already retained, record the exact frames, sensor channels, annotations and distance definition. Produce paired examples where both modalities are actually available; do not imply full-mini coverage.</w:t>
      </w:r>
    </w:p>
    <w:p>
      <w:pPr>
        <w:pStyle w:val="ListBullet"/>
      </w:pPr>
      <w:r>
        <w:t>With Fariya, check scene_28_1 viewer warnings. Record any missing channel, dependency constraint or overlay defect and its effect on the proposed analysis.</w:t>
      </w:r>
    </w:p>
    <w:p>
      <w:r>
        <w:t>Done when the survey and schema-valid records are merged, plots cite sample identifiers, and available/missing modalities and remaining warnings are explicit.</w:t>
      </w:r>
    </w:p>
    <w:p>
      <w:pPr>
        <w:pStyle w:val="Heading2"/>
      </w:pPr>
      <w:r>
        <w:t>AD-S3-1 — Camera-result audit and detector feasibility</w:t>
      </w:r>
    </w:p>
    <w:p>
      <w:r>
        <w:t>Aiden | Reviewer: Ricky | Epic E / AD-2/AD-4; TS-6/TS-7</w:t>
      </w:r>
    </w:p>
    <w:p>
      <w:r>
        <w:t>As the team, we want to know what the FCOS3D result supports and whether radar/LiDAR detectors can run, so we can choose a defensible final experiment.</w:t>
      </w:r>
    </w:p>
    <w:p>
      <w:pPr>
        <w:pStyle w:val="ListBullet"/>
      </w:pPr>
      <w:r>
        <w:t>Check calibration, preprocessing, box coordinates and camera/sample coverage for the four-camera output. Add visual checks against annotations and record channel-level success or skips in any new run. Keep the low-score cause open unless a controlled check isolates it.</w:t>
      </w:r>
    </w:p>
    <w:p>
      <w:pPr>
        <w:pStyle w:val="ListBullet"/>
      </w:pPr>
      <w:r>
        <w:t>Time-box initial feasibility to at most two hours per candidate for one radar and one LiDAR detector. Verify released code, checkpoint, licence, preprocessing, class mapping, hardware and a minimal execution path.</w:t>
      </w:r>
    </w:p>
    <w:p>
      <w:pPr>
        <w:pStyle w:val="ListBullet"/>
      </w:pPr>
      <w:r>
        <w:t>Produce a go/no-go note with exact requirements and fallback. Candidate names alone, or successful devkit loading, do not establish a runnable detector. Larger inference requires an agreed resource plan.</w:t>
      </w:r>
    </w:p>
    <w:p>
      <w:r>
        <w:t>Done when the current camera result has an evidence-backed interpretation and each candidate has a verified minimal result or a specific documented blocker. This completes feasibility, not the conditional benchmark.</w:t>
      </w:r>
    </w:p>
    <w:p>
      <w:pPr>
        <w:pStyle w:val="Heading2"/>
      </w:pPr>
      <w:r>
        <w:t>RY-S3-1 — Evaluation protocol and integrated handover</w:t>
      </w:r>
    </w:p>
    <w:p>
      <w:r>
        <w:t>Ricky | Reviewer: Aiden | Epic F; RY-1/RY-2/RY-4/RY-5/RY-6</w:t>
      </w:r>
    </w:p>
    <w:p>
      <w:r>
        <w:t>As a reviewer, I want a consistent protocol and traceable final findings, so separate outputs can be assessed without overstating what they show.</w:t>
      </w:r>
    </w:p>
    <w:p>
      <w:pPr>
        <w:pStyle w:val="ListBullet"/>
      </w:pPr>
      <w:r>
        <w:t>Update the existing comparison protocol with task type, sample list, sensors, coordinate frame, class mapping, distance bands, metrics and evaluator limits. Distinguish cross-dataset suitability from within-dataset sensor tests.</w:t>
      </w:r>
    </w:p>
    <w:p>
      <w:pPr>
        <w:pStyle w:val="ListBullet"/>
      </w:pPr>
      <w:r>
        <w:t>Check new records and figures against raw outputs; run existing relevant validators/tests. Keep a short ledger of completed, partial and blocked acceptance criteria.</w:t>
      </w:r>
    </w:p>
    <w:p>
      <w:pPr>
        <w:pStyle w:val="ListBullet"/>
      </w:pPr>
      <w:r>
        <w:t>Integrate the final report and handover links with the other owners. Record confirmed decisions and action owners after meetings; arrange cross-pair explanations and the remaining independent checks.</w:t>
      </w:r>
    </w:p>
    <w:p>
      <w:r>
        <w:t>Done when each reported finding has a source, task and limit; the comparison protocol is reviewable; and the handover records what was tested and what remains open.</w:t>
      </w:r>
    </w:p>
    <w:p>
      <w:pPr>
        <w:pStyle w:val="Heading1"/>
      </w:pPr>
      <w:r>
        <w:t>4. Conditional detector benchmark</w:t>
      </w:r>
    </w:p>
    <w:p>
      <w:r>
        <w:t>S3-X1 is a stretch story, proposed owners Aiden and Fatima, with Ricky reviewing the protocol. It starts only if AD-S3-1 establishes compatible radar and LiDAR models and the team agrees the compute and scope. Run both on the same declared TruckScenes subset and ground truth, save complete predictions and evaluator outputs, and report training/model differences as limitations. One successful frame is an installation gate, not a scored benchmark.</w:t>
      </w:r>
    </w:p>
    <w:p>
      <w:r>
        <w:t>If the gate fails, retain the feasibility evidence and finish the core analysis and handover. Do not rename sensor-return statistics as a model benchmark. Full GOOSE inference, large new downloads, Autoware and training from scratch are outside the core plan.</w:t>
      </w:r>
    </w:p>
    <w:p>
      <w:pPr>
        <w:pStyle w:val="Heading1"/>
      </w:pPr>
      <w:r>
        <w:t>5. Proposed checkpoints and handover</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2376"/>
            <w:shd w:fill="E8EDF2"/>
          </w:tcPr>
          <w:p>
            <w:pPr>
              <w:spacing w:after="100"/>
            </w:pPr>
            <w:r>
              <w:rPr>
                <w:b/>
                <w:sz w:val="20"/>
              </w:rPr>
              <w:t>When</w:t>
            </w:r>
          </w:p>
        </w:tc>
        <w:tc>
          <w:tcPr>
            <w:tcW w:type="dxa" w:w="7560"/>
            <w:shd w:fill="E8EDF2"/>
          </w:tcPr>
          <w:p>
            <w:pPr>
              <w:spacing w:after="100"/>
            </w:pPr>
            <w:r>
              <w:rPr>
                <w:b/>
                <w:sz w:val="20"/>
              </w:rPr>
              <w:t>Output</w:t>
            </w:r>
          </w:p>
        </w:tc>
      </w:tr>
      <w:tr>
        <w:trPr>
          <w:cantSplit/>
        </w:trPr>
        <w:tc>
          <w:tcPr>
            <w:tcW w:type="dxa" w:w="2376"/>
          </w:tcPr>
          <w:p>
            <w:pPr>
              <w:spacing w:after="100"/>
            </w:pPr>
            <w:r>
              <w:rPr>
                <w:sz w:val="20"/>
              </w:rPr>
              <w:t>By 20 September</w:t>
            </w:r>
          </w:p>
        </w:tc>
        <w:tc>
          <w:tcPr>
            <w:tcW w:type="dxa" w:w="7560"/>
          </w:tcPr>
          <w:p>
            <w:pPr>
              <w:spacing w:after="100"/>
            </w:pPr>
            <w:r>
              <w:rPr>
                <w:sz w:val="20"/>
              </w:rPr>
              <w:t>Agree owners, reviewers, acceptance criteria and scope; settle dataset/sample manifests; start model feasibility.</w:t>
            </w:r>
          </w:p>
        </w:tc>
      </w:tr>
      <w:tr>
        <w:trPr>
          <w:cantSplit/>
        </w:trPr>
        <w:tc>
          <w:tcPr>
            <w:tcW w:type="dxa" w:w="2376"/>
          </w:tcPr>
          <w:p>
            <w:pPr>
              <w:spacing w:after="100"/>
            </w:pPr>
            <w:r>
              <w:rPr>
                <w:sz w:val="20"/>
              </w:rPr>
              <w:t>21–27 September</w:t>
            </w:r>
          </w:p>
        </w:tc>
        <w:tc>
          <w:tcPr>
            <w:tcW w:type="dxa" w:w="7560"/>
          </w:tcPr>
          <w:p>
            <w:pPr>
              <w:spacing w:after="100"/>
            </w:pPr>
            <w:r>
              <w:rPr>
                <w:sz w:val="20"/>
              </w:rPr>
              <w:t>First charts, shared TruckDrive records and camera audit. Go/no-go decision on the conditional benchmark; mentor feedback.</w:t>
            </w:r>
          </w:p>
        </w:tc>
      </w:tr>
      <w:tr>
        <w:trPr>
          <w:cantSplit/>
        </w:trPr>
        <w:tc>
          <w:tcPr>
            <w:tcW w:type="dxa" w:w="2376"/>
          </w:tcPr>
          <w:p>
            <w:pPr>
              <w:spacing w:after="100"/>
            </w:pPr>
            <w:r>
              <w:rPr>
                <w:sz w:val="20"/>
              </w:rPr>
              <w:t>28 September–4 October</w:t>
            </w:r>
          </w:p>
        </w:tc>
        <w:tc>
          <w:tcPr>
            <w:tcW w:type="dxa" w:w="7560"/>
          </w:tcPr>
          <w:p>
            <w:pPr>
              <w:spacing w:after="100"/>
            </w:pPr>
            <w:r>
              <w:rPr>
                <w:sz w:val="20"/>
              </w:rPr>
              <w:t>Complete core analyses and cross-pair reproduction/cold reads. Integrate findings and unresolved limits.</w:t>
            </w:r>
          </w:p>
        </w:tc>
      </w:tr>
      <w:tr>
        <w:trPr>
          <w:cantSplit/>
        </w:trPr>
        <w:tc>
          <w:tcPr>
            <w:tcW w:type="dxa" w:w="2376"/>
          </w:tcPr>
          <w:p>
            <w:pPr>
              <w:spacing w:after="100"/>
            </w:pPr>
            <w:r>
              <w:rPr>
                <w:sz w:val="20"/>
              </w:rPr>
              <w:t>5–9 October</w:t>
            </w:r>
          </w:p>
        </w:tc>
        <w:tc>
          <w:tcPr>
            <w:tcW w:type="dxa" w:w="7560"/>
          </w:tcPr>
          <w:p>
            <w:pPr>
              <w:spacing w:after="100"/>
            </w:pPr>
            <w:r>
              <w:rPr>
                <w:sz w:val="20"/>
              </w:rPr>
              <w:t>Review report and handover; rehearse explanations and arrange required demonstrations.</w:t>
            </w:r>
          </w:p>
        </w:tc>
      </w:tr>
      <w:tr>
        <w:trPr>
          <w:cantSplit/>
        </w:trPr>
        <w:tc>
          <w:tcPr>
            <w:tcW w:type="dxa" w:w="2376"/>
          </w:tcPr>
          <w:p>
            <w:pPr>
              <w:spacing w:after="100"/>
            </w:pPr>
            <w:r>
              <w:rPr>
                <w:sz w:val="20"/>
              </w:rPr>
              <w:t>12 October, 5 pm</w:t>
            </w:r>
          </w:p>
        </w:tc>
        <w:tc>
          <w:tcPr>
            <w:tcW w:type="dxa" w:w="7560"/>
          </w:tcPr>
          <w:p>
            <w:pPr>
              <w:spacing w:after="100"/>
            </w:pPr>
            <w:r>
              <w:rPr>
                <w:sz w:val="20"/>
              </w:rPr>
              <w:t>Official stop for project work. Finish technical work and client handover by this boundary.</w:t>
            </w:r>
          </w:p>
        </w:tc>
      </w:tr>
      <w:tr>
        <w:trPr>
          <w:cantSplit/>
        </w:trPr>
        <w:tc>
          <w:tcPr>
            <w:tcW w:type="dxa" w:w="2376"/>
          </w:tcPr>
          <w:p>
            <w:pPr>
              <w:spacing w:after="100"/>
            </w:pPr>
            <w:r>
              <w:rPr>
                <w:sz w:val="20"/>
              </w:rPr>
              <w:t>14 October, 11:59 pm</w:t>
            </w:r>
          </w:p>
        </w:tc>
        <w:tc>
          <w:tcPr>
            <w:tcW w:type="dxa" w:w="7560"/>
          </w:tcPr>
          <w:p>
            <w:pPr>
              <w:spacing w:after="100"/>
            </w:pPr>
            <w:r>
              <w:rPr>
                <w:sz w:val="20"/>
              </w:rPr>
              <w:t>Official Teams system submission deadline; use the completed handover package.</w:t>
            </w:r>
          </w:p>
        </w:tc>
      </w:tr>
    </w:tbl>
    <w:p>
      <w:r>
        <w:t>At each checkpoint, compare actual active time with story estimates, explain any variance and reduce optional scope early. Every member should be able to explain their input data, script/model, output, conclusion and one limitation, plus the basic role of the other two datasets.</w:t>
      </w:r>
    </w:p>
    <w:p>
      <w:pPr>
        <w:pStyle w:val="Heading1"/>
      </w:pPr>
      <w:r>
        <w:t>Evidence checked</w:t>
      </w:r>
    </w:p>
    <w:p>
      <w:r>
        <w:t>Repository snapshot: 234212e (15 September 2026). PR #29 contains the four-camera FCOS3D result; PR #28 contains Fariya’s reported TruckDrive reproduction. Dataset characterisation, human labels and model scores are kept separate.</w:t>
      </w:r>
    </w:p>
    <w:p>
      <w:r>
        <w:t>https://github.com/Ricky24248619/Group-7-RADAR-for-Autonomous-Driving/pull/29</w:t>
      </w:r>
    </w:p>
    <w:p>
      <w:r>
        <w:t>https://github.com/Ricky24248619/Group-7-RADAR-for-Autonomous-Driving/pull/28</w:t>
      </w:r>
    </w:p>
    <w:p>
      <w:r>
        <w:t>Metrics: scripts/fcos3d_truckscenes_metrics_summary_4cam.json; predictions: scripts/results_mini_val_fcos3d_4cam.json; experiment-log/0007-fcos3d-truckscenes-4camera.md; experiment-log/0009-fariya-truckdrive-reproduction.md; docs/dataset-comparison.md.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CITS3200 · Group 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04CC0D-FD58-4FDB-AF8A-161547016F47}"/>
</file>

<file path=customXml/itemProps3.xml><?xml version="1.0" encoding="utf-8"?>
<ds:datastoreItem xmlns:ds="http://schemas.openxmlformats.org/officeDocument/2006/customXml" ds:itemID="{9FD2E92B-32EE-41FC-9F44-6C6CE31262BE}"/>
</file>

<file path=customXml/itemProps4.xml><?xml version="1.0" encoding="utf-8"?>
<ds:datastoreItem xmlns:ds="http://schemas.openxmlformats.org/officeDocument/2006/customXml" ds:itemID="{DC62F1DA-E902-4ABD-8921-1A528BD1856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