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Risk Register</w:t>
      </w:r>
    </w:p>
    <w:p>
      <w:r>
        <w:rPr>
          <w:b/>
        </w:rPr>
        <w:t>CITS3200 Professional Computing | Group 07 | Revision 3 | 15 September 2026</w:t>
      </w:r>
    </w:p>
    <w:p>
      <w:pPr>
        <w:ind w:left="480"/>
        <w:jc w:val="left"/>
      </w:pPr>
      <w:r>
        <w:rPr>
          <w:i/>
        </w:rPr>
        <w:t>Revises the 12 August risk register. Original identifiers are retained; statuses below reflect the evidence available on 15 September 2026.</w:t>
      </w:r>
      <w:r>
        <w:rPr>
          <w:b/>
          <w:i/>
        </w:rPr>
      </w:r>
      <w:r>
        <w:rPr>
          <w:i/>
        </w:rPr>
      </w:r>
    </w:p>
    <w:p>
      <w:pPr>
        <w:pStyle w:val="Heading2"/>
      </w:pPr>
      <w:r>
        <w:t>Method</w:t>
      </w:r>
    </w:p>
    <w:p>
      <w:r>
        <w:t>Each risk retains a stable identifier. Owners track mitigation and escalation; team and external dependencies are recorded separately so the next action is clear.</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Rating</w:t>
            </w:r>
          </w:p>
        </w:tc>
        <w:tc>
          <w:tcPr>
            <w:tcW w:type="dxa" w:w="2880"/>
          </w:tcPr>
          <w:p>
            <w:r>
              <w:rPr>
                <w:b/>
              </w:rPr>
            </w:r>
            <w:r>
              <w:rPr>
                <w:b/>
              </w:rPr>
              <w:t>Likelihood</w:t>
            </w:r>
          </w:p>
        </w:tc>
        <w:tc>
          <w:tcPr>
            <w:tcW w:type="dxa" w:w="2880"/>
          </w:tcPr>
          <w:p>
            <w:r>
              <w:rPr>
                <w:b/>
              </w:rPr>
            </w:r>
            <w:r>
              <w:rPr>
                <w:b/>
              </w:rPr>
              <w:t>Impact</w:t>
            </w:r>
          </w:p>
        </w:tc>
      </w:tr>
      <w:tr>
        <w:trPr>
          <w:cantSplit/>
        </w:trPr>
        <w:tc>
          <w:tcPr>
            <w:tcW w:type="dxa" w:w="2880"/>
          </w:tcPr>
          <w:p>
            <w:r/>
            <w:r>
              <w:t>High</w:t>
            </w:r>
          </w:p>
        </w:tc>
        <w:tc>
          <w:tcPr>
            <w:tcW w:type="dxa" w:w="2880"/>
          </w:tcPr>
          <w:p>
            <w:r/>
            <w:r>
              <w:t>Expected to occur unless acted on</w:t>
            </w:r>
          </w:p>
        </w:tc>
        <w:tc>
          <w:tcPr>
            <w:tcW w:type="dxa" w:w="2880"/>
          </w:tcPr>
          <w:p>
            <w:r/>
            <w:r>
              <w:t>Blocks a deliverable or forces a change of direction</w:t>
            </w:r>
          </w:p>
        </w:tc>
      </w:tr>
      <w:tr>
        <w:trPr>
          <w:cantSplit/>
        </w:trPr>
        <w:tc>
          <w:tcPr>
            <w:tcW w:type="dxa" w:w="2880"/>
          </w:tcPr>
          <w:p>
            <w:r/>
            <w:r>
              <w:t>Medium</w:t>
            </w:r>
          </w:p>
        </w:tc>
        <w:tc>
          <w:tcPr>
            <w:tcW w:type="dxa" w:w="2880"/>
          </w:tcPr>
          <w:p>
            <w:r/>
            <w:r>
              <w:t>Reasonably possible this semester</w:t>
            </w:r>
          </w:p>
        </w:tc>
        <w:tc>
          <w:tcPr>
            <w:tcW w:type="dxa" w:w="2880"/>
          </w:tcPr>
          <w:p>
            <w:r/>
            <w:r>
              <w:t>Delays a deliverable or forces significant rework</w:t>
            </w:r>
          </w:p>
        </w:tc>
      </w:tr>
      <w:tr>
        <w:trPr>
          <w:cantSplit/>
        </w:trPr>
        <w:tc>
          <w:tcPr>
            <w:tcW w:type="dxa" w:w="2880"/>
          </w:tcPr>
          <w:p>
            <w:r/>
            <w:r>
              <w:t>Low</w:t>
            </w:r>
          </w:p>
        </w:tc>
        <w:tc>
          <w:tcPr>
            <w:tcW w:type="dxa" w:w="2880"/>
          </w:tcPr>
          <w:p>
            <w:r/>
            <w:r>
              <w:t>Unlikely but credible</w:t>
            </w:r>
          </w:p>
        </w:tc>
        <w:tc>
          <w:tcPr>
            <w:tcW w:type="dxa" w:w="2880"/>
          </w:tcPr>
          <w:p>
            <w:r/>
            <w:r>
              <w:t>Absorbed within existing contingency</w:t>
            </w:r>
          </w:p>
        </w:tc>
      </w:tr>
    </w:tbl>
    <w:p/>
    <w:p>
      <w:r>
        <w:rPr>
          <w:b/>
        </w:rPr>
        <w:t>Status vocabulary:</w:t>
      </w:r>
      <w:r>
        <w:t xml:space="preserve"> Open · Reduced · </w:t>
      </w:r>
      <w:r>
        <w:rPr>
          <w:b/>
        </w:rPr>
        <w:t>Closed</w:t>
      </w:r>
      <w:r>
        <w:t xml:space="preserve"> · </w:t>
      </w:r>
      <w:r>
        <w:rPr>
          <w:b/>
        </w:rPr>
        <w:t>Materialised</w:t>
      </w:r>
      <w:r>
        <w:t xml:space="preserve"> (it happened) · </w:t>
      </w:r>
      <w:r>
        <w:rPr>
          <w:b/>
        </w:rPr>
        <w:t>Disproven</w:t>
      </w:r>
      <w:r>
        <w:t xml:space="preserve"> (the premise was false).</w:t>
      </w:r>
    </w:p>
    <w:p>
      <w:pPr>
        <w:pStyle w:val="Heading2"/>
      </w:pPr>
      <w:r>
        <w:t>1. Risks that materialised</w:t>
      </w:r>
    </w:p>
    <w:p>
      <w:r>
        <w:t>These are no longer forecasts. They are what actually happened, and they shaped Sprint 2.</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What happened</w:t>
            </w:r>
          </w:p>
        </w:tc>
      </w:tr>
      <w:tr>
        <w:trPr>
          <w:cantSplit/>
        </w:trPr>
        <w:tc>
          <w:tcPr>
            <w:tcW w:type="dxa" w:w="2160"/>
          </w:tcPr>
          <w:p>
            <w:r/>
            <w:r>
              <w:rPr>
                <w:b/>
              </w:rPr>
              <w:t>R-09</w:t>
            </w:r>
          </w:p>
        </w:tc>
        <w:tc>
          <w:tcPr>
            <w:tcW w:type="dxa" w:w="2160"/>
          </w:tcPr>
          <w:p>
            <w:r/>
            <w:r>
              <w:t>Kaya access blocked by unmet application prerequisites rather than queue time</w:t>
            </w:r>
          </w:p>
        </w:tc>
        <w:tc>
          <w:tcPr>
            <w:tcW w:type="dxa" w:w="2160"/>
          </w:tcPr>
          <w:p>
            <w:r/>
            <w:r>
              <w:rPr>
                <w:b/>
              </w:rPr>
              <w:t>Materialised · High/High</w:t>
            </w:r>
          </w:p>
        </w:tc>
        <w:tc>
          <w:tcPr>
            <w:tcW w:type="dxa" w:w="2160"/>
          </w:tcPr>
          <w:p>
            <w:r/>
            <w:r>
              <w:t>Kaya access is pending. Adrian agreed to act as PI; confirm outstanding paperwork and the split of responsibilities. No alternative large-scale compute allocation is confirmed; bounded local inference has succeeded</w:t>
            </w:r>
          </w:p>
        </w:tc>
      </w:tr>
      <w:tr>
        <w:trPr>
          <w:cantSplit/>
        </w:trPr>
        <w:tc>
          <w:tcPr>
            <w:tcW w:type="dxa" w:w="2160"/>
          </w:tcPr>
          <w:p>
            <w:r/>
            <w:r>
              <w:rPr>
                <w:b/>
              </w:rPr>
              <w:t>R-22</w:t>
            </w:r>
          </w:p>
        </w:tc>
        <w:tc>
          <w:tcPr>
            <w:tcW w:type="dxa" w:w="2160"/>
          </w:tcPr>
          <w:p>
            <w:r/>
            <w:r>
              <w:t>No Principal Investigator secured for Kaya</w:t>
            </w:r>
          </w:p>
        </w:tc>
        <w:tc>
          <w:tcPr>
            <w:tcW w:type="dxa" w:w="2160"/>
          </w:tcPr>
          <w:p>
            <w:r/>
            <w:r>
              <w:rPr>
                <w:b/>
              </w:rPr>
              <w:t>Reduced</w:t>
            </w:r>
          </w:p>
        </w:tc>
        <w:tc>
          <w:tcPr>
            <w:tcW w:type="dxa" w:w="2160"/>
          </w:tcPr>
          <w:p>
            <w:r/>
            <w:r>
              <w:t>Adrian agreed in principle, which closed the part the team could not supply. The dependency now sits on completing the paperwork, tracked under R-09</w:t>
            </w:r>
          </w:p>
        </w:tc>
      </w:tr>
      <w:tr>
        <w:trPr>
          <w:cantSplit/>
        </w:trPr>
        <w:tc>
          <w:tcPr>
            <w:tcW w:type="dxa" w:w="2160"/>
          </w:tcPr>
          <w:p>
            <w:r/>
            <w:r>
              <w:rPr>
                <w:b/>
              </w:rPr>
              <w:t>R-24</w:t>
            </w:r>
          </w:p>
        </w:tc>
        <w:tc>
          <w:tcPr>
            <w:tcW w:type="dxa" w:w="2160"/>
          </w:tcPr>
          <w:p>
            <w:r/>
            <w:r>
              <w:t>GOOSE / STONE unconfirmed; access or scale may prevent the intended comparison</w:t>
            </w:r>
          </w:p>
        </w:tc>
        <w:tc>
          <w:tcPr>
            <w:tcW w:type="dxa" w:w="2160"/>
          </w:tcPr>
          <w:p>
            <w:r/>
            <w:r>
              <w:rPr>
                <w:b/>
              </w:rPr>
              <w:t>Materialised · Closed by D-06</w:t>
            </w:r>
          </w:p>
        </w:tc>
        <w:tc>
          <w:tcPr>
            <w:tcW w:type="dxa" w:w="2160"/>
          </w:tcPr>
          <w:p>
            <w:r/>
            <w:r>
              <w:t>STONE proved real, public and the only off-road dataset with annotated 4D radar — but 346 GB monolithic, no devkit, maintainers silent since March. Dropped 29 Aug</w:t>
            </w:r>
          </w:p>
        </w:tc>
      </w:tr>
      <w:tr>
        <w:trPr>
          <w:cantSplit/>
        </w:trPr>
        <w:tc>
          <w:tcPr>
            <w:tcW w:type="dxa" w:w="2160"/>
          </w:tcPr>
          <w:p>
            <w:r/>
            <w:r>
              <w:rPr>
                <w:b/>
              </w:rPr>
              <w:t>R-11</w:t>
            </w:r>
          </w:p>
        </w:tc>
        <w:tc>
          <w:tcPr>
            <w:tcW w:type="dxa" w:w="2160"/>
          </w:tcPr>
          <w:p>
            <w:r/>
            <w:r>
              <w:t>Scope becomes more ambitious than available hours allow</w:t>
            </w:r>
          </w:p>
        </w:tc>
        <w:tc>
          <w:tcPr>
            <w:tcW w:type="dxa" w:w="2160"/>
          </w:tcPr>
          <w:p>
            <w:r/>
            <w:r>
              <w:rPr>
                <w:b/>
              </w:rPr>
              <w:t>Materialised</w:t>
            </w:r>
          </w:p>
        </w:tc>
        <w:tc>
          <w:tcPr>
            <w:tcW w:type="dxa" w:w="2160"/>
          </w:tcPr>
          <w:p>
            <w:r/>
            <w:r>
              <w:t>Six epics across six people produced little in Sprint 1. Addressed by reorganising into three dataset pairs (D-08)</w:t>
            </w:r>
          </w:p>
        </w:tc>
      </w:tr>
      <w:tr>
        <w:trPr>
          <w:cantSplit/>
        </w:trPr>
        <w:tc>
          <w:tcPr>
            <w:tcW w:type="dxa" w:w="2160"/>
          </w:tcPr>
          <w:p>
            <w:r/>
            <w:r>
              <w:rPr>
                <w:b/>
              </w:rPr>
              <w:t>R-05</w:t>
            </w:r>
          </w:p>
        </w:tc>
        <w:tc>
          <w:tcPr>
            <w:tcW w:type="dxa" w:w="2160"/>
          </w:tcPr>
          <w:p>
            <w:r/>
            <w:r>
              <w:t>An open-source model does not work with the selected dataset</w:t>
            </w:r>
          </w:p>
        </w:tc>
        <w:tc>
          <w:tcPr>
            <w:tcW w:type="dxa" w:w="2160"/>
          </w:tcPr>
          <w:p>
            <w:r/>
            <w:r>
              <w:rPr>
                <w:b/>
              </w:rPr>
              <w:t>Materialised, then partly resolved</w:t>
            </w:r>
          </w:p>
        </w:tc>
        <w:tc>
          <w:tcPr>
            <w:tcW w:type="dxa" w:w="2160"/>
          </w:tcPr>
          <w:p>
            <w:r/>
            <w:r>
              <w:t>Pointcept/PTv3 could not run on Apple Silicon (CUDA-only). Reassigned to the team's GTX 1660, where it ran in FP32. Both outcomes recorded as results</w:t>
            </w:r>
          </w:p>
        </w:tc>
      </w:tr>
    </w:tbl>
    <w:p/>
    <w:p>
      <w:pPr>
        <w:pStyle w:val="Heading2"/>
      </w:pPr>
      <w:r>
        <w:t>2. Risks disproven or closed</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Evidence</w:t>
            </w:r>
          </w:p>
        </w:tc>
      </w:tr>
      <w:tr>
        <w:trPr>
          <w:cantSplit/>
        </w:trPr>
        <w:tc>
          <w:tcPr>
            <w:tcW w:type="dxa" w:w="2160"/>
          </w:tcPr>
          <w:p>
            <w:r/>
            <w:r>
              <w:rPr>
                <w:b/>
              </w:rPr>
              <w:t>R-08</w:t>
            </w:r>
          </w:p>
        </w:tc>
        <w:tc>
          <w:tcPr>
            <w:tcW w:type="dxa" w:w="2160"/>
          </w:tcPr>
          <w:p>
            <w:r/>
            <w:r>
              <w:t>No team member has a discrete NVIDIA GPU</w:t>
            </w:r>
          </w:p>
        </w:tc>
        <w:tc>
          <w:tcPr>
            <w:tcW w:type="dxa" w:w="2160"/>
          </w:tcPr>
          <w:p>
            <w:r/>
            <w:r>
              <w:rPr>
                <w:b/>
              </w:rPr>
              <w:t>Disproven</w:t>
            </w:r>
          </w:p>
        </w:tc>
        <w:tc>
          <w:tcPr>
            <w:tcW w:type="dxa" w:w="2160"/>
          </w:tcPr>
          <w:p>
            <w:r/>
            <w:r>
              <w:t xml:space="preserve">Hardware audit, 27 Aug: </w:t>
            </w:r>
            <w:r>
              <w:rPr>
                <w:b/>
              </w:rPr>
              <w:t>GTX 1660, 6 GiB</w:t>
            </w:r>
            <w:r>
              <w:t>. Bounded FP32 inference works under record 0006's patched protocol. Its ten-frame loop-body timing extrapolates to ~5 hours excluding data loading; full-split resource use is unmeasured</w:t>
            </w:r>
          </w:p>
        </w:tc>
      </w:tr>
      <w:tr>
        <w:trPr>
          <w:cantSplit/>
        </w:trPr>
        <w:tc>
          <w:tcPr>
            <w:tcW w:type="dxa" w:w="2160"/>
          </w:tcPr>
          <w:p>
            <w:r/>
            <w:r>
              <w:rPr>
                <w:b/>
              </w:rPr>
              <w:t>R-25</w:t>
            </w:r>
          </w:p>
        </w:tc>
        <w:tc>
          <w:tcPr>
            <w:tcW w:type="dxa" w:w="2160"/>
          </w:tcPr>
          <w:p>
            <w:r/>
            <w:r>
              <w:t>Dataset naming ambiguous — "MAN"/"TORC" versus "TruckScenes"/"TruckDrive"</w:t>
            </w:r>
          </w:p>
        </w:tc>
        <w:tc>
          <w:tcPr>
            <w:tcW w:type="dxa" w:w="2160"/>
          </w:tcPr>
          <w:p>
            <w:r/>
            <w:r>
              <w:rPr>
                <w:b/>
              </w:rPr>
              <w:t>Closed</w:t>
            </w:r>
          </w:p>
        </w:tc>
        <w:tc>
          <w:tcPr>
            <w:tcW w:type="dxa" w:w="2160"/>
          </w:tcPr>
          <w:p>
            <w:r/>
            <w:r>
              <w:t>Two distinct datasets. MAN TruckScenes is MAN + TU Munich, NeurIPS 2024; TruckDrive is Torc Robotics + Princeton, CVPR 2026. TruckDrive's own paper benchmarks against TruckScenes</w:t>
            </w:r>
          </w:p>
        </w:tc>
      </w:tr>
      <w:tr>
        <w:trPr>
          <w:cantSplit/>
        </w:trPr>
        <w:tc>
          <w:tcPr>
            <w:tcW w:type="dxa" w:w="2160"/>
          </w:tcPr>
          <w:p>
            <w:r/>
            <w:r>
              <w:rPr>
                <w:b/>
              </w:rPr>
              <w:t>R-02</w:t>
            </w:r>
          </w:p>
        </w:tc>
        <w:tc>
          <w:tcPr>
            <w:tcW w:type="dxa" w:w="2160"/>
          </w:tcPr>
          <w:p>
            <w:r/>
            <w:r>
              <w:t>Dataset or devkit fails to install, particularly macOS</w:t>
            </w:r>
          </w:p>
        </w:tc>
        <w:tc>
          <w:tcPr>
            <w:tcW w:type="dxa" w:w="2160"/>
          </w:tcPr>
          <w:p>
            <w:r/>
            <w:r>
              <w:rPr>
                <w:b/>
              </w:rPr>
              <w:t>Closed</w:t>
            </w:r>
          </w:p>
        </w:tc>
        <w:tc>
          <w:tcPr>
            <w:tcW w:type="dxa" w:w="2160"/>
          </w:tcPr>
          <w:p>
            <w:r/>
            <w:r>
              <w:t>All three devkits installed. GOOSE and TruckScenes on macOS; GOOSE and TruckDrive on Windows. Documented for both platforms</w:t>
            </w:r>
          </w:p>
        </w:tc>
      </w:tr>
      <w:tr>
        <w:trPr>
          <w:cantSplit/>
        </w:trPr>
        <w:tc>
          <w:tcPr>
            <w:tcW w:type="dxa" w:w="2160"/>
          </w:tcPr>
          <w:p>
            <w:r/>
            <w:r>
              <w:rPr>
                <w:b/>
              </w:rPr>
              <w:t>R-03</w:t>
            </w:r>
          </w:p>
        </w:tc>
        <w:tc>
          <w:tcPr>
            <w:tcW w:type="dxa" w:w="2160"/>
          </w:tcPr>
          <w:p>
            <w:r/>
            <w:r>
              <w:t>Dataset too large for personal laptops</w:t>
            </w:r>
          </w:p>
        </w:tc>
        <w:tc>
          <w:tcPr>
            <w:tcW w:type="dxa" w:w="2160"/>
          </w:tcPr>
          <w:p>
            <w:r/>
            <w:r>
              <w:rPr>
                <w:b/>
              </w:rPr>
              <w:t>Reduced</w:t>
            </w:r>
          </w:p>
        </w:tc>
        <w:tc>
          <w:tcPr>
            <w:tcW w:type="dxa" w:w="2160"/>
          </w:tcPr>
          <w:p>
            <w:r/>
            <w:r>
              <w:t>Mini and validation splits fit the available storage. Additional disk space helps but does not establish capacity for full datasets and extraction; check the intended download and working-space requirements first</w:t>
            </w:r>
          </w:p>
        </w:tc>
      </w:tr>
      <w:tr>
        <w:trPr>
          <w:cantSplit/>
        </w:trPr>
        <w:tc>
          <w:tcPr>
            <w:tcW w:type="dxa" w:w="2160"/>
          </w:tcPr>
          <w:p>
            <w:r/>
            <w:r>
              <w:rPr>
                <w:b/>
              </w:rPr>
              <w:t>R-10</w:t>
            </w:r>
          </w:p>
        </w:tc>
        <w:tc>
          <w:tcPr>
            <w:tcW w:type="dxa" w:w="2160"/>
          </w:tcPr>
          <w:p>
            <w:r/>
            <w:r>
              <w:t>No team member running Linux, blocking ROS 2 / Autoware</w:t>
            </w:r>
          </w:p>
        </w:tc>
        <w:tc>
          <w:tcPr>
            <w:tcW w:type="dxa" w:w="2160"/>
          </w:tcPr>
          <w:p>
            <w:r/>
            <w:r>
              <w:rPr>
                <w:b/>
              </w:rPr>
              <w:t>Open, deferred</w:t>
            </w:r>
          </w:p>
        </w:tc>
        <w:tc>
          <w:tcPr>
            <w:tcW w:type="dxa" w:w="2160"/>
          </w:tcPr>
          <w:p>
            <w:r>
              <w:t>Autoware remains outside the core Sprint 3 proposal; revisit only if a useful output and spare capacity are agreed.</w:t>
            </w:r>
            <w:r/>
          </w:p>
        </w:tc>
      </w:tr>
    </w:tbl>
    <w:p/>
    <w:p>
      <w:pPr>
        <w:pStyle w:val="Heading2"/>
      </w:pPr>
      <w:r>
        <w:t>3. Technical and data risks — current</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cantSplit/>
        </w:trP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Status and mitigation</w:t>
            </w:r>
          </w:p>
        </w:tc>
      </w:tr>
      <w:tr>
        <w:trPr>
          <w:cantSplit/>
        </w:trPr>
        <w:tc>
          <w:tcPr>
            <w:tcW w:type="dxa" w:w="1728"/>
          </w:tcPr>
          <w:p>
            <w:r/>
            <w:r>
              <w:t>R-01</w:t>
            </w:r>
          </w:p>
        </w:tc>
        <w:tc>
          <w:tcPr>
            <w:tcW w:type="dxa" w:w="1728"/>
          </w:tcPr>
          <w:p>
            <w:r/>
            <w:r>
              <w:t>Limited team knowledge of 4D RADAR and AV perception</w:t>
            </w:r>
          </w:p>
        </w:tc>
        <w:tc>
          <w:tcPr>
            <w:tcW w:type="dxa" w:w="1728"/>
          </w:tcPr>
          <w:p>
            <w:r/>
            <w:r>
              <w:t>Med/Med</w:t>
            </w:r>
          </w:p>
        </w:tc>
        <w:tc>
          <w:tcPr>
            <w:tcW w:type="dxa" w:w="1728"/>
          </w:tcPr>
          <w:p>
            <w:r/>
            <w:r>
              <w:t>All</w:t>
            </w:r>
          </w:p>
        </w:tc>
        <w:tc>
          <w:tcPr>
            <w:tcW w:type="dxa" w:w="1728"/>
          </w:tcPr>
          <w:p>
            <w:r/>
            <w:r>
              <w:rPr>
                <w:b/>
              </w:rPr>
              <w:t>Reduced.</w:t>
            </w:r>
            <w:r>
              <w:t xml:space="preserve"> Each pair now has working knowledge of its dataset. The cross-team survey is still unwritten</w:t>
            </w:r>
          </w:p>
        </w:tc>
      </w:tr>
      <w:tr>
        <w:trPr>
          <w:cantSplit/>
        </w:trPr>
        <w:tc>
          <w:tcPr>
            <w:tcW w:type="dxa" w:w="1728"/>
          </w:tcPr>
          <w:p>
            <w:r/>
            <w:r>
              <w:t>R-04</w:t>
            </w:r>
          </w:p>
        </w:tc>
        <w:tc>
          <w:tcPr>
            <w:tcW w:type="dxa" w:w="1728"/>
          </w:tcPr>
          <w:p>
            <w:r/>
            <w:r>
              <w:t>TruckDrive's non-commercial licence restricts downstream or handover use</w:t>
            </w:r>
          </w:p>
        </w:tc>
        <w:tc>
          <w:tcPr>
            <w:tcW w:type="dxa" w:w="1728"/>
          </w:tcPr>
          <w:p>
            <w:r/>
            <w:r>
              <w:t>Low/Med</w:t>
            </w:r>
          </w:p>
        </w:tc>
        <w:tc>
          <w:tcPr>
            <w:tcW w:type="dxa" w:w="1728"/>
          </w:tcPr>
          <w:p>
            <w:r/>
            <w:r>
              <w:t>Fatima</w:t>
            </w:r>
          </w:p>
        </w:tc>
        <w:tc>
          <w:tcPr>
            <w:tcW w:type="dxa" w:w="1728"/>
          </w:tcPr>
          <w:p>
            <w:r/>
            <w:r>
              <w:rPr>
                <w:b/>
              </w:rPr>
              <w:t>Open.</w:t>
            </w:r>
            <w:r>
              <w:t xml:space="preserve"> Acceptable for university work; the handover question remains unanswered because it needs the client</w:t>
            </w:r>
          </w:p>
        </w:tc>
      </w:tr>
      <w:tr>
        <w:trPr>
          <w:cantSplit/>
        </w:trPr>
        <w:tc>
          <w:tcPr>
            <w:tcW w:type="dxa" w:w="1728"/>
          </w:tcPr>
          <w:p>
            <w:r/>
            <w:r>
              <w:t>R-06</w:t>
            </w:r>
          </w:p>
        </w:tc>
        <w:tc>
          <w:tcPr>
            <w:tcW w:type="dxa" w:w="1728"/>
          </w:tcPr>
          <w:p>
            <w:r/>
            <w:r>
              <w:t>AI-generated code incorrect or not understood by its author</w:t>
            </w:r>
          </w:p>
        </w:tc>
        <w:tc>
          <w:tcPr>
            <w:tcW w:type="dxa" w:w="1728"/>
          </w:tcPr>
          <w:p>
            <w:r/>
            <w:r>
              <w:t>Med/Med</w:t>
            </w:r>
          </w:p>
        </w:tc>
        <w:tc>
          <w:tcPr>
            <w:tcW w:type="dxa" w:w="1728"/>
          </w:tcPr>
          <w:p>
            <w:r/>
            <w:r>
              <w:t>All</w:t>
            </w:r>
          </w:p>
        </w:tc>
        <w:tc>
          <w:tcPr>
            <w:tcW w:type="dxa" w:w="1728"/>
          </w:tcPr>
          <w:p>
            <w:r/>
            <w:r>
              <w:rPr>
                <w:b/>
              </w:rPr>
              <w:t>Open and now material.</w:t>
            </w:r>
            <w:r>
              <w:t xml:space="preserve"> The team is working AI-assisted by the client's own instruction. Mitigation: every author must be able to explain their code; PR review by another member; seven real defects were caught this way in Sprint 2</w:t>
            </w:r>
          </w:p>
        </w:tc>
      </w:tr>
      <w:tr>
        <w:trPr>
          <w:cantSplit/>
        </w:trPr>
        <w:tc>
          <w:tcPr>
            <w:tcW w:type="dxa" w:w="1728"/>
          </w:tcPr>
          <w:p>
            <w:r/>
            <w:r>
              <w:t>R-07</w:t>
            </w:r>
          </w:p>
        </w:tc>
        <w:tc>
          <w:tcPr>
            <w:tcW w:type="dxa" w:w="1728"/>
          </w:tcPr>
          <w:p>
            <w:r/>
            <w:r>
              <w:t>Investigation on unfamiliar tooling takes materially longer than estimated</w:t>
            </w:r>
          </w:p>
        </w:tc>
        <w:tc>
          <w:tcPr>
            <w:tcW w:type="dxa" w:w="1728"/>
          </w:tcPr>
          <w:p>
            <w:r/>
            <w:r>
              <w:t>Med/Med</w:t>
            </w:r>
          </w:p>
        </w:tc>
        <w:tc>
          <w:tcPr>
            <w:tcW w:type="dxa" w:w="1728"/>
          </w:tcPr>
          <w:p>
            <w:r/>
            <w:r>
              <w:t>Ricky</w:t>
            </w:r>
          </w:p>
        </w:tc>
        <w:tc>
          <w:tcPr>
            <w:tcW w:type="dxa" w:w="1728"/>
          </w:tcPr>
          <w:p>
            <w:r/>
            <w:r>
              <w:rPr>
                <w:b/>
              </w:rPr>
              <w:t>Reduced.</w:t>
            </w:r>
            <w:r>
              <w:t xml:space="preserve"> Time-boxing worked: the Apple Silicon CUDA blocker was identified in 15 minutes by checking prerequisites rather than debugging a build</w:t>
            </w:r>
          </w:p>
        </w:tc>
      </w:tr>
      <w:tr>
        <w:trPr>
          <w:cantSplit/>
        </w:trPr>
        <w:tc>
          <w:tcPr>
            <w:tcW w:type="dxa" w:w="1728"/>
          </w:tcPr>
          <w:p>
            <w:r/>
            <w:r>
              <w:t>R-21</w:t>
            </w:r>
          </w:p>
        </w:tc>
        <w:tc>
          <w:tcPr>
            <w:tcW w:type="dxa" w:w="1728"/>
          </w:tcPr>
          <w:p>
            <w:r/>
            <w:r>
              <w:t>No usable radar-first open-source detection baseline is available to the team</w:t>
            </w:r>
          </w:p>
        </w:tc>
        <w:tc>
          <w:tcPr>
            <w:tcW w:type="dxa" w:w="1728"/>
          </w:tcPr>
          <w:p>
            <w:r/>
            <w:r>
              <w:t>Med/High</w:t>
            </w:r>
          </w:p>
        </w:tc>
        <w:tc>
          <w:tcPr>
            <w:tcW w:type="dxa" w:w="1728"/>
          </w:tcPr>
          <w:p>
            <w:r/>
            <w:r>
              <w:t>Damien</w:t>
            </w:r>
          </w:p>
        </w:tc>
        <w:tc>
          <w:tcPr>
            <w:tcW w:type="dxa" w:w="1728"/>
          </w:tcPr>
          <w:p>
            <w:r/>
            <w:r>
              <w:rPr>
                <w:b/>
              </w:rPr>
              <w:t>Open.</w:t>
            </w:r>
            <w:r>
              <w:t xml:space="preserve"> The TruckScenes paper reports radar baselines, but a compatible released implementation/checkpoint and compute plan have not yet been selected. Published results alone do not establish local runnability</w:t>
            </w:r>
          </w:p>
        </w:tc>
      </w:tr>
      <w:tr>
        <w:trPr>
          <w:cantSplit/>
        </w:trPr>
        <w:tc>
          <w:tcPr>
            <w:tcW w:type="dxa" w:w="1728"/>
          </w:tcPr>
          <w:p>
            <w:r/>
            <w:r>
              <w:t>R-23</w:t>
            </w:r>
          </w:p>
        </w:tc>
        <w:tc>
          <w:tcPr>
            <w:tcW w:type="dxa" w:w="1728"/>
          </w:tcPr>
          <w:p>
            <w:r/>
            <w:r>
              <w:t>Results from different datasets compared on a shared axis</w:t>
            </w:r>
          </w:p>
        </w:tc>
        <w:tc>
          <w:tcPr>
            <w:tcW w:type="dxa" w:w="1728"/>
          </w:tcPr>
          <w:p>
            <w:r/>
            <w:r>
              <w:t>Med/High</w:t>
            </w:r>
          </w:p>
        </w:tc>
        <w:tc>
          <w:tcPr>
            <w:tcW w:type="dxa" w:w="1728"/>
          </w:tcPr>
          <w:p>
            <w:r/>
            <w:r>
              <w:t>Ricky</w:t>
            </w:r>
          </w:p>
        </w:tc>
        <w:tc>
          <w:tcPr>
            <w:tcW w:type="dxa" w:w="1728"/>
          </w:tcPr>
          <w:p>
            <w:r/>
            <w:r>
              <w:rPr>
                <w:b/>
              </w:rPr>
              <w:t>Reduced.</w:t>
            </w:r>
            <w:r>
              <w:t xml:space="preserve"> Now enforced by tooling: </w:t>
            </w:r>
            <w:r>
              <w:rPr>
                <w:rFonts w:ascii="Consolas" w:hAnsi="Consolas"/>
                <w:color w:val="B03060"/>
              </w:rPr>
              <w:t>dataset</w:t>
            </w:r>
            <w:r>
              <w:t xml:space="preserve">, </w:t>
            </w:r>
            <w:r>
              <w:rPr>
                <w:rFonts w:ascii="Consolas" w:hAnsi="Consolas"/>
                <w:color w:val="B03060"/>
              </w:rPr>
              <w:t>sensor_configuration</w:t>
            </w:r>
            <w:r>
              <w:t xml:space="preserve"> and </w:t>
            </w:r>
            <w:r>
              <w:rPr>
                <w:rFonts w:ascii="Consolas" w:hAnsi="Consolas"/>
                <w:color w:val="B03060"/>
              </w:rPr>
              <w:t>annotation_schema</w:t>
            </w:r>
            <w:r>
              <w:t xml:space="preserve"> are mandatory non-blank fields, and undefined metrics are rejected</w:t>
            </w:r>
          </w:p>
        </w:tc>
      </w:tr>
      <w:tr>
        <w:trPr>
          <w:cantSplit/>
        </w:trPr>
        <w:tc>
          <w:tcPr>
            <w:tcW w:type="dxa" w:w="1728"/>
          </w:tcPr>
          <w:p>
            <w:r/>
            <w:r>
              <w:t>R-13</w:t>
            </w:r>
          </w:p>
        </w:tc>
        <w:tc>
          <w:tcPr>
            <w:tcW w:type="dxa" w:w="1728"/>
          </w:tcPr>
          <w:p>
            <w:r/>
            <w:r>
              <w:t>Work not reproducible, weakening handover</w:t>
            </w:r>
          </w:p>
        </w:tc>
        <w:tc>
          <w:tcPr>
            <w:tcW w:type="dxa" w:w="1728"/>
          </w:tcPr>
          <w:p>
            <w:r/>
            <w:r>
              <w:t>Med/High</w:t>
            </w:r>
          </w:p>
        </w:tc>
        <w:tc>
          <w:tcPr>
            <w:tcW w:type="dxa" w:w="1728"/>
          </w:tcPr>
          <w:p>
            <w:r/>
            <w:r>
              <w:t>Fatima</w:t>
            </w:r>
          </w:p>
        </w:tc>
        <w:tc>
          <w:tcPr>
            <w:tcW w:type="dxa" w:w="1728"/>
          </w:tcPr>
          <w:p>
            <w:r/>
            <w:r>
              <w:rPr>
                <w:b/>
              </w:rPr>
              <w:t>Reduced.</w:t>
            </w:r>
            <w:r>
              <w:t xml:space="preserve"> Cross-platform reproduction achieved; environments, commands and failures recorded</w:t>
            </w:r>
          </w:p>
        </w:tc>
      </w:tr>
    </w:tbl>
    <w:p/>
    <w:p>
      <w:pPr>
        <w:pStyle w:val="Heading2"/>
      </w:pPr>
      <w:r>
        <w:t>4. New risks from Sprint 2</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cantSplit/>
        </w:trP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Mitigation and contingency</w:t>
            </w:r>
          </w:p>
        </w:tc>
      </w:tr>
      <w:tr>
        <w:trPr>
          <w:cantSplit/>
        </w:trPr>
        <w:tc>
          <w:tcPr>
            <w:tcW w:type="dxa" w:w="1728"/>
          </w:tcPr>
          <w:p>
            <w:r/>
            <w:r>
              <w:rPr>
                <w:b/>
              </w:rPr>
              <w:t>R-28</w:t>
            </w:r>
          </w:p>
        </w:tc>
        <w:tc>
          <w:tcPr>
            <w:tcW w:type="dxa" w:w="1728"/>
          </w:tcPr>
          <w:p>
            <w:r>
              <w:t>Revised scope and client feedback remain pending.</w:t>
            </w:r>
            <w:r>
              <w:rPr>
                <w:b/>
              </w:rPr>
            </w:r>
            <w:r/>
          </w:p>
        </w:tc>
        <w:tc>
          <w:tcPr>
            <w:tcW w:type="dxa" w:w="1728"/>
          </w:tcPr>
          <w:p>
            <w:r/>
            <w:r>
              <w:rPr>
                <w:b/>
              </w:rPr>
              <w:t>High/High</w:t>
            </w:r>
          </w:p>
        </w:tc>
        <w:tc>
          <w:tcPr>
            <w:tcW w:type="dxa" w:w="1728"/>
          </w:tcPr>
          <w:p>
            <w:r/>
            <w:r>
              <w:t>Damien</w:t>
            </w:r>
          </w:p>
        </w:tc>
        <w:tc>
          <w:tcPr>
            <w:tcW w:type="dxa" w:w="1728"/>
          </w:tcPr>
          <w:p>
            <w:r>
              <w:t>Prepare concise findings and the proposed next plan; retain feedback and scope agreement. Seek unit guidance on the demonstration requirement if it cannot be arranged.</w:t>
            </w:r>
            <w:r>
              <w:rPr>
                <w:i/>
              </w:rPr>
            </w:r>
            <w:r/>
            <w:r>
              <w:rPr>
                <w:i/>
              </w:rPr>
            </w:r>
            <w:r/>
            <w:r>
              <w:rPr>
                <w:b/>
              </w:rPr>
            </w:r>
          </w:p>
        </w:tc>
      </w:tr>
      <w:tr>
        <w:trPr>
          <w:cantSplit/>
        </w:trPr>
        <w:tc>
          <w:tcPr>
            <w:tcW w:type="dxa" w:w="1728"/>
          </w:tcPr>
          <w:p>
            <w:r/>
            <w:r>
              <w:rPr>
                <w:b/>
              </w:rPr>
              <w:t>R-29</w:t>
            </w:r>
          </w:p>
        </w:tc>
        <w:tc>
          <w:tcPr>
            <w:tcW w:type="dxa" w:w="1728"/>
          </w:tcPr>
          <w:p>
            <w:r>
              <w:t>The documented local CUDA resource is a GTX 1660 desktop GPU with 6 GiB memory.</w:t>
            </w:r>
            <w:r>
              <w:rPr>
                <w:b/>
              </w:rPr>
            </w:r>
            <w:r/>
          </w:p>
        </w:tc>
        <w:tc>
          <w:tcPr>
            <w:tcW w:type="dxa" w:w="1728"/>
          </w:tcPr>
          <w:p>
            <w:r/>
            <w:r>
              <w:t>High/Med</w:t>
            </w:r>
          </w:p>
        </w:tc>
        <w:tc>
          <w:tcPr>
            <w:tcW w:type="dxa" w:w="1728"/>
          </w:tcPr>
          <w:p>
            <w:r/>
            <w:r>
              <w:t>Ricky</w:t>
            </w:r>
          </w:p>
        </w:tc>
        <w:tc>
          <w:tcPr>
            <w:tcW w:type="dxa" w:w="1728"/>
          </w:tcPr>
          <w:p>
            <w:r>
              <w:t>Keep core work CPU-based. Check a candidate model’s requirements before scheduling a bounded run; record resource use and use larger compute only when access and suitability are confirmed.</w:t>
            </w:r>
            <w:r>
              <w:rPr>
                <w:i/>
              </w:rPr>
            </w:r>
            <w:r/>
            <w:r>
              <w:rPr>
                <w:i/>
              </w:rPr>
            </w:r>
            <w:r/>
          </w:p>
        </w:tc>
      </w:tr>
      <w:tr>
        <w:trPr>
          <w:cantSplit/>
        </w:trPr>
        <w:tc>
          <w:tcPr>
            <w:tcW w:type="dxa" w:w="1728"/>
          </w:tcPr>
          <w:p>
            <w:r/>
            <w:r>
              <w:rPr>
                <w:b/>
              </w:rPr>
              <w:t>R-30</w:t>
            </w:r>
          </w:p>
        </w:tc>
        <w:tc>
          <w:tcPr>
            <w:tcW w:type="dxa" w:w="1728"/>
          </w:tcPr>
          <w:p>
            <w:r/>
            <w:r>
              <w:rPr>
                <w:b/>
              </w:rPr>
              <w:t>Datasets ship multiple label taxonomies that mix silently.</w:t>
            </w:r>
            <w:r>
              <w:t xml:space="preserve"> GOOSE has a 64-class set and an 8-class remap; its challenge download contains 407 GOOSE-Ex labels among 961 base labels</w:t>
            </w:r>
          </w:p>
        </w:tc>
        <w:tc>
          <w:tcPr>
            <w:tcW w:type="dxa" w:w="1728"/>
          </w:tcPr>
          <w:p>
            <w:r/>
            <w:r>
              <w:t>Med/High</w:t>
            </w:r>
          </w:p>
        </w:tc>
        <w:tc>
          <w:tcPr>
            <w:tcW w:type="dxa" w:w="1728"/>
          </w:tcPr>
          <w:p>
            <w:r/>
            <w:r>
              <w:t>Damien</w:t>
            </w:r>
          </w:p>
        </w:tc>
        <w:tc>
          <w:tcPr>
            <w:tcW w:type="dxa" w:w="1728"/>
          </w:tcPr>
          <w:p>
            <w:r/>
            <w:r>
              <w:rPr>
                <w:i/>
              </w:rPr>
              <w:t>Mitigation:</w:t>
            </w:r>
            <w:r>
              <w:t xml:space="preserve"> loaders reject ambiguity rather than resolving it arbitrarily; every reported metric states its taxonomy. </w:t>
            </w:r>
            <w:r>
              <w:rPr>
                <w:i/>
              </w:rPr>
              <w:t>Contingency:</w:t>
            </w:r>
            <w:r>
              <w:t xml:space="preserve"> re-run affected measurements under a declared class set</w:t>
            </w:r>
          </w:p>
        </w:tc>
      </w:tr>
      <w:tr>
        <w:trPr>
          <w:cantSplit/>
        </w:trPr>
        <w:tc>
          <w:tcPr>
            <w:tcW w:type="dxa" w:w="1728"/>
          </w:tcPr>
          <w:p>
            <w:r/>
            <w:r>
              <w:rPr>
                <w:b/>
              </w:rPr>
              <w:t>R-31</w:t>
            </w:r>
          </w:p>
        </w:tc>
        <w:tc>
          <w:tcPr>
            <w:tcW w:type="dxa" w:w="1728"/>
          </w:tcPr>
          <w:p>
            <w:r>
              <w:t>No matched radar-versus-LiDAR detector benchmark exists.</w:t>
            </w:r>
            <w:r>
              <w:rPr>
                <w:b/>
              </w:rPr>
            </w:r>
          </w:p>
        </w:tc>
        <w:tc>
          <w:tcPr>
            <w:tcW w:type="dxa" w:w="1728"/>
          </w:tcPr>
          <w:p>
            <w:r/>
            <w:r>
              <w:rPr>
                <w:b/>
              </w:rPr>
              <w:t>Reduced · Med/High</w:t>
            </w:r>
          </w:p>
        </w:tc>
        <w:tc>
          <w:tcPr>
            <w:tcW w:type="dxa" w:w="1728"/>
          </w:tcPr>
          <w:p>
            <w:r/>
            <w:r>
              <w:t>Ricky</w:t>
            </w:r>
          </w:p>
        </w:tc>
        <w:tc>
          <w:tcPr>
            <w:tcW w:type="dxa" w:w="1728"/>
          </w:tcPr>
          <w:p>
            <w:r>
              <w:t>Two camera-transfer evaluations exist; the four-camera output scores mAP 0.0046. GOOSE remains partial at 10/961 frames. Time-box compatible model selection and report infeasibility with evidence if the comparison cannot run.</w:t>
            </w:r>
            <w:r>
              <w:rPr>
                <w:b/>
              </w:rPr>
            </w:r>
            <w:r/>
            <w:r>
              <w:rPr>
                <w:rFonts w:ascii="Consolas" w:hAnsi="Consolas"/>
                <w:color w:val="B03060"/>
              </w:rPr>
            </w:r>
            <w:r/>
            <w:r>
              <w:rPr>
                <w:i/>
              </w:rPr>
            </w:r>
            <w:r/>
          </w:p>
        </w:tc>
      </w:tr>
      <w:tr>
        <w:trPr>
          <w:cantSplit/>
        </w:trPr>
        <w:tc>
          <w:tcPr>
            <w:tcW w:type="dxa" w:w="1728"/>
          </w:tcPr>
          <w:p>
            <w:r/>
            <w:r>
              <w:rPr>
                <w:b/>
              </w:rPr>
              <w:t>R-34</w:t>
            </w:r>
          </w:p>
        </w:tc>
        <w:tc>
          <w:tcPr>
            <w:tcW w:type="dxa" w:w="1728"/>
          </w:tcPr>
          <w:p>
            <w:r>
              <w:t>Pretrained checkpoints may transfer poorly to truck-mounted sensors; the low FCOS3D score has no isolated cause.</w:t>
            </w:r>
            <w:r>
              <w:rPr>
                <w:b/>
              </w:rPr>
            </w:r>
            <w:r/>
          </w:p>
        </w:tc>
        <w:tc>
          <w:tcPr>
            <w:tcW w:type="dxa" w:w="1728"/>
          </w:tcPr>
          <w:p>
            <w:r/>
            <w:r>
              <w:rPr>
                <w:b/>
              </w:rPr>
              <w:t>High/High</w:t>
            </w:r>
          </w:p>
        </w:tc>
        <w:tc>
          <w:tcPr>
            <w:tcW w:type="dxa" w:w="1728"/>
          </w:tcPr>
          <w:p>
            <w:r/>
            <w:r>
              <w:t>Aiden</w:t>
            </w:r>
          </w:p>
        </w:tc>
        <w:tc>
          <w:tcPr>
            <w:tcW w:type="dxa" w:w="1728"/>
          </w:tcPr>
          <w:p>
            <w:r>
              <w:t>Validate calibration, box coordinates, preprocessing and sample coverage. Treat domain shift as a hypothesis; distinguish a transfer failure from a sensor comparison.</w:t>
            </w:r>
            <w:r>
              <w:rPr>
                <w:i/>
              </w:rPr>
            </w:r>
            <w:r/>
            <w:r>
              <w:rPr>
                <w:i/>
              </w:rPr>
            </w:r>
            <w:r/>
          </w:p>
        </w:tc>
      </w:tr>
      <w:tr>
        <w:trPr>
          <w:cantSplit/>
        </w:trPr>
        <w:tc>
          <w:tcPr>
            <w:tcW w:type="dxa" w:w="1728"/>
          </w:tcPr>
          <w:p>
            <w:r/>
            <w:r>
              <w:rPr>
                <w:b/>
              </w:rPr>
              <w:t>R-35</w:t>
            </w:r>
          </w:p>
        </w:tc>
        <w:tc>
          <w:tcPr>
            <w:tcW w:type="dxa" w:w="1728"/>
          </w:tcPr>
          <w:p>
            <w:r>
              <w:t>Assessment evidence may diverge between repository and document copies.</w:t>
            </w:r>
            <w:r>
              <w:rPr>
                <w:b/>
              </w:rPr>
            </w:r>
            <w:r/>
            <w:r>
              <w:rPr>
                <w:rFonts w:ascii="Consolas" w:hAnsi="Consolas"/>
                <w:color w:val="B03060"/>
              </w:rPr>
            </w:r>
            <w:r/>
          </w:p>
        </w:tc>
        <w:tc>
          <w:tcPr>
            <w:tcW w:type="dxa" w:w="1728"/>
          </w:tcPr>
          <w:p>
            <w:r>
              <w:t>Reduced · Med/Med</w:t>
            </w:r>
            <w:r/>
          </w:p>
        </w:tc>
        <w:tc>
          <w:tcPr>
            <w:tcW w:type="dxa" w:w="1728"/>
          </w:tcPr>
          <w:p>
            <w:r/>
            <w:r>
              <w:t>Damien</w:t>
            </w:r>
          </w:p>
        </w:tc>
        <w:tc>
          <w:tcPr>
            <w:tcW w:type="dxa" w:w="1728"/>
          </w:tcPr>
          <w:p>
            <w:r>
              <w:t>Relevant PRs, including #28 and #29, are merged. Cite the source revision and check the submission copies against the raw results before handover.</w:t>
            </w:r>
            <w:r>
              <w:rPr>
                <w:i/>
              </w:rPr>
            </w:r>
            <w:r/>
            <w:r>
              <w:rPr>
                <w:i/>
              </w:rPr>
            </w:r>
            <w:r/>
          </w:p>
        </w:tc>
      </w:tr>
      <w:tr>
        <w:trPr>
          <w:cantSplit/>
        </w:trPr>
        <w:tc>
          <w:tcPr>
            <w:tcW w:type="dxa" w:w="1728"/>
          </w:tcPr>
          <w:p>
            <w:r/>
            <w:r>
              <w:rPr>
                <w:b/>
              </w:rPr>
              <w:t>R-32</w:t>
            </w:r>
          </w:p>
        </w:tc>
        <w:tc>
          <w:tcPr>
            <w:tcW w:type="dxa" w:w="1728"/>
          </w:tcPr>
          <w:p>
            <w:r>
              <w:t>Revised scope has not yet been confirmed.</w:t>
            </w:r>
            <w:r>
              <w:rPr>
                <w:b/>
              </w:rPr>
            </w:r>
            <w:r/>
          </w:p>
        </w:tc>
        <w:tc>
          <w:tcPr>
            <w:tcW w:type="dxa" w:w="1728"/>
          </w:tcPr>
          <w:p>
            <w:r/>
            <w:r>
              <w:t>High/Med</w:t>
            </w:r>
          </w:p>
        </w:tc>
        <w:tc>
          <w:tcPr>
            <w:tcW w:type="dxa" w:w="1728"/>
          </w:tcPr>
          <w:p>
            <w:r/>
            <w:r>
              <w:t>Ricky</w:t>
            </w:r>
          </w:p>
        </w:tc>
        <w:tc>
          <w:tcPr>
            <w:tcW w:type="dxa" w:w="1728"/>
          </w:tcPr>
          <w:p>
            <w:r>
              <w:t>Retain original and revised scope, document delivered variance, and obtain review of the proposed final stories.</w:t>
            </w:r>
            <w:r>
              <w:rPr>
                <w:i/>
              </w:rPr>
            </w:r>
            <w:r/>
            <w:r>
              <w:rPr>
                <w:i/>
              </w:rPr>
            </w:r>
            <w:r/>
          </w:p>
        </w:tc>
      </w:tr>
      <w:tr>
        <w:trPr>
          <w:cantSplit/>
        </w:trPr>
        <w:tc>
          <w:tcPr>
            <w:tcW w:type="dxa" w:w="1728"/>
          </w:tcPr>
          <w:p>
            <w:r/>
            <w:r>
              <w:rPr>
                <w:b/>
              </w:rPr>
              <w:t>R-33</w:t>
            </w:r>
          </w:p>
        </w:tc>
        <w:tc>
          <w:tcPr>
            <w:tcW w:type="dxa" w:w="1728"/>
          </w:tcPr>
          <w:p>
            <w:r>
              <w:t>Contributions and experiment limits may be unclear across pairs.</w:t>
            </w:r>
            <w:r>
              <w:rPr>
                <w:b/>
              </w:rPr>
            </w:r>
            <w:r/>
          </w:p>
        </w:tc>
        <w:tc>
          <w:tcPr>
            <w:tcW w:type="dxa" w:w="1728"/>
          </w:tcPr>
          <w:p>
            <w:r/>
            <w:r>
              <w:t>Med/Med</w:t>
            </w:r>
          </w:p>
        </w:tc>
        <w:tc>
          <w:tcPr>
            <w:tcW w:type="dxa" w:w="1728"/>
          </w:tcPr>
          <w:p>
            <w:r/>
            <w:r>
              <w:t>All</w:t>
            </w:r>
          </w:p>
        </w:tc>
        <w:tc>
          <w:tcPr>
            <w:tcW w:type="dxa" w:w="1728"/>
          </w:tcPr>
          <w:p>
            <w:r>
              <w:t>Use a named owner and reviewer for each proposed story; each member explains one input, script, output and limitation. Update evidence links weekly.</w:t>
            </w:r>
            <w:r>
              <w:rPr>
                <w:i/>
              </w:rPr>
            </w:r>
            <w:r/>
            <w:r>
              <w:rPr>
                <w:i/>
              </w:rPr>
            </w:r>
            <w:r/>
          </w:p>
        </w:tc>
      </w:tr>
    </w:tbl>
    <w:p/>
    <w:p>
      <w:pPr>
        <w:pStyle w:val="Heading2"/>
      </w:pPr>
      <w:r>
        <w:t>5. Team availability risks</w:t>
      </w:r>
    </w:p>
    <w:p>
      <w:r>
        <w:t>Unchanged from Sprint 1 in substance. Same two controls apply throughout: work stays visible in the shared repository, and notes are handed over so another member can continue.</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r>
              <w:rPr>
                <w:b/>
              </w:rPr>
              <w:t>ID</w:t>
            </w:r>
          </w:p>
        </w:tc>
        <w:tc>
          <w:tcPr>
            <w:tcW w:type="dxa" w:w="2160"/>
          </w:tcPr>
          <w:p>
            <w:r>
              <w:rPr>
                <w:b/>
              </w:rPr>
            </w:r>
            <w:r>
              <w:rPr>
                <w:b/>
              </w:rPr>
              <w:t>Risk</w:t>
            </w:r>
          </w:p>
        </w:tc>
        <w:tc>
          <w:tcPr>
            <w:tcW w:type="dxa" w:w="2160"/>
          </w:tcPr>
          <w:p>
            <w:r>
              <w:rPr>
                <w:b/>
              </w:rPr>
            </w:r>
            <w:r>
              <w:rPr>
                <w:b/>
              </w:rPr>
              <w:t>L/I</w:t>
            </w:r>
          </w:p>
        </w:tc>
        <w:tc>
          <w:tcPr>
            <w:tcW w:type="dxa" w:w="2160"/>
          </w:tcPr>
          <w:p>
            <w:r>
              <w:rPr>
                <w:b/>
              </w:rPr>
            </w:r>
            <w:r>
              <w:rPr>
                <w:b/>
              </w:rPr>
              <w:t>Owner</w:t>
            </w:r>
          </w:p>
        </w:tc>
      </w:tr>
      <w:tr>
        <w:trPr>
          <w:cantSplit/>
        </w:trPr>
        <w:tc>
          <w:tcPr>
            <w:tcW w:type="dxa" w:w="2160"/>
          </w:tcPr>
          <w:p>
            <w:r/>
            <w:r>
              <w:t>R-14</w:t>
            </w:r>
          </w:p>
        </w:tc>
        <w:tc>
          <w:tcPr>
            <w:tcW w:type="dxa" w:w="2160"/>
          </w:tcPr>
          <w:p>
            <w:r/>
            <w:r>
              <w:t>Concurrent assessments in other units reduce project hours</w:t>
            </w:r>
          </w:p>
        </w:tc>
        <w:tc>
          <w:tcPr>
            <w:tcW w:type="dxa" w:w="2160"/>
          </w:tcPr>
          <w:p>
            <w:r/>
            <w:r>
              <w:t>High/Med</w:t>
            </w:r>
          </w:p>
        </w:tc>
        <w:tc>
          <w:tcPr>
            <w:tcW w:type="dxa" w:w="2160"/>
          </w:tcPr>
          <w:p>
            <w:r/>
            <w:r>
              <w:t>All</w:t>
            </w:r>
          </w:p>
        </w:tc>
      </w:tr>
      <w:tr>
        <w:trPr>
          <w:cantSplit/>
        </w:trPr>
        <w:tc>
          <w:tcPr>
            <w:tcW w:type="dxa" w:w="2160"/>
          </w:tcPr>
          <w:p>
            <w:r/>
            <w:r>
              <w:t>R-15</w:t>
            </w:r>
          </w:p>
        </w:tc>
        <w:tc>
          <w:tcPr>
            <w:tcW w:type="dxa" w:w="2160"/>
          </w:tcPr>
          <w:p>
            <w:r/>
            <w:r>
              <w:t>Illness or burnout affects availability</w:t>
            </w:r>
          </w:p>
        </w:tc>
        <w:tc>
          <w:tcPr>
            <w:tcW w:type="dxa" w:w="2160"/>
          </w:tcPr>
          <w:p>
            <w:r/>
            <w:r>
              <w:t>Med/Med</w:t>
            </w:r>
          </w:p>
        </w:tc>
        <w:tc>
          <w:tcPr>
            <w:tcW w:type="dxa" w:w="2160"/>
          </w:tcPr>
          <w:p>
            <w:r/>
            <w:r>
              <w:t>All</w:t>
            </w:r>
          </w:p>
        </w:tc>
      </w:tr>
      <w:tr>
        <w:trPr>
          <w:cantSplit/>
        </w:trPr>
        <w:tc>
          <w:tcPr>
            <w:tcW w:type="dxa" w:w="2160"/>
          </w:tcPr>
          <w:p>
            <w:r/>
            <w:r>
              <w:t>R-16</w:t>
            </w:r>
          </w:p>
        </w:tc>
        <w:tc>
          <w:tcPr>
            <w:tcW w:type="dxa" w:w="2160"/>
          </w:tcPr>
          <w:p>
            <w:r/>
            <w:r>
              <w:t>Travel with the UWA basketball team</w:t>
            </w:r>
          </w:p>
        </w:tc>
        <w:tc>
          <w:tcPr>
            <w:tcW w:type="dxa" w:w="2160"/>
          </w:tcPr>
          <w:p>
            <w:r/>
            <w:r>
              <w:t>Med/Med</w:t>
            </w:r>
          </w:p>
        </w:tc>
        <w:tc>
          <w:tcPr>
            <w:tcW w:type="dxa" w:w="2160"/>
          </w:tcPr>
          <w:p>
            <w:r/>
            <w:r>
              <w:t>Damien</w:t>
            </w:r>
          </w:p>
        </w:tc>
      </w:tr>
      <w:tr>
        <w:trPr>
          <w:cantSplit/>
        </w:trPr>
        <w:tc>
          <w:tcPr>
            <w:tcW w:type="dxa" w:w="2160"/>
          </w:tcPr>
          <w:p>
            <w:r/>
            <w:r>
              <w:t>R-17</w:t>
            </w:r>
          </w:p>
        </w:tc>
        <w:tc>
          <w:tcPr>
            <w:tcW w:type="dxa" w:w="2160"/>
          </w:tcPr>
          <w:p>
            <w:r/>
            <w:r>
              <w:t>Graduation, work and overseas responsibilities</w:t>
            </w:r>
          </w:p>
        </w:tc>
        <w:tc>
          <w:tcPr>
            <w:tcW w:type="dxa" w:w="2160"/>
          </w:tcPr>
          <w:p>
            <w:r/>
            <w:r>
              <w:t>Med/Med</w:t>
            </w:r>
          </w:p>
        </w:tc>
        <w:tc>
          <w:tcPr>
            <w:tcW w:type="dxa" w:w="2160"/>
          </w:tcPr>
          <w:p>
            <w:r/>
            <w:r>
              <w:t>Kelsey</w:t>
            </w:r>
          </w:p>
        </w:tc>
      </w:tr>
      <w:tr>
        <w:trPr>
          <w:cantSplit/>
        </w:trPr>
        <w:tc>
          <w:tcPr>
            <w:tcW w:type="dxa" w:w="2160"/>
          </w:tcPr>
          <w:p>
            <w:r/>
            <w:r>
              <w:t>R-18</w:t>
            </w:r>
          </w:p>
        </w:tc>
        <w:tc>
          <w:tcPr>
            <w:tcW w:type="dxa" w:w="2160"/>
          </w:tcPr>
          <w:p>
            <w:r/>
            <w:r>
              <w:t>Meeting clashes with other project work</w:t>
            </w:r>
          </w:p>
        </w:tc>
        <w:tc>
          <w:tcPr>
            <w:tcW w:type="dxa" w:w="2160"/>
          </w:tcPr>
          <w:p>
            <w:r/>
            <w:r>
              <w:t>Med/Low</w:t>
            </w:r>
          </w:p>
        </w:tc>
        <w:tc>
          <w:tcPr>
            <w:tcW w:type="dxa" w:w="2160"/>
          </w:tcPr>
          <w:p>
            <w:r/>
            <w:r>
              <w:t>All</w:t>
            </w:r>
          </w:p>
        </w:tc>
      </w:tr>
      <w:tr>
        <w:trPr>
          <w:cantSplit/>
        </w:trPr>
        <w:tc>
          <w:tcPr>
            <w:tcW w:type="dxa" w:w="2160"/>
          </w:tcPr>
          <w:p>
            <w:r/>
            <w:r>
              <w:t>R-19</w:t>
            </w:r>
          </w:p>
        </w:tc>
        <w:tc>
          <w:tcPr>
            <w:tcW w:type="dxa" w:w="2160"/>
          </w:tcPr>
          <w:p>
            <w:r/>
            <w:r>
              <w:t>Unforeseen personal or family emergencies</w:t>
            </w:r>
          </w:p>
        </w:tc>
        <w:tc>
          <w:tcPr>
            <w:tcW w:type="dxa" w:w="2160"/>
          </w:tcPr>
          <w:p>
            <w:r/>
            <w:r>
              <w:t>Med/Med</w:t>
            </w:r>
          </w:p>
        </w:tc>
        <w:tc>
          <w:tcPr>
            <w:tcW w:type="dxa" w:w="2160"/>
          </w:tcPr>
          <w:p>
            <w:r/>
            <w:r>
              <w:t>All</w:t>
            </w:r>
          </w:p>
        </w:tc>
      </w:tr>
    </w:tbl>
    <w:p/>
    <w:p>
      <w:pPr>
        <w:pStyle w:val="Heading2"/>
      </w:pPr>
      <w:r>
        <w:t>6. What this register says overall</w:t>
      </w:r>
    </w:p>
    <w:p>
      <w:r>
        <w:t>The main delivery risks are model compatibility, available compute and the time needed to integrate and explain the results.</w:t>
      </w:r>
    </w:p>
    <w:p>
      <w:r>
        <w:rPr>
          <w:b/>
        </w:rPr>
        <w:t>CPU analysis, visualisation, documentation and reproduction checks can proceed now. Scope confirmation and Kaya access are separate dependencies; neither removes the need to verify models, checkpoints and evaluation rules.</w:t>
      </w:r>
      <w:r/>
    </w:p>
    <w:p>
      <w:r>
        <w:rPr>
          <w:b/>
        </w:rPr>
        <w:t>FCOS3D now has two scored camera-transfer outputs. The four-camera experiment reports mAP 0.0046 and NDS 0.0038, with predictions for all 80 mini_val samples. The score is very low and its cause remains unresolved. This evidence does not complete the planned radar-versus-LiDAR comparison.</w:t>
      </w:r>
      <w:r/>
      <w:r>
        <w:rPr>
          <w:rFonts w:ascii="Consolas" w:hAnsi="Consolas"/>
          <w:color w:val="B03060"/>
        </w:rPr>
      </w:r>
      <w:r/>
      <w:r>
        <w:rPr>
          <w:b/>
        </w:rPr>
      </w:r>
      <w:r/>
    </w:p>
    <w:p>
      <w:r>
        <w:t>The Sprint 3 plan therefore makes a documented feasibility check a prerequisite for larger detector experiments.</w:t>
      </w:r>
    </w:p>
    <w:p>
      <w:pPr>
        <w:pStyle w:val="Heading2"/>
      </w:pPr>
      <w:r>
        <w:t>7. Review cadence</w:t>
      </w:r>
    </w:p>
    <w:p>
      <w:r>
        <w:t>Reviewed at the end of each internal sprint, with likelihood and impact reassessed. New risks may be raised by any member at any time and are added with an owner before the next meeting. High-impact risks are raised with the client rather than managed silently. Failed dependencies are logged against the dependency.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6E58506-8235-416A-B802-D85AB502155D}"/>
</file>

<file path=customXml/itemProps3.xml><?xml version="1.0" encoding="utf-8"?>
<ds:datastoreItem xmlns:ds="http://schemas.openxmlformats.org/officeDocument/2006/customXml" ds:itemID="{5F704924-4B64-4A11-8502-4A3CCDE51D2C}"/>
</file>

<file path=customXml/itemProps4.xml><?xml version="1.0" encoding="utf-8"?>
<ds:datastoreItem xmlns:ds="http://schemas.openxmlformats.org/officeDocument/2006/customXml" ds:itemID="{43132944-27B9-4F56-88D8-903B545056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