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Group 1: GO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Group 2: Community Chest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Group 3: Chance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Group 4: Income Tax / Super Tax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Group 5: Jail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Group 6: Electric Company/Water Works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Group 7: Free Parking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Group 8: Brown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Group 9: Light blue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Group 10: Pink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Group 12: Orange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Group 13: Red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Group 14: Yellow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Group 15: Green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Group 16: Dark Blue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Group 17: Train stations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