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line="480"/>
        <w:jc w:val="center"/>
      </w:pPr>
      <w:r>
        <w:rPr>
          <w:rFonts w:ascii="Times New Roman" w:cs="Times New Roman" w:eastAsia="Times New Roman" w:hAnsi="Times New Roman"/>
          <w:b/>
          <w:bCs/>
          <w:sz w:val="24"/>
          <w:szCs w:val="24"/>
        </w:rPr>
        <w:t xml:space="preserve">UNIVERSIDAD NACIONAL FEDERICO VILLARREAL</w:t>
      </w:r>
    </w:p>
    <w:p>
      <w:pPr>
        <w:spacing w:after="60" w:before="0" w:line="480"/>
        <w:jc w:val="center"/>
      </w:pPr>
      <w:r>
        <w:rPr>
          <w:rFonts w:ascii="Times New Roman" w:cs="Times New Roman" w:eastAsia="Times New Roman" w:hAnsi="Times New Roman"/>
          <w:b/>
          <w:bCs/>
          <w:sz w:val="24"/>
          <w:szCs w:val="24"/>
        </w:rPr>
        <w:t xml:space="preserve">FACULTAD DE INGENIERÍA INDUSTRIAL Y DE SISTEMAS</w:t>
      </w:r>
    </w:p>
    <w:p>
      <w:pPr>
        <w:spacing w:after="400" w:before="0" w:line="480"/>
        <w:jc w:val="center"/>
      </w:pPr>
      <w:r>
        <w:rPr>
          <w:rFonts w:ascii="Times New Roman" w:cs="Times New Roman" w:eastAsia="Times New Roman" w:hAnsi="Times New Roman"/>
          <w:b/>
          <w:bCs/>
          <w:sz w:val="24"/>
          <w:szCs w:val="24"/>
        </w:rPr>
        <w:t xml:space="preserve">ESCUELA PROFESIONAL DE INGENIERÍA DE SISTEMAS</w:t>
      </w:r>
    </w:p>
    <w:p>
      <w:pPr>
        <w:spacing w:after="100" w:before="200"/>
        <w:jc w:val="center"/>
      </w:pPr>
      <w:r>
        <w:drawing>
          <wp:inline distT="0" distB="0" distL="0" distR="0">
            <wp:extent cx="1143000" cy="2905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143000" cy="2905125"/>
                    </a:xfrm>
                    <a:prstGeom prst="rect">
                      <a:avLst/>
                    </a:prstGeom>
                  </pic:spPr>
                </pic:pic>
              </a:graphicData>
            </a:graphic>
          </wp:inline>
        </w:drawing>
      </w:r>
    </w:p>
    <w:p>
      <w:pPr>
        <w:spacing w:line="480"/>
      </w:pPr>
      <w:r>
        <w:t xml:space="preserve"/>
      </w:r>
    </w:p>
    <w:p>
      <w:pPr>
        <w:spacing w:line="480"/>
      </w:pPr>
      <w:r>
        <w:t xml:space="preserve"/>
      </w:r>
    </w:p>
    <w:p>
      <w:pPr>
        <w:spacing w:after="400" w:before="0" w:line="480"/>
        <w:jc w:val="center"/>
      </w:pPr>
      <w:r>
        <w:rPr>
          <w:rFonts w:ascii="Times New Roman" w:cs="Times New Roman" w:eastAsia="Times New Roman" w:hAnsi="Times New Roman"/>
          <w:b/>
          <w:bCs/>
          <w:sz w:val="24"/>
          <w:szCs w:val="24"/>
        </w:rPr>
        <w:t xml:space="preserve">Contaminación ambiental: modelo de Dinámica de Sistemas de la concentración de PM2.5 en San Juan de Lurigancho</w:t>
      </w:r>
    </w:p>
    <w:p>
      <w:pPr>
        <w:spacing w:after="400" w:before="0" w:line="480"/>
        <w:jc w:val="center"/>
      </w:pPr>
      <w:r>
        <w:rPr>
          <w:rFonts w:ascii="Times New Roman" w:cs="Times New Roman" w:eastAsia="Times New Roman" w:hAnsi="Times New Roman"/>
          <w:sz w:val="24"/>
          <w:szCs w:val="24"/>
        </w:rPr>
        <w:t xml:space="preserve">Informe Técnico Final</w:t>
      </w:r>
    </w:p>
    <w:p>
      <w:pPr>
        <w:spacing w:after="100" w:before="0" w:line="480"/>
        <w:jc w:val="center"/>
      </w:pPr>
      <w:r>
        <w:rPr>
          <w:rFonts w:ascii="Times New Roman" w:cs="Times New Roman" w:eastAsia="Times New Roman" w:hAnsi="Times New Roman"/>
          <w:sz w:val="24"/>
          <w:szCs w:val="24"/>
        </w:rPr>
        <w:t xml:space="preserve">CURSO: Dinámica de Sistemas</w:t>
      </w:r>
    </w:p>
    <w:p>
      <w:pPr>
        <w:spacing w:after="300" w:before="0" w:line="480"/>
        <w:jc w:val="center"/>
      </w:pPr>
      <w:r>
        <w:rPr>
          <w:rFonts w:ascii="Times New Roman" w:cs="Times New Roman" w:eastAsia="Times New Roman" w:hAnsi="Times New Roman"/>
          <w:sz w:val="24"/>
          <w:szCs w:val="24"/>
        </w:rPr>
        <w:t xml:space="preserve">DOCENTE: Mg. Maurice Frayssinet Delgado</w:t>
      </w:r>
    </w:p>
    <w:p>
      <w:pPr>
        <w:spacing w:after="100" w:before="0" w:line="480"/>
        <w:jc w:val="center"/>
      </w:pPr>
      <w:r>
        <w:rPr>
          <w:rFonts w:ascii="Times New Roman" w:cs="Times New Roman" w:eastAsia="Times New Roman" w:hAnsi="Times New Roman"/>
          <w:b/>
          <w:bCs/>
          <w:sz w:val="24"/>
          <w:szCs w:val="24"/>
        </w:rPr>
        <w:t xml:space="preserve">INTEGRANTES:</w:t>
      </w:r>
    </w:p>
    <w:p>
      <w:pPr>
        <w:spacing w:after="60" w:before="0" w:line="480"/>
        <w:jc w:val="center"/>
      </w:pPr>
      <w:r>
        <w:rPr>
          <w:rFonts w:ascii="Times New Roman" w:cs="Times New Roman" w:eastAsia="Times New Roman" w:hAnsi="Times New Roman"/>
          <w:sz w:val="24"/>
          <w:szCs w:val="24"/>
        </w:rPr>
        <w:t xml:space="preserve">Picón Ayala, Yan Levi</w:t>
      </w:r>
    </w:p>
    <w:p>
      <w:pPr>
        <w:spacing w:after="60" w:before="0" w:line="480"/>
        <w:jc w:val="center"/>
      </w:pPr>
      <w:r>
        <w:rPr>
          <w:rFonts w:ascii="Times New Roman" w:cs="Times New Roman" w:eastAsia="Times New Roman" w:hAnsi="Times New Roman"/>
          <w:sz w:val="24"/>
          <w:szCs w:val="24"/>
        </w:rPr>
        <w:t xml:space="preserve">Vizcardo Zegarra, Roberto Carlos</w:t>
      </w:r>
    </w:p>
    <w:p>
      <w:pPr>
        <w:spacing w:after="300" w:before="0" w:line="480"/>
        <w:jc w:val="center"/>
      </w:pPr>
      <w:r>
        <w:rPr>
          <w:rFonts w:ascii="Times New Roman" w:cs="Times New Roman" w:eastAsia="Times New Roman" w:hAnsi="Times New Roman"/>
          <w:sz w:val="24"/>
          <w:szCs w:val="24"/>
        </w:rPr>
        <w:t xml:space="preserve">Ruiz Meza, Ricardo Antonio</w:t>
      </w:r>
    </w:p>
    <w:p>
      <w:pPr>
        <w:spacing w:after="300" w:before="0" w:line="480"/>
        <w:jc w:val="center"/>
      </w:pPr>
      <w:r>
        <w:rPr>
          <w:rFonts w:ascii="Times New Roman" w:cs="Times New Roman" w:eastAsia="Times New Roman" w:hAnsi="Times New Roman"/>
          <w:sz w:val="24"/>
          <w:szCs w:val="24"/>
        </w:rPr>
        <w:t xml:space="preserve">Ciclo y Sección: V Ciclo - "C"</w:t>
      </w:r>
    </w:p>
    <w:p>
      <w:pPr>
        <w:spacing w:after="60" w:before="0" w:line="480"/>
        <w:jc w:val="center"/>
      </w:pPr>
      <w:r>
        <w:rPr>
          <w:rFonts w:ascii="Times New Roman" w:cs="Times New Roman" w:eastAsia="Times New Roman" w:hAnsi="Times New Roman"/>
          <w:sz w:val="24"/>
          <w:szCs w:val="24"/>
        </w:rPr>
        <w:t xml:space="preserve">Lima, Perú</w:t>
      </w:r>
    </w:p>
    <w:p>
      <w:pPr>
        <w:spacing w:after="100" w:before="0" w:line="480"/>
        <w:jc w:val="center"/>
      </w:pPr>
      <w:r>
        <w:rPr>
          <w:rFonts w:ascii="Times New Roman" w:cs="Times New Roman" w:eastAsia="Times New Roman" w:hAnsi="Times New Roman"/>
          <w:sz w:val="24"/>
          <w:szCs w:val="24"/>
        </w:rPr>
        <w:t xml:space="preserve">2026</w:t>
      </w:r>
    </w:p>
    <w:p>
      <w:r>
        <w:br w:type="page"/>
      </w:r>
    </w:p>
    <w:p>
      <w:pPr>
        <w:pStyle w:val="Heading1"/>
        <w:spacing w:after="200" w:before="400" w:line="480"/>
        <w:jc w:val="center"/>
      </w:pPr>
      <w:r>
        <w:rPr>
          <w:rFonts w:ascii="Times New Roman" w:cs="Times New Roman" w:eastAsia="Times New Roman" w:hAnsi="Times New Roman"/>
          <w:b/>
          <w:bCs/>
          <w:color w:val="000000"/>
          <w:sz w:val="24"/>
          <w:szCs w:val="24"/>
        </w:rPr>
        <w:t xml:space="preserve">Resumen ejecutivo</w:t>
      </w:r>
    </w:p>
    <w:p>
      <w:pPr>
        <w:spacing w:after="200" w:before="0" w:line="480"/>
        <w:jc w:val="both"/>
      </w:pPr>
      <w:r>
        <w:rPr>
          <w:rFonts w:ascii="Times New Roman" w:cs="Times New Roman" w:eastAsia="Times New Roman" w:hAnsi="Times New Roman"/>
          <w:sz w:val="24"/>
          <w:szCs w:val="24"/>
        </w:rPr>
        <w:t xml:space="preserve">El presente informe técnico desarrolla, de forma integrada, las tres partes del trabajo final del curso Dinámica de Sistemas: fundamentación y diagnóstico cualitativo, modelo cuantitativo y simulación, y escenarios, intervención y cierre. El proyecto aborda la contaminación atmosférica por material particulado fino (PM2.5) en el distrito de San Juan de Lurigancho, Lima Metropolitana, utilizando datos reales y validados del Servicio Nacional de Meteorología e Hidrología del Perú (SENAMHI, 2020-2022). Se plantea el problema como un fenómeno dinámico, multi-causal y no lineal; se construye un diagrama causal con tres bucles de retroalimentación (R1, B1, B2) y se identifica el arquetipo de "Tragedia de los comunes"; se traduce esta estructura en un modelo stock-flujo calibrado contra la serie real, validado estructural, dimensional y conductualmente; y se proyectan cuatro escenarios (2023-2025) que sustentan una política de intervención concreta. Los hallazgos muestran que la densidad y la tasa de emisión vehicular son la palanca más sensible del sistema, y que una intervención realista reduce el exceso acumulado sobre el Estándar de Calidad Ambiental (ECA-aire) en torno a un 15% en tres años, aunque no basta por sí sola para alcanzar el cumplimiento del estándar en ese horizonte.</w:t>
      </w:r>
    </w:p>
    <w:p>
      <w:pPr>
        <w:pStyle w:val="Heading1"/>
        <w:spacing w:after="200" w:before="400" w:line="480"/>
        <w:jc w:val="center"/>
      </w:pPr>
      <w:r>
        <w:rPr>
          <w:rFonts w:ascii="Times New Roman" w:cs="Times New Roman" w:eastAsia="Times New Roman" w:hAnsi="Times New Roman"/>
          <w:b/>
          <w:bCs/>
          <w:color w:val="000000"/>
          <w:sz w:val="24"/>
          <w:szCs w:val="24"/>
        </w:rPr>
        <w:t xml:space="preserve">Introducción</w:t>
      </w:r>
    </w:p>
    <w:p>
      <w:pPr>
        <w:spacing w:after="200" w:before="0" w:line="480"/>
        <w:jc w:val="both"/>
      </w:pPr>
      <w:r>
        <w:rPr>
          <w:rFonts w:ascii="Times New Roman" w:cs="Times New Roman" w:eastAsia="Times New Roman" w:hAnsi="Times New Roman"/>
          <w:sz w:val="24"/>
          <w:szCs w:val="24"/>
        </w:rPr>
        <w:t xml:space="preserve">La calidad del aire en Lima Metropolitana es un problema de creciente relevancia para la salud pública y la gestión ambiental del país. Entre los distritos más afectados se encuentra San Juan de Lurigancho, señalado en reportes recientes como uno de los de peor calidad de aire de Sudamérica. Este informe aplica la metodología de Dinámica de Sistemas para comprender este problema no como un evento aislado, sino como el resultado de la interacción de múltiples variables, retroalimentaciones y demoras en el tiempo.</w:t>
      </w:r>
    </w:p>
    <w:p>
      <w:pPr>
        <w:spacing w:after="200" w:before="0" w:line="480"/>
        <w:jc w:val="both"/>
      </w:pPr>
      <w:r>
        <w:rPr>
          <w:rFonts w:ascii="Times New Roman" w:cs="Times New Roman" w:eastAsia="Times New Roman" w:hAnsi="Times New Roman"/>
          <w:sz w:val="24"/>
          <w:szCs w:val="24"/>
        </w:rPr>
        <w:t xml:space="preserve">A diferencia de un análisis causa-efecto lineal, la Dinámica de Sistemas permite representar la acumulación de contaminantes como un stock, identificar los bucles de refuerzo y balance que explican su evolución, y anticipar el efecto de distintas políticas de intervención mediante simulación antes de implementarlas en la realidad. El documento se organiza en tres partes: la primera desarrolla la fundamentación conceptual y el diagnóstico cualitativo; la segunda construye y valida el modelo cuantitativo stock-flujo; y la tercera proyecta escenarios futuros y propone una política de intervención sustentada en los resultados del modelo.</w:t>
      </w:r>
    </w:p>
    <w:p>
      <w:pPr>
        <w:pStyle w:val="Heading1"/>
        <w:spacing w:after="200" w:before="400" w:line="480"/>
        <w:jc w:val="center"/>
      </w:pPr>
      <w:r>
        <w:rPr>
          <w:rFonts w:ascii="Times New Roman" w:cs="Times New Roman" w:eastAsia="Times New Roman" w:hAnsi="Times New Roman"/>
          <w:b/>
          <w:bCs/>
          <w:color w:val="000000"/>
          <w:sz w:val="24"/>
          <w:szCs w:val="24"/>
        </w:rPr>
        <w:t xml:space="preserve">Descripción del problema dinámico</w:t>
      </w:r>
    </w:p>
    <w:p>
      <w:pPr>
        <w:pStyle w:val="Heading2"/>
        <w:spacing w:after="150" w:before="300" w:line="480"/>
        <w:jc w:val="left"/>
      </w:pPr>
      <w:r>
        <w:rPr>
          <w:rFonts w:ascii="Times New Roman" w:cs="Times New Roman" w:eastAsia="Times New Roman" w:hAnsi="Times New Roman"/>
          <w:b/>
          <w:bCs/>
          <w:color w:val="000000"/>
          <w:sz w:val="24"/>
          <w:szCs w:val="24"/>
        </w:rPr>
        <w:t xml:space="preserve">Contexto</w:t>
      </w:r>
    </w:p>
    <w:p>
      <w:pPr>
        <w:spacing w:after="200" w:before="0" w:line="480"/>
        <w:jc w:val="both"/>
      </w:pPr>
      <w:r>
        <w:rPr>
          <w:rFonts w:ascii="Times New Roman" w:cs="Times New Roman" w:eastAsia="Times New Roman" w:hAnsi="Times New Roman"/>
          <w:sz w:val="24"/>
          <w:szCs w:val="24"/>
        </w:rPr>
        <w:t xml:space="preserve">San Juan de Lurigancho es el distrito más poblado de Lima Metropolitana, con más de un millón de habitantes, y ha sido señalado como el distrito con el aire más contaminado de Sudamérica. Mediciones recientes han registrado concentraciones de PM2.5 de hasta 41.2 µg/m3, más del doble del límite recomendado por la Organización Mundial de la Salud (20 µg/m3) (Infobae, 2023). Datos de monitoreo satelital independiente confirman que la concentración de PM2.5 en la zona se mantiene de forma sostenida varias veces por encima del valor de referencia anual de la Organización Mundial de la Salud (IQAir, 2026).</w:t>
      </w:r>
    </w:p>
    <w:p>
      <w:pPr>
        <w:pStyle w:val="Heading2"/>
        <w:spacing w:after="150" w:before="300" w:line="480"/>
        <w:jc w:val="left"/>
      </w:pPr>
      <w:r>
        <w:rPr>
          <w:rFonts w:ascii="Times New Roman" w:cs="Times New Roman" w:eastAsia="Times New Roman" w:hAnsi="Times New Roman"/>
          <w:b/>
          <w:bCs/>
          <w:color w:val="000000"/>
          <w:sz w:val="24"/>
          <w:szCs w:val="24"/>
        </w:rPr>
        <w:t xml:space="preserve">Actores involucrados</w:t>
      </w:r>
    </w:p>
    <w:p>
      <w:pPr>
        <w:pStyle w:val="ListParagraph"/>
        <w:numPr>
          <w:ilvl w:val="0"/>
          <w:numId w:val="1"/>
        </w:numPr>
        <w:spacing w:after="100" w:line="480"/>
        <w:ind w:left="360"/>
      </w:pPr>
      <w:r>
        <w:rPr>
          <w:rFonts w:ascii="Times New Roman" w:cs="Times New Roman" w:eastAsia="Times New Roman" w:hAnsi="Times New Roman"/>
          <w:sz w:val="24"/>
          <w:szCs w:val="24"/>
        </w:rPr>
        <w:t xml:space="preserve">SENAMHI: organismo técnico adscrito al MINAM que opera la red de monitoreo automático y reporta las concentraciones horarias de contaminantes.</w:t>
      </w:r>
    </w:p>
    <w:p>
      <w:pPr>
        <w:pStyle w:val="ListParagraph"/>
        <w:numPr>
          <w:ilvl w:val="0"/>
          <w:numId w:val="1"/>
        </w:numPr>
        <w:spacing w:after="100" w:line="480"/>
        <w:ind w:left="360"/>
      </w:pPr>
      <w:r>
        <w:rPr>
          <w:rFonts w:ascii="Times New Roman" w:cs="Times New Roman" w:eastAsia="Times New Roman" w:hAnsi="Times New Roman"/>
          <w:sz w:val="24"/>
          <w:szCs w:val="24"/>
        </w:rPr>
        <w:t xml:space="preserve">MINAM: entidad rectora que establece el Estándar de Calidad Ambiental (ECA) del aire.</w:t>
      </w:r>
    </w:p>
    <w:p>
      <w:pPr>
        <w:pStyle w:val="ListParagraph"/>
        <w:numPr>
          <w:ilvl w:val="0"/>
          <w:numId w:val="1"/>
        </w:numPr>
        <w:spacing w:after="100" w:line="480"/>
        <w:ind w:left="360"/>
      </w:pPr>
      <w:r>
        <w:rPr>
          <w:rFonts w:ascii="Times New Roman" w:cs="Times New Roman" w:eastAsia="Times New Roman" w:hAnsi="Times New Roman"/>
          <w:sz w:val="24"/>
          <w:szCs w:val="24"/>
        </w:rPr>
        <w:t xml:space="preserve">Municipalidad de San Juan de Lurigancho y Municipalidad Metropolitana de Lima: responsables de gestión vial, fiscalización vehicular y áreas verdes.</w:t>
      </w:r>
    </w:p>
    <w:p>
      <w:pPr>
        <w:pStyle w:val="ListParagraph"/>
        <w:numPr>
          <w:ilvl w:val="0"/>
          <w:numId w:val="1"/>
        </w:numPr>
        <w:spacing w:after="100" w:line="480"/>
        <w:ind w:left="360"/>
      </w:pPr>
      <w:r>
        <w:rPr>
          <w:rFonts w:ascii="Times New Roman" w:cs="Times New Roman" w:eastAsia="Times New Roman" w:hAnsi="Times New Roman"/>
          <w:sz w:val="24"/>
          <w:szCs w:val="24"/>
        </w:rPr>
        <w:t xml:space="preserve">Población residente: expuesta diariamente a los contaminantes, incluyendo grupos vulnerables.</w:t>
      </w:r>
    </w:p>
    <w:p>
      <w:pPr>
        <w:pStyle w:val="ListParagraph"/>
        <w:numPr>
          <w:ilvl w:val="0"/>
          <w:numId w:val="1"/>
        </w:numPr>
        <w:spacing w:after="100" w:line="480"/>
        <w:ind w:left="360"/>
      </w:pPr>
      <w:r>
        <w:rPr>
          <w:rFonts w:ascii="Times New Roman" w:cs="Times New Roman" w:eastAsia="Times New Roman" w:hAnsi="Times New Roman"/>
          <w:sz w:val="24"/>
          <w:szCs w:val="24"/>
        </w:rPr>
        <w:t xml:space="preserve">Parque automotor y transportistas: principal fuente de emisiones locales.</w:t>
      </w:r>
    </w:p>
    <w:p>
      <w:pPr>
        <w:pStyle w:val="Heading2"/>
        <w:spacing w:after="150" w:before="300" w:line="480"/>
        <w:jc w:val="left"/>
      </w:pPr>
      <w:r>
        <w:rPr>
          <w:rFonts w:ascii="Times New Roman" w:cs="Times New Roman" w:eastAsia="Times New Roman" w:hAnsi="Times New Roman"/>
          <w:b/>
          <w:bCs/>
          <w:color w:val="000000"/>
          <w:sz w:val="24"/>
          <w:szCs w:val="24"/>
        </w:rPr>
        <w:t xml:space="preserve">Síntomas visibles</w:t>
      </w:r>
    </w:p>
    <w:p>
      <w:pPr>
        <w:spacing w:after="200" w:before="0" w:line="480"/>
        <w:jc w:val="both"/>
      </w:pPr>
      <w:r>
        <w:rPr>
          <w:rFonts w:ascii="Times New Roman" w:cs="Times New Roman" w:eastAsia="Times New Roman" w:hAnsi="Times New Roman"/>
          <w:sz w:val="24"/>
          <w:szCs w:val="24"/>
        </w:rPr>
        <w:t xml:space="preserve">Investigaciones académicas atribuyen la contaminación del distrito a la combinación de un flujo vehicular intenso, un parque automotor antiguo y una urbanización desordenada. Además, la topografía de ciertas zonas de San Juan de Lurigancho, rodeadas de cerros, dificulta la dispersión natural de los contaminantes, generando una mayor acumulación en el aire (Montalvo &amp; Horna, 2025).</w:t>
      </w:r>
    </w:p>
    <w:p>
      <w:pPr>
        <w:pStyle w:val="Heading2"/>
        <w:spacing w:after="150" w:before="300" w:line="480"/>
        <w:jc w:val="left"/>
      </w:pPr>
      <w:r>
        <w:rPr>
          <w:rFonts w:ascii="Times New Roman" w:cs="Times New Roman" w:eastAsia="Times New Roman" w:hAnsi="Times New Roman"/>
          <w:b/>
          <w:bCs/>
          <w:color w:val="000000"/>
          <w:sz w:val="24"/>
          <w:szCs w:val="24"/>
        </w:rPr>
        <w:t xml:space="preserve">Evolución temporal</w:t>
      </w:r>
    </w:p>
    <w:p>
      <w:pPr>
        <w:spacing w:after="200" w:before="0" w:line="480"/>
        <w:jc w:val="both"/>
      </w:pPr>
      <w:r>
        <w:rPr>
          <w:rFonts w:ascii="Times New Roman" w:cs="Times New Roman" w:eastAsia="Times New Roman" w:hAnsi="Times New Roman"/>
          <w:sz w:val="24"/>
          <w:szCs w:val="24"/>
        </w:rPr>
        <w:t xml:space="preserve">No es un evento puntual sino un patrón sostenido en el tiempo: los registros horarios de SENAMHI (2015-2024) permiten observar tanto la tendencia de fondo como la variación estacional recurrente año tras año. Para efectos de este proyecto, se utiliza como ventana de calibración el periodo 2020-2022, por presentar la mejor cobertura de datos reales disponible.</w:t>
      </w:r>
    </w:p>
    <w:p>
      <w:pPr>
        <w:pStyle w:val="Heading2"/>
        <w:spacing w:after="150" w:before="300" w:line="480"/>
        <w:jc w:val="left"/>
      </w:pPr>
      <w:r>
        <w:rPr>
          <w:rFonts w:ascii="Times New Roman" w:cs="Times New Roman" w:eastAsia="Times New Roman" w:hAnsi="Times New Roman"/>
          <w:b/>
          <w:bCs/>
          <w:color w:val="000000"/>
          <w:sz w:val="24"/>
          <w:szCs w:val="24"/>
        </w:rPr>
        <w:t xml:space="preserve">Impacto en la comunidad</w:t>
      </w:r>
    </w:p>
    <w:p>
      <w:pPr>
        <w:spacing w:after="200" w:before="0" w:line="480"/>
        <w:jc w:val="both"/>
      </w:pPr>
      <w:r>
        <w:rPr>
          <w:rFonts w:ascii="Times New Roman" w:cs="Times New Roman" w:eastAsia="Times New Roman" w:hAnsi="Times New Roman"/>
          <w:sz w:val="24"/>
          <w:szCs w:val="24"/>
        </w:rPr>
        <w:t xml:space="preserve">A nivel de salud pública, la contaminación del aire por material particulado se asocia globalmente a millones de muertes prematuras al año por enfermedades respiratorias y cardiovasculares. A nivel nacional, informes técnicos ambientales vinculan la exposición a altos niveles de PM2.5 con mayor morbilidad y mortalidad por enfermedades cardiovasculares, cáncer de pulmón, infecciones respiratorias agudas, asma, y efectos adversos en el embarazo (SENAMHI &amp; INEI, 2025).</w:t>
      </w:r>
    </w:p>
    <w:p>
      <w:pPr>
        <w:pStyle w:val="Heading1"/>
        <w:spacing w:after="200" w:before="400" w:line="480"/>
        <w:jc w:val="center"/>
      </w:pPr>
      <w:r>
        <w:rPr>
          <w:rFonts w:ascii="Times New Roman" w:cs="Times New Roman" w:eastAsia="Times New Roman" w:hAnsi="Times New Roman"/>
          <w:b/>
          <w:bCs/>
          <w:color w:val="000000"/>
          <w:sz w:val="24"/>
          <w:szCs w:val="24"/>
        </w:rPr>
        <w:t xml:space="preserve">Justificación del uso de Dinámica de Sistemas</w:t>
      </w:r>
    </w:p>
    <w:p>
      <w:pPr>
        <w:spacing w:after="200" w:before="0" w:line="480"/>
        <w:jc w:val="both"/>
      </w:pPr>
      <w:r>
        <w:rPr>
          <w:rFonts w:ascii="Times New Roman" w:cs="Times New Roman" w:eastAsia="Times New Roman" w:hAnsi="Times New Roman"/>
          <w:sz w:val="24"/>
          <w:szCs w:val="24"/>
        </w:rPr>
        <w:t xml:space="preserve">Un análisis causa-efecto lineal explicaría el problema de la siguiente manera: "más tráfico vehicular produce más contaminación, por lo tanto hay que reducir el tráfico". Sin embargo, este razonamiento simplifica en exceso un fenómeno que depende de múltiples variables interactuando en el tiempo, con retroalimentaciones y demoras que un modelo lineal no puede capturar (Sterman, 2000).</w:t>
      </w:r>
    </w:p>
    <w:p>
      <w:pPr>
        <w:pStyle w:val="Heading2"/>
        <w:spacing w:after="150" w:before="300" w:line="480"/>
        <w:jc w:val="left"/>
      </w:pPr>
      <w:r>
        <w:rPr>
          <w:rFonts w:ascii="Times New Roman" w:cs="Times New Roman" w:eastAsia="Times New Roman" w:hAnsi="Times New Roman"/>
          <w:b/>
          <w:bCs/>
          <w:color w:val="000000"/>
          <w:sz w:val="24"/>
          <w:szCs w:val="24"/>
        </w:rPr>
        <w:t xml:space="preserve">Múltiples causas interactuando simultáneamente</w:t>
      </w:r>
    </w:p>
    <w:p>
      <w:pPr>
        <w:spacing w:after="200" w:before="0" w:line="480"/>
        <w:jc w:val="both"/>
      </w:pPr>
      <w:r>
        <w:rPr>
          <w:rFonts w:ascii="Times New Roman" w:cs="Times New Roman" w:eastAsia="Times New Roman" w:hAnsi="Times New Roman"/>
          <w:sz w:val="24"/>
          <w:szCs w:val="24"/>
        </w:rPr>
        <w:t xml:space="preserve">El flujo vehicular, la antigüedad del parque automotor, la urbanización desordenada y la topografía de cuenca actúan en conjunto, no de forma aislada (Montalvo &amp; Horna, 2025). Eliminar solo una causa no resuelve el problema si las demás siguen operando.</w:t>
      </w:r>
    </w:p>
    <w:p>
      <w:pPr>
        <w:pStyle w:val="Heading2"/>
        <w:spacing w:after="150" w:before="300" w:line="480"/>
        <w:jc w:val="left"/>
      </w:pPr>
      <w:r>
        <w:rPr>
          <w:rFonts w:ascii="Times New Roman" w:cs="Times New Roman" w:eastAsia="Times New Roman" w:hAnsi="Times New Roman"/>
          <w:b/>
          <w:bCs/>
          <w:color w:val="000000"/>
          <w:sz w:val="24"/>
          <w:szCs w:val="24"/>
        </w:rPr>
        <w:t xml:space="preserve">Existencia de retroalimentaciones</w:t>
      </w:r>
    </w:p>
    <w:p>
      <w:pPr>
        <w:spacing w:after="200" w:before="0" w:line="480"/>
        <w:jc w:val="both"/>
      </w:pPr>
      <w:r>
        <w:rPr>
          <w:rFonts w:ascii="Times New Roman" w:cs="Times New Roman" w:eastAsia="Times New Roman" w:hAnsi="Times New Roman"/>
          <w:sz w:val="24"/>
          <w:szCs w:val="24"/>
        </w:rPr>
        <w:t xml:space="preserve">Se identifica un bucle de refuerzo (más parque automotor produce más emisiones y más contaminación) y bucles de balance (presión regulatoria que reduce emisiones futuras; dispersión natural que varía según la estación). Un análisis lineal no puede representar cómo estos bucles compiten entre sí en el tiempo.</w:t>
      </w:r>
    </w:p>
    <w:p>
      <w:pPr>
        <w:pStyle w:val="Heading2"/>
        <w:spacing w:after="150" w:before="300" w:line="480"/>
        <w:jc w:val="left"/>
      </w:pPr>
      <w:r>
        <w:rPr>
          <w:rFonts w:ascii="Times New Roman" w:cs="Times New Roman" w:eastAsia="Times New Roman" w:hAnsi="Times New Roman"/>
          <w:b/>
          <w:bCs/>
          <w:color w:val="000000"/>
          <w:sz w:val="24"/>
          <w:szCs w:val="24"/>
        </w:rPr>
        <w:t xml:space="preserve">Acumulación (stock), no un evento instantáneo</w:t>
      </w:r>
    </w:p>
    <w:p>
      <w:pPr>
        <w:spacing w:after="200" w:before="0" w:line="480"/>
        <w:jc w:val="both"/>
      </w:pPr>
      <w:r>
        <w:rPr>
          <w:rFonts w:ascii="Times New Roman" w:cs="Times New Roman" w:eastAsia="Times New Roman" w:hAnsi="Times New Roman"/>
          <w:sz w:val="24"/>
          <w:szCs w:val="24"/>
        </w:rPr>
        <w:t xml:space="preserve">La concentración de PM2.5 se acumula en la atmósfera como un stock, no aparece y desaparece en el mismo instante en que se emite. El efecto de una intervención no se observa de inmediato, sino después de que el stock existente se disperse gradualmente (Forrester, 1961).</w:t>
      </w:r>
    </w:p>
    <w:p>
      <w:pPr>
        <w:pStyle w:val="Heading2"/>
        <w:spacing w:after="150" w:before="300" w:line="480"/>
        <w:jc w:val="left"/>
      </w:pPr>
      <w:r>
        <w:rPr>
          <w:rFonts w:ascii="Times New Roman" w:cs="Times New Roman" w:eastAsia="Times New Roman" w:hAnsi="Times New Roman"/>
          <w:b/>
          <w:bCs/>
          <w:color w:val="000000"/>
          <w:sz w:val="24"/>
          <w:szCs w:val="24"/>
        </w:rPr>
        <w:t xml:space="preserve">Demoras entre causa y efecto</w:t>
      </w:r>
    </w:p>
    <w:p>
      <w:pPr>
        <w:spacing w:after="200" w:before="0" w:line="480"/>
        <w:jc w:val="both"/>
      </w:pPr>
      <w:r>
        <w:rPr>
          <w:rFonts w:ascii="Times New Roman" w:cs="Times New Roman" w:eastAsia="Times New Roman" w:hAnsi="Times New Roman"/>
          <w:sz w:val="24"/>
          <w:szCs w:val="24"/>
        </w:rPr>
        <w:t xml:space="preserve">La respuesta regulatoria toma tiempo en implementarse y en generar resultados; la dispersión atmosférica depende de condiciones climáticas que varían estacionalmente. Estas demoras generan comportamientos que un análisis estático no anticipa, como picos de contaminación en invierno que no se explican únicamente por un aumento del tráfico en esa temporada.</w:t>
      </w:r>
    </w:p>
    <w:p>
      <w:pPr>
        <w:pStyle w:val="Heading2"/>
        <w:spacing w:after="150" w:before="300" w:line="480"/>
        <w:jc w:val="left"/>
      </w:pPr>
      <w:r>
        <w:rPr>
          <w:rFonts w:ascii="Times New Roman" w:cs="Times New Roman" w:eastAsia="Times New Roman" w:hAnsi="Times New Roman"/>
          <w:b/>
          <w:bCs/>
          <w:color w:val="000000"/>
          <w:sz w:val="24"/>
          <w:szCs w:val="24"/>
        </w:rPr>
        <w:t xml:space="preserve">Comportamiento emergente y riesgo de soluciones que fallan</w:t>
      </w:r>
    </w:p>
    <w:p>
      <w:pPr>
        <w:spacing w:after="200" w:before="0" w:line="480"/>
        <w:jc w:val="both"/>
      </w:pPr>
      <w:r>
        <w:rPr>
          <w:rFonts w:ascii="Times New Roman" w:cs="Times New Roman" w:eastAsia="Times New Roman" w:hAnsi="Times New Roman"/>
          <w:sz w:val="24"/>
          <w:szCs w:val="24"/>
        </w:rPr>
        <w:t xml:space="preserve">Una intervención mal diseñada podría generar efectos no deseados, un riesgo que la Dinámica de Sistemas permite anticipar mediante simulación antes de implementar la política en la realidad.</w:t>
      </w:r>
    </w:p>
    <w:p>
      <w:pPr>
        <w:spacing w:after="200" w:before="0" w:line="480"/>
        <w:jc w:val="both"/>
      </w:pPr>
      <w:r>
        <w:rPr>
          <w:rFonts w:ascii="Times New Roman" w:cs="Times New Roman" w:eastAsia="Times New Roman" w:hAnsi="Times New Roman"/>
          <w:sz w:val="24"/>
          <w:szCs w:val="24"/>
        </w:rPr>
        <w:t xml:space="preserve">Por estas razones, la Dinámica de Sistemas es la herramienta metodológica adecuada para este problema: permite modelar la acumulación, las demoras, los bucles de retroalimentación y probar políticas de intervención antes de aplicarlas en el mundo real.</w:t>
      </w:r>
    </w:p>
    <w:p>
      <w:pPr>
        <w:pStyle w:val="Heading1"/>
        <w:spacing w:after="200" w:before="400" w:line="480"/>
        <w:jc w:val="center"/>
      </w:pPr>
      <w:r>
        <w:rPr>
          <w:rFonts w:ascii="Times New Roman" w:cs="Times New Roman" w:eastAsia="Times New Roman" w:hAnsi="Times New Roman"/>
          <w:b/>
          <w:bCs/>
          <w:color w:val="000000"/>
          <w:sz w:val="24"/>
          <w:szCs w:val="24"/>
        </w:rPr>
        <w:t xml:space="preserve">Objetivos del proyecto</w:t>
      </w:r>
    </w:p>
    <w:p>
      <w:pPr>
        <w:pStyle w:val="Heading2"/>
        <w:spacing w:after="150" w:before="300" w:line="480"/>
        <w:jc w:val="left"/>
      </w:pPr>
      <w:r>
        <w:rPr>
          <w:rFonts w:ascii="Times New Roman" w:cs="Times New Roman" w:eastAsia="Times New Roman" w:hAnsi="Times New Roman"/>
          <w:b/>
          <w:bCs/>
          <w:color w:val="000000"/>
          <w:sz w:val="24"/>
          <w:szCs w:val="24"/>
        </w:rPr>
        <w:t xml:space="preserve">Objetivo general</w:t>
      </w:r>
    </w:p>
    <w:p>
      <w:pPr>
        <w:spacing w:after="200" w:before="0" w:line="480"/>
        <w:jc w:val="both"/>
      </w:pPr>
      <w:r>
        <w:rPr>
          <w:rFonts w:ascii="Times New Roman" w:cs="Times New Roman" w:eastAsia="Times New Roman" w:hAnsi="Times New Roman"/>
          <w:sz w:val="24"/>
          <w:szCs w:val="24"/>
        </w:rPr>
        <w:t xml:space="preserve">Diseñar, simular y validar un modelo de Dinámica de Sistemas que permita comprender el comportamiento de la contaminación por PM2.5 en San Juan de Lurigancho en el tiempo, utilizando datos reales de SENAMHI, con el fin de evaluar escenarios y proponer políticas de intervención sustentadas en resultados.</w:t>
      </w:r>
    </w:p>
    <w:p>
      <w:pPr>
        <w:pStyle w:val="Heading2"/>
        <w:spacing w:after="150" w:before="300" w:line="480"/>
        <w:jc w:val="left"/>
      </w:pPr>
      <w:r>
        <w:rPr>
          <w:rFonts w:ascii="Times New Roman" w:cs="Times New Roman" w:eastAsia="Times New Roman" w:hAnsi="Times New Roman"/>
          <w:b/>
          <w:bCs/>
          <w:color w:val="000000"/>
          <w:sz w:val="24"/>
          <w:szCs w:val="24"/>
        </w:rPr>
        <w:t xml:space="preserve">Objetivos específicos</w:t>
      </w:r>
    </w:p>
    <w:p>
      <w:pPr>
        <w:pStyle w:val="ListParagraph"/>
        <w:numPr>
          <w:ilvl w:val="0"/>
          <w:numId w:val="1"/>
        </w:numPr>
        <w:spacing w:after="100" w:line="480"/>
        <w:ind w:left="360"/>
      </w:pPr>
      <w:r>
        <w:rPr>
          <w:rFonts w:ascii="Times New Roman" w:cs="Times New Roman" w:eastAsia="Times New Roman" w:hAnsi="Times New Roman"/>
          <w:sz w:val="24"/>
          <w:szCs w:val="24"/>
        </w:rPr>
        <w:t xml:space="preserve">Identificar la contaminación por PM2.5 en San Juan de Lurigancho como un problema que evoluciona en el tiempo, y no como un evento aislado.</w:t>
      </w:r>
    </w:p>
    <w:p>
      <w:pPr>
        <w:pStyle w:val="ListParagraph"/>
        <w:numPr>
          <w:ilvl w:val="0"/>
          <w:numId w:val="1"/>
        </w:numPr>
        <w:spacing w:after="100" w:line="480"/>
        <w:ind w:left="360"/>
      </w:pPr>
      <w:r>
        <w:rPr>
          <w:rFonts w:ascii="Times New Roman" w:cs="Times New Roman" w:eastAsia="Times New Roman" w:hAnsi="Times New Roman"/>
          <w:sz w:val="24"/>
          <w:szCs w:val="24"/>
        </w:rPr>
        <w:t xml:space="preserve">Diferenciar los eventos puntuales de los patrones de comportamiento y de la estructura subyacente del sistema.</w:t>
      </w:r>
    </w:p>
    <w:p>
      <w:pPr>
        <w:pStyle w:val="ListParagraph"/>
        <w:numPr>
          <w:ilvl w:val="0"/>
          <w:numId w:val="1"/>
        </w:numPr>
        <w:spacing w:after="100" w:line="480"/>
        <w:ind w:left="360"/>
      </w:pPr>
      <w:r>
        <w:rPr>
          <w:rFonts w:ascii="Times New Roman" w:cs="Times New Roman" w:eastAsia="Times New Roman" w:hAnsi="Times New Roman"/>
          <w:sz w:val="24"/>
          <w:szCs w:val="24"/>
        </w:rPr>
        <w:t xml:space="preserve">Elaborar gráficas de comportamiento en el tiempo (BOT) a partir de los datos reales de SENAMHI (2020-2022).</w:t>
      </w:r>
    </w:p>
    <w:p>
      <w:pPr>
        <w:pStyle w:val="ListParagraph"/>
        <w:numPr>
          <w:ilvl w:val="0"/>
          <w:numId w:val="1"/>
        </w:numPr>
        <w:spacing w:after="100" w:line="480"/>
        <w:ind w:left="360"/>
      </w:pPr>
      <w:r>
        <w:rPr>
          <w:rFonts w:ascii="Times New Roman" w:cs="Times New Roman" w:eastAsia="Times New Roman" w:hAnsi="Times New Roman"/>
          <w:sz w:val="24"/>
          <w:szCs w:val="24"/>
        </w:rPr>
        <w:t xml:space="preserve">Identificar las variables causales relevantes y sus relaciones de polaridad.</w:t>
      </w:r>
    </w:p>
    <w:p>
      <w:pPr>
        <w:pStyle w:val="ListParagraph"/>
        <w:numPr>
          <w:ilvl w:val="0"/>
          <w:numId w:val="1"/>
        </w:numPr>
        <w:spacing w:after="100" w:line="480"/>
        <w:ind w:left="360"/>
      </w:pPr>
      <w:r>
        <w:rPr>
          <w:rFonts w:ascii="Times New Roman" w:cs="Times New Roman" w:eastAsia="Times New Roman" w:hAnsi="Times New Roman"/>
          <w:sz w:val="24"/>
          <w:szCs w:val="24"/>
        </w:rPr>
        <w:t xml:space="preserve">Construir un diagrama causal que represente la estructura del problema.</w:t>
      </w:r>
    </w:p>
    <w:p>
      <w:pPr>
        <w:pStyle w:val="ListParagraph"/>
        <w:numPr>
          <w:ilvl w:val="0"/>
          <w:numId w:val="1"/>
        </w:numPr>
        <w:spacing w:after="100" w:line="480"/>
        <w:ind w:left="360"/>
      </w:pPr>
      <w:r>
        <w:rPr>
          <w:rFonts w:ascii="Times New Roman" w:cs="Times New Roman" w:eastAsia="Times New Roman" w:hAnsi="Times New Roman"/>
          <w:sz w:val="24"/>
          <w:szCs w:val="24"/>
        </w:rPr>
        <w:t xml:space="preserve">Identificar los bucles de refuerzo y balance del sistema, así como el arquetipo sistémico aplicable.</w:t>
      </w:r>
    </w:p>
    <w:p>
      <w:pPr>
        <w:pStyle w:val="ListParagraph"/>
        <w:numPr>
          <w:ilvl w:val="0"/>
          <w:numId w:val="1"/>
        </w:numPr>
        <w:spacing w:after="100" w:line="480"/>
        <w:ind w:left="360"/>
      </w:pPr>
      <w:r>
        <w:rPr>
          <w:rFonts w:ascii="Times New Roman" w:cs="Times New Roman" w:eastAsia="Times New Roman" w:hAnsi="Times New Roman"/>
          <w:sz w:val="24"/>
          <w:szCs w:val="24"/>
        </w:rPr>
        <w:t xml:space="preserve">Convertir el análisis causal en un modelo stock-flujo cuantitativo.</w:t>
      </w:r>
    </w:p>
    <w:p>
      <w:pPr>
        <w:pStyle w:val="ListParagraph"/>
        <w:numPr>
          <w:ilvl w:val="0"/>
          <w:numId w:val="1"/>
        </w:numPr>
        <w:spacing w:after="100" w:line="480"/>
        <w:ind w:left="360"/>
      </w:pPr>
      <w:r>
        <w:rPr>
          <w:rFonts w:ascii="Times New Roman" w:cs="Times New Roman" w:eastAsia="Times New Roman" w:hAnsi="Times New Roman"/>
          <w:sz w:val="24"/>
          <w:szCs w:val="24"/>
        </w:rPr>
        <w:t xml:space="preserve">Definir el stock, los flujos, las variables auxiliares, los parámetros y sus unidades de medida.</w:t>
      </w:r>
    </w:p>
    <w:p>
      <w:pPr>
        <w:pStyle w:val="ListParagraph"/>
        <w:numPr>
          <w:ilvl w:val="0"/>
          <w:numId w:val="1"/>
        </w:numPr>
        <w:spacing w:after="100" w:line="480"/>
        <w:ind w:left="360"/>
      </w:pPr>
      <w:r>
        <w:rPr>
          <w:rFonts w:ascii="Times New Roman" w:cs="Times New Roman" w:eastAsia="Times New Roman" w:hAnsi="Times New Roman"/>
          <w:sz w:val="24"/>
          <w:szCs w:val="24"/>
        </w:rPr>
        <w:t xml:space="preserve">Construir y simular el modelo en Python, calibrado con datos reales de SENAMHI.</w:t>
      </w:r>
    </w:p>
    <w:p>
      <w:pPr>
        <w:pStyle w:val="ListParagraph"/>
        <w:numPr>
          <w:ilvl w:val="0"/>
          <w:numId w:val="1"/>
        </w:numPr>
        <w:spacing w:after="100" w:line="480"/>
        <w:ind w:left="360"/>
      </w:pPr>
      <w:r>
        <w:rPr>
          <w:rFonts w:ascii="Times New Roman" w:cs="Times New Roman" w:eastAsia="Times New Roman" w:hAnsi="Times New Roman"/>
          <w:sz w:val="24"/>
          <w:szCs w:val="24"/>
        </w:rPr>
        <w:t xml:space="preserve">Validar el modelo mediante revisión estructural, dimensional y de comportamiento.</w:t>
      </w:r>
    </w:p>
    <w:p>
      <w:pPr>
        <w:pStyle w:val="ListParagraph"/>
        <w:numPr>
          <w:ilvl w:val="0"/>
          <w:numId w:val="1"/>
        </w:numPr>
        <w:spacing w:after="100" w:line="480"/>
        <w:ind w:left="360"/>
      </w:pPr>
      <w:r>
        <w:rPr>
          <w:rFonts w:ascii="Times New Roman" w:cs="Times New Roman" w:eastAsia="Times New Roman" w:hAnsi="Times New Roman"/>
          <w:sz w:val="24"/>
          <w:szCs w:val="24"/>
        </w:rPr>
        <w:t xml:space="preserve">Simular escenarios base, optimista y pesimista.</w:t>
      </w:r>
    </w:p>
    <w:p>
      <w:pPr>
        <w:pStyle w:val="ListParagraph"/>
        <w:numPr>
          <w:ilvl w:val="0"/>
          <w:numId w:val="1"/>
        </w:numPr>
        <w:spacing w:after="100" w:line="480"/>
        <w:ind w:left="360"/>
      </w:pPr>
      <w:r>
        <w:rPr>
          <w:rFonts w:ascii="Times New Roman" w:cs="Times New Roman" w:eastAsia="Times New Roman" w:hAnsi="Times New Roman"/>
          <w:sz w:val="24"/>
          <w:szCs w:val="24"/>
        </w:rPr>
        <w:t xml:space="preserve">Proponer políticas de intervención y puntos de apalancamiento sustentados en el modelo.</w:t>
      </w:r>
    </w:p>
    <w:p>
      <w:pPr>
        <w:pStyle w:val="ListParagraph"/>
        <w:numPr>
          <w:ilvl w:val="0"/>
          <w:numId w:val="1"/>
        </w:numPr>
        <w:spacing w:after="100" w:line="480"/>
        <w:ind w:left="360"/>
      </w:pPr>
      <w:r>
        <w:rPr>
          <w:rFonts w:ascii="Times New Roman" w:cs="Times New Roman" w:eastAsia="Times New Roman" w:hAnsi="Times New Roman"/>
          <w:sz w:val="24"/>
          <w:szCs w:val="24"/>
        </w:rPr>
        <w:t xml:space="preserve">Explorar conceptualmente el uso de un gemelo digital conectado a los reportes de SENAMHI.</w:t>
      </w:r>
    </w:p>
    <w:p>
      <w:pPr>
        <w:pStyle w:val="ListParagraph"/>
        <w:numPr>
          <w:ilvl w:val="0"/>
          <w:numId w:val="1"/>
        </w:numPr>
        <w:spacing w:after="100" w:line="480"/>
        <w:ind w:left="360"/>
      </w:pPr>
      <w:r>
        <w:rPr>
          <w:rFonts w:ascii="Times New Roman" w:cs="Times New Roman" w:eastAsia="Times New Roman" w:hAnsi="Times New Roman"/>
          <w:sz w:val="24"/>
          <w:szCs w:val="24"/>
        </w:rPr>
        <w:t xml:space="preserve">Elaborar el informe técnico y sustentar los resultados finales.</w:t>
      </w:r>
    </w:p>
    <w:p>
      <w:pPr>
        <w:pStyle w:val="Heading1"/>
        <w:spacing w:after="200" w:before="400" w:line="480"/>
        <w:jc w:val="center"/>
      </w:pPr>
      <w:r>
        <w:rPr>
          <w:rFonts w:ascii="Times New Roman" w:cs="Times New Roman" w:eastAsia="Times New Roman" w:hAnsi="Times New Roman"/>
          <w:b/>
          <w:bCs/>
          <w:color w:val="000000"/>
          <w:sz w:val="24"/>
          <w:szCs w:val="24"/>
        </w:rPr>
        <w:t xml:space="preserve">Alcance y frontera del sistema</w:t>
      </w:r>
    </w:p>
    <w:p>
      <w:pPr>
        <w:pStyle w:val="Heading2"/>
        <w:spacing w:after="150" w:before="300" w:line="480"/>
        <w:jc w:val="left"/>
      </w:pPr>
      <w:r>
        <w:rPr>
          <w:rFonts w:ascii="Times New Roman" w:cs="Times New Roman" w:eastAsia="Times New Roman" w:hAnsi="Times New Roman"/>
          <w:b/>
          <w:bCs/>
          <w:color w:val="000000"/>
          <w:sz w:val="24"/>
          <w:szCs w:val="24"/>
        </w:rPr>
        <w:t xml:space="preserve">Elementos incluidos y excluidos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160"/>
        <w:gridCol w:w="3600"/>
      </w:tblGrid>
      <w:tr>
        <w:tc>
          <w:tcPr>
            <w:tcW w:type="dxa" w:w="3600"/>
            <w:shd w:fill="D9D9D9" w:val="clear"/>
            <w:tcMar>
              <w:top w:type="dxa" w:w="80"/>
              <w:left w:type="dxa" w:w="100"/>
              <w:bottom w:type="dxa" w:w="80"/>
              <w:right w:type="dxa" w:w="100"/>
            </w:tcMar>
            <w:vAlign w:val="center"/>
          </w:tcPr>
          <w:p>
            <w:pPr>
              <w:spacing w:line="276"/>
              <w:jc w:val="left"/>
            </w:pPr>
            <w:r>
              <w:rPr>
                <w:rFonts w:ascii="Times New Roman" w:cs="Times New Roman" w:eastAsia="Times New Roman" w:hAnsi="Times New Roman"/>
                <w:b/>
                <w:bCs/>
                <w:sz w:val="20"/>
                <w:szCs w:val="20"/>
              </w:rPr>
              <w:t xml:space="preserve">Elemento</w:t>
            </w:r>
          </w:p>
        </w:tc>
        <w:tc>
          <w:tcPr>
            <w:tcW w:type="dxa" w:w="2160"/>
            <w:shd w:fill="D9D9D9" w:val="clear"/>
            <w:tcMar>
              <w:top w:type="dxa" w:w="80"/>
              <w:left w:type="dxa" w:w="100"/>
              <w:bottom w:type="dxa" w:w="80"/>
              <w:right w:type="dxa" w:w="100"/>
            </w:tcMar>
            <w:vAlign w:val="center"/>
          </w:tcPr>
          <w:p>
            <w:pPr>
              <w:spacing w:line="276"/>
              <w:jc w:val="left"/>
            </w:pPr>
            <w:r>
              <w:rPr>
                <w:rFonts w:ascii="Times New Roman" w:cs="Times New Roman" w:eastAsia="Times New Roman" w:hAnsi="Times New Roman"/>
                <w:b/>
                <w:bCs/>
                <w:sz w:val="20"/>
                <w:szCs w:val="20"/>
              </w:rPr>
              <w:t xml:space="preserve">Incluido / Excluido</w:t>
            </w:r>
          </w:p>
        </w:tc>
        <w:tc>
          <w:tcPr>
            <w:tcW w:type="dxa" w:w="3600"/>
            <w:shd w:fill="D9D9D9" w:val="clear"/>
            <w:tcMar>
              <w:top w:type="dxa" w:w="80"/>
              <w:left w:type="dxa" w:w="100"/>
              <w:bottom w:type="dxa" w:w="80"/>
              <w:right w:type="dxa" w:w="100"/>
            </w:tcMar>
            <w:vAlign w:val="center"/>
          </w:tcPr>
          <w:p>
            <w:pPr>
              <w:spacing w:line="276"/>
              <w:jc w:val="left"/>
            </w:pPr>
            <w:r>
              <w:rPr>
                <w:rFonts w:ascii="Times New Roman" w:cs="Times New Roman" w:eastAsia="Times New Roman" w:hAnsi="Times New Roman"/>
                <w:b/>
                <w:bCs/>
                <w:sz w:val="20"/>
                <w:szCs w:val="20"/>
              </w:rPr>
              <w:t xml:space="preserve">Justificación</w:t>
            </w:r>
          </w:p>
        </w:tc>
      </w:tr>
      <w:tr>
        <w:tc>
          <w:tcPr>
            <w:tcW w:type="dxa" w:w="3600"/>
            <w:tcMar>
              <w:top w:type="dxa" w:w="80"/>
              <w:left w:type="dxa" w:w="100"/>
              <w:bottom w:type="dxa" w:w="80"/>
              <w:right w:type="dxa" w:w="100"/>
            </w:tcMar>
            <w:vAlign w:val="center"/>
          </w:tcPr>
          <w:p>
            <w:pPr>
              <w:spacing w:line="276"/>
              <w:jc w:val="left"/>
            </w:pPr>
            <w:r>
              <w:rPr>
                <w:rFonts w:ascii="Times New Roman" w:cs="Times New Roman" w:eastAsia="Times New Roman" w:hAnsi="Times New Roman"/>
                <w:sz w:val="20"/>
                <w:szCs w:val="20"/>
              </w:rPr>
              <w:t xml:space="preserve">Concentración de PM2.5 en la estación SJL</w:t>
            </w:r>
          </w:p>
        </w:tc>
        <w:tc>
          <w:tcPr>
            <w:tcW w:type="dxa" w:w="2160"/>
            <w:tcMar>
              <w:top w:type="dxa" w:w="80"/>
              <w:left w:type="dxa" w:w="100"/>
              <w:bottom w:type="dxa" w:w="80"/>
              <w:right w:type="dxa" w:w="100"/>
            </w:tcMar>
            <w:vAlign w:val="center"/>
          </w:tcPr>
          <w:p>
            <w:pPr>
              <w:spacing w:line="276"/>
              <w:jc w:val="left"/>
            </w:pPr>
            <w:r>
              <w:rPr>
                <w:rFonts w:ascii="Times New Roman" w:cs="Times New Roman" w:eastAsia="Times New Roman" w:hAnsi="Times New Roman"/>
                <w:sz w:val="20"/>
                <w:szCs w:val="20"/>
              </w:rPr>
              <w:t xml:space="preserve">Incluido</w:t>
            </w:r>
          </w:p>
        </w:tc>
        <w:tc>
          <w:tcPr>
            <w:tcW w:type="dxa" w:w="3600"/>
            <w:tcMar>
              <w:top w:type="dxa" w:w="80"/>
              <w:left w:type="dxa" w:w="100"/>
              <w:bottom w:type="dxa" w:w="80"/>
              <w:right w:type="dxa" w:w="100"/>
            </w:tcMar>
            <w:vAlign w:val="center"/>
          </w:tcPr>
          <w:p>
            <w:pPr>
              <w:spacing w:line="276"/>
              <w:jc w:val="left"/>
            </w:pPr>
            <w:r>
              <w:rPr>
                <w:rFonts w:ascii="Times New Roman" w:cs="Times New Roman" w:eastAsia="Times New Roman" w:hAnsi="Times New Roman"/>
                <w:sz w:val="20"/>
                <w:szCs w:val="20"/>
              </w:rPr>
              <w:t xml:space="preserve">Es el stock principal del sistema</w:t>
            </w:r>
          </w:p>
        </w:tc>
      </w:tr>
      <w:tr>
        <w:tc>
          <w:tcPr>
            <w:tcW w:type="dxa" w:w="3600"/>
            <w:tcMar>
              <w:top w:type="dxa" w:w="80"/>
              <w:left w:type="dxa" w:w="100"/>
              <w:bottom w:type="dxa" w:w="80"/>
              <w:right w:type="dxa" w:w="100"/>
            </w:tcMar>
            <w:vAlign w:val="center"/>
          </w:tcPr>
          <w:p>
            <w:pPr>
              <w:spacing w:line="276"/>
              <w:jc w:val="left"/>
            </w:pPr>
            <w:r>
              <w:rPr>
                <w:rFonts w:ascii="Times New Roman" w:cs="Times New Roman" w:eastAsia="Times New Roman" w:hAnsi="Times New Roman"/>
                <w:sz w:val="20"/>
                <w:szCs w:val="20"/>
              </w:rPr>
              <w:t xml:space="preserve">Emisiones vehiculares (parque automotor de SJL)</w:t>
            </w:r>
          </w:p>
        </w:tc>
        <w:tc>
          <w:tcPr>
            <w:tcW w:type="dxa" w:w="2160"/>
            <w:tcMar>
              <w:top w:type="dxa" w:w="80"/>
              <w:left w:type="dxa" w:w="100"/>
              <w:bottom w:type="dxa" w:w="80"/>
              <w:right w:type="dxa" w:w="100"/>
            </w:tcMar>
            <w:vAlign w:val="center"/>
          </w:tcPr>
          <w:p>
            <w:pPr>
              <w:spacing w:line="276"/>
              <w:jc w:val="left"/>
            </w:pPr>
            <w:r>
              <w:rPr>
                <w:rFonts w:ascii="Times New Roman" w:cs="Times New Roman" w:eastAsia="Times New Roman" w:hAnsi="Times New Roman"/>
                <w:sz w:val="20"/>
                <w:szCs w:val="20"/>
              </w:rPr>
              <w:t xml:space="preserve">Incluido</w:t>
            </w:r>
          </w:p>
        </w:tc>
        <w:tc>
          <w:tcPr>
            <w:tcW w:type="dxa" w:w="3600"/>
            <w:tcMar>
              <w:top w:type="dxa" w:w="80"/>
              <w:left w:type="dxa" w:w="100"/>
              <w:bottom w:type="dxa" w:w="80"/>
              <w:right w:type="dxa" w:w="100"/>
            </w:tcMar>
            <w:vAlign w:val="center"/>
          </w:tcPr>
          <w:p>
            <w:pPr>
              <w:spacing w:line="276"/>
              <w:jc w:val="left"/>
            </w:pPr>
            <w:r>
              <w:rPr>
                <w:rFonts w:ascii="Times New Roman" w:cs="Times New Roman" w:eastAsia="Times New Roman" w:hAnsi="Times New Roman"/>
                <w:sz w:val="20"/>
                <w:szCs w:val="20"/>
              </w:rPr>
              <w:t xml:space="preserve">Principal fuente de emisión identificada</w:t>
            </w:r>
          </w:p>
        </w:tc>
      </w:tr>
      <w:tr>
        <w:tc>
          <w:tcPr>
            <w:tcW w:type="dxa" w:w="3600"/>
            <w:tcMar>
              <w:top w:type="dxa" w:w="80"/>
              <w:left w:type="dxa" w:w="100"/>
              <w:bottom w:type="dxa" w:w="80"/>
              <w:right w:type="dxa" w:w="100"/>
            </w:tcMar>
            <w:vAlign w:val="center"/>
          </w:tcPr>
          <w:p>
            <w:pPr>
              <w:spacing w:line="276"/>
              <w:jc w:val="left"/>
            </w:pPr>
            <w:r>
              <w:rPr>
                <w:rFonts w:ascii="Times New Roman" w:cs="Times New Roman" w:eastAsia="Times New Roman" w:hAnsi="Times New Roman"/>
                <w:sz w:val="20"/>
                <w:szCs w:val="20"/>
              </w:rPr>
              <w:t xml:space="preserve">Emisiones industriales locales</w:t>
            </w:r>
          </w:p>
        </w:tc>
        <w:tc>
          <w:tcPr>
            <w:tcW w:type="dxa" w:w="2160"/>
            <w:tcMar>
              <w:top w:type="dxa" w:w="80"/>
              <w:left w:type="dxa" w:w="100"/>
              <w:bottom w:type="dxa" w:w="80"/>
              <w:right w:type="dxa" w:w="100"/>
            </w:tcMar>
            <w:vAlign w:val="center"/>
          </w:tcPr>
          <w:p>
            <w:pPr>
              <w:spacing w:line="276"/>
              <w:jc w:val="left"/>
            </w:pPr>
            <w:r>
              <w:rPr>
                <w:rFonts w:ascii="Times New Roman" w:cs="Times New Roman" w:eastAsia="Times New Roman" w:hAnsi="Times New Roman"/>
                <w:sz w:val="20"/>
                <w:szCs w:val="20"/>
              </w:rPr>
              <w:t xml:space="preserve">Incluido</w:t>
            </w:r>
          </w:p>
        </w:tc>
        <w:tc>
          <w:tcPr>
            <w:tcW w:type="dxa" w:w="3600"/>
            <w:tcMar>
              <w:top w:type="dxa" w:w="80"/>
              <w:left w:type="dxa" w:w="100"/>
              <w:bottom w:type="dxa" w:w="80"/>
              <w:right w:type="dxa" w:w="100"/>
            </w:tcMar>
            <w:vAlign w:val="center"/>
          </w:tcPr>
          <w:p>
            <w:pPr>
              <w:spacing w:line="276"/>
              <w:jc w:val="left"/>
            </w:pPr>
            <w:r>
              <w:rPr>
                <w:rFonts w:ascii="Times New Roman" w:cs="Times New Roman" w:eastAsia="Times New Roman" w:hAnsi="Times New Roman"/>
                <w:sz w:val="20"/>
                <w:szCs w:val="20"/>
              </w:rPr>
              <w:t xml:space="preserve">Fuente adicional dentro de la frontera</w:t>
            </w:r>
          </w:p>
        </w:tc>
      </w:tr>
      <w:tr>
        <w:tc>
          <w:tcPr>
            <w:tcW w:type="dxa" w:w="3600"/>
            <w:tcMar>
              <w:top w:type="dxa" w:w="80"/>
              <w:left w:type="dxa" w:w="100"/>
              <w:bottom w:type="dxa" w:w="80"/>
              <w:right w:type="dxa" w:w="100"/>
            </w:tcMar>
            <w:vAlign w:val="center"/>
          </w:tcPr>
          <w:p>
            <w:pPr>
              <w:spacing w:line="276"/>
              <w:jc w:val="left"/>
            </w:pPr>
            <w:r>
              <w:rPr>
                <w:rFonts w:ascii="Times New Roman" w:cs="Times New Roman" w:eastAsia="Times New Roman" w:hAnsi="Times New Roman"/>
                <w:sz w:val="20"/>
                <w:szCs w:val="20"/>
              </w:rPr>
              <w:t xml:space="preserve">Condiciones meteorológicas (viento, lluvia, estacionalidad)</w:t>
            </w:r>
          </w:p>
        </w:tc>
        <w:tc>
          <w:tcPr>
            <w:tcW w:type="dxa" w:w="2160"/>
            <w:tcMar>
              <w:top w:type="dxa" w:w="80"/>
              <w:left w:type="dxa" w:w="100"/>
              <w:bottom w:type="dxa" w:w="80"/>
              <w:right w:type="dxa" w:w="100"/>
            </w:tcMar>
            <w:vAlign w:val="center"/>
          </w:tcPr>
          <w:p>
            <w:pPr>
              <w:spacing w:line="276"/>
              <w:jc w:val="left"/>
            </w:pPr>
            <w:r>
              <w:rPr>
                <w:rFonts w:ascii="Times New Roman" w:cs="Times New Roman" w:eastAsia="Times New Roman" w:hAnsi="Times New Roman"/>
                <w:sz w:val="20"/>
                <w:szCs w:val="20"/>
              </w:rPr>
              <w:t xml:space="preserve">Incluido</w:t>
            </w:r>
          </w:p>
        </w:tc>
        <w:tc>
          <w:tcPr>
            <w:tcW w:type="dxa" w:w="3600"/>
            <w:tcMar>
              <w:top w:type="dxa" w:w="80"/>
              <w:left w:type="dxa" w:w="100"/>
              <w:bottom w:type="dxa" w:w="80"/>
              <w:right w:type="dxa" w:w="100"/>
            </w:tcMar>
            <w:vAlign w:val="center"/>
          </w:tcPr>
          <w:p>
            <w:pPr>
              <w:spacing w:line="276"/>
              <w:jc w:val="left"/>
            </w:pPr>
            <w:r>
              <w:rPr>
                <w:rFonts w:ascii="Times New Roman" w:cs="Times New Roman" w:eastAsia="Times New Roman" w:hAnsi="Times New Roman"/>
                <w:sz w:val="20"/>
                <w:szCs w:val="20"/>
              </w:rPr>
              <w:t xml:space="preserve">Determinan la capacidad de dispersión natural</w:t>
            </w:r>
          </w:p>
        </w:tc>
      </w:tr>
      <w:tr>
        <w:tc>
          <w:tcPr>
            <w:tcW w:type="dxa" w:w="3600"/>
            <w:tcMar>
              <w:top w:type="dxa" w:w="80"/>
              <w:left w:type="dxa" w:w="100"/>
              <w:bottom w:type="dxa" w:w="80"/>
              <w:right w:type="dxa" w:w="100"/>
            </w:tcMar>
            <w:vAlign w:val="center"/>
          </w:tcPr>
          <w:p>
            <w:pPr>
              <w:spacing w:line="276"/>
              <w:jc w:val="left"/>
            </w:pPr>
            <w:r>
              <w:rPr>
                <w:rFonts w:ascii="Times New Roman" w:cs="Times New Roman" w:eastAsia="Times New Roman" w:hAnsi="Times New Roman"/>
                <w:sz w:val="20"/>
                <w:szCs w:val="20"/>
              </w:rPr>
              <w:t xml:space="preserve">Estándar de Calidad Ambiental (ECA-aire)</w:t>
            </w:r>
          </w:p>
        </w:tc>
        <w:tc>
          <w:tcPr>
            <w:tcW w:type="dxa" w:w="2160"/>
            <w:tcMar>
              <w:top w:type="dxa" w:w="80"/>
              <w:left w:type="dxa" w:w="100"/>
              <w:bottom w:type="dxa" w:w="80"/>
              <w:right w:type="dxa" w:w="100"/>
            </w:tcMar>
            <w:vAlign w:val="center"/>
          </w:tcPr>
          <w:p>
            <w:pPr>
              <w:spacing w:line="276"/>
              <w:jc w:val="left"/>
            </w:pPr>
            <w:r>
              <w:rPr>
                <w:rFonts w:ascii="Times New Roman" w:cs="Times New Roman" w:eastAsia="Times New Roman" w:hAnsi="Times New Roman"/>
                <w:sz w:val="20"/>
                <w:szCs w:val="20"/>
              </w:rPr>
              <w:t xml:space="preserve">Incluido (referencia)</w:t>
            </w:r>
          </w:p>
        </w:tc>
        <w:tc>
          <w:tcPr>
            <w:tcW w:type="dxa" w:w="3600"/>
            <w:tcMar>
              <w:top w:type="dxa" w:w="80"/>
              <w:left w:type="dxa" w:w="100"/>
              <w:bottom w:type="dxa" w:w="80"/>
              <w:right w:type="dxa" w:w="100"/>
            </w:tcMar>
            <w:vAlign w:val="center"/>
          </w:tcPr>
          <w:p>
            <w:pPr>
              <w:spacing w:line="276"/>
              <w:jc w:val="left"/>
            </w:pPr>
            <w:r>
              <w:rPr>
                <w:rFonts w:ascii="Times New Roman" w:cs="Times New Roman" w:eastAsia="Times New Roman" w:hAnsi="Times New Roman"/>
                <w:sz w:val="20"/>
                <w:szCs w:val="20"/>
              </w:rPr>
              <w:t xml:space="preserve">Permite evaluar si el sistema está en un estado aceptable</w:t>
            </w:r>
          </w:p>
        </w:tc>
      </w:tr>
      <w:tr>
        <w:tc>
          <w:tcPr>
            <w:tcW w:type="dxa" w:w="3600"/>
            <w:tcMar>
              <w:top w:type="dxa" w:w="80"/>
              <w:left w:type="dxa" w:w="100"/>
              <w:bottom w:type="dxa" w:w="80"/>
              <w:right w:type="dxa" w:w="100"/>
            </w:tcMar>
            <w:vAlign w:val="center"/>
          </w:tcPr>
          <w:p>
            <w:pPr>
              <w:spacing w:line="276"/>
              <w:jc w:val="left"/>
            </w:pPr>
            <w:r>
              <w:rPr>
                <w:rFonts w:ascii="Times New Roman" w:cs="Times New Roman" w:eastAsia="Times New Roman" w:hAnsi="Times New Roman"/>
                <w:sz w:val="20"/>
                <w:szCs w:val="20"/>
              </w:rPr>
              <w:t xml:space="preserve">Política climática nacional o internacional</w:t>
            </w:r>
          </w:p>
        </w:tc>
        <w:tc>
          <w:tcPr>
            <w:tcW w:type="dxa" w:w="2160"/>
            <w:tcMar>
              <w:top w:type="dxa" w:w="80"/>
              <w:left w:type="dxa" w:w="100"/>
              <w:bottom w:type="dxa" w:w="80"/>
              <w:right w:type="dxa" w:w="100"/>
            </w:tcMar>
            <w:vAlign w:val="center"/>
          </w:tcPr>
          <w:p>
            <w:pPr>
              <w:spacing w:line="276"/>
              <w:jc w:val="left"/>
            </w:pPr>
            <w:r>
              <w:rPr>
                <w:rFonts w:ascii="Times New Roman" w:cs="Times New Roman" w:eastAsia="Times New Roman" w:hAnsi="Times New Roman"/>
                <w:sz w:val="20"/>
                <w:szCs w:val="20"/>
              </w:rPr>
              <w:t xml:space="preserve">Excluido</w:t>
            </w:r>
          </w:p>
        </w:tc>
        <w:tc>
          <w:tcPr>
            <w:tcW w:type="dxa" w:w="3600"/>
            <w:tcMar>
              <w:top w:type="dxa" w:w="80"/>
              <w:left w:type="dxa" w:w="100"/>
              <w:bottom w:type="dxa" w:w="80"/>
              <w:right w:type="dxa" w:w="100"/>
            </w:tcMar>
            <w:vAlign w:val="center"/>
          </w:tcPr>
          <w:p>
            <w:pPr>
              <w:spacing w:line="276"/>
              <w:jc w:val="left"/>
            </w:pPr>
            <w:r>
              <w:rPr>
                <w:rFonts w:ascii="Times New Roman" w:cs="Times New Roman" w:eastAsia="Times New Roman" w:hAnsi="Times New Roman"/>
                <w:sz w:val="20"/>
                <w:szCs w:val="20"/>
              </w:rPr>
              <w:t xml:space="preserve">Fuera del nivel de análisis del modelo</w:t>
            </w:r>
          </w:p>
        </w:tc>
      </w:tr>
      <w:tr>
        <w:tc>
          <w:tcPr>
            <w:tcW w:type="dxa" w:w="3600"/>
            <w:tcMar>
              <w:top w:type="dxa" w:w="80"/>
              <w:left w:type="dxa" w:w="100"/>
              <w:bottom w:type="dxa" w:w="80"/>
              <w:right w:type="dxa" w:w="100"/>
            </w:tcMar>
            <w:vAlign w:val="center"/>
          </w:tcPr>
          <w:p>
            <w:pPr>
              <w:spacing w:line="276"/>
              <w:jc w:val="left"/>
            </w:pPr>
            <w:r>
              <w:rPr>
                <w:rFonts w:ascii="Times New Roman" w:cs="Times New Roman" w:eastAsia="Times New Roman" w:hAnsi="Times New Roman"/>
                <w:sz w:val="20"/>
                <w:szCs w:val="20"/>
              </w:rPr>
              <w:t xml:space="preserve">Efectos de salud individuales detallados</w:t>
            </w:r>
          </w:p>
        </w:tc>
        <w:tc>
          <w:tcPr>
            <w:tcW w:type="dxa" w:w="2160"/>
            <w:tcMar>
              <w:top w:type="dxa" w:w="80"/>
              <w:left w:type="dxa" w:w="100"/>
              <w:bottom w:type="dxa" w:w="80"/>
              <w:right w:type="dxa" w:w="100"/>
            </w:tcMar>
            <w:vAlign w:val="center"/>
          </w:tcPr>
          <w:p>
            <w:pPr>
              <w:spacing w:line="276"/>
              <w:jc w:val="left"/>
            </w:pPr>
            <w:r>
              <w:rPr>
                <w:rFonts w:ascii="Times New Roman" w:cs="Times New Roman" w:eastAsia="Times New Roman" w:hAnsi="Times New Roman"/>
                <w:sz w:val="20"/>
                <w:szCs w:val="20"/>
              </w:rPr>
              <w:t xml:space="preserve">Excluido</w:t>
            </w:r>
          </w:p>
        </w:tc>
        <w:tc>
          <w:tcPr>
            <w:tcW w:type="dxa" w:w="3600"/>
            <w:tcMar>
              <w:top w:type="dxa" w:w="80"/>
              <w:left w:type="dxa" w:w="100"/>
              <w:bottom w:type="dxa" w:w="80"/>
              <w:right w:type="dxa" w:w="100"/>
            </w:tcMar>
            <w:vAlign w:val="center"/>
          </w:tcPr>
          <w:p>
            <w:pPr>
              <w:spacing w:line="276"/>
              <w:jc w:val="left"/>
            </w:pPr>
            <w:r>
              <w:rPr>
                <w:rFonts w:ascii="Times New Roman" w:cs="Times New Roman" w:eastAsia="Times New Roman" w:hAnsi="Times New Roman"/>
                <w:sz w:val="20"/>
                <w:szCs w:val="20"/>
              </w:rPr>
              <w:t xml:space="preserve">El modelo trabaja con exposición/concentración</w:t>
            </w:r>
          </w:p>
        </w:tc>
      </w:tr>
      <w:tr>
        <w:tc>
          <w:tcPr>
            <w:tcW w:type="dxa" w:w="3600"/>
            <w:tcMar>
              <w:top w:type="dxa" w:w="80"/>
              <w:left w:type="dxa" w:w="100"/>
              <w:bottom w:type="dxa" w:w="80"/>
              <w:right w:type="dxa" w:w="100"/>
            </w:tcMar>
            <w:vAlign w:val="center"/>
          </w:tcPr>
          <w:p>
            <w:pPr>
              <w:spacing w:line="276"/>
              <w:jc w:val="left"/>
            </w:pPr>
            <w:r>
              <w:rPr>
                <w:rFonts w:ascii="Times New Roman" w:cs="Times New Roman" w:eastAsia="Times New Roman" w:hAnsi="Times New Roman"/>
                <w:sz w:val="20"/>
                <w:szCs w:val="20"/>
              </w:rPr>
              <w:t xml:space="preserve">Otras estaciones de monitoreo (Ate, Santa Anita, etc.)</w:t>
            </w:r>
          </w:p>
        </w:tc>
        <w:tc>
          <w:tcPr>
            <w:tcW w:type="dxa" w:w="2160"/>
            <w:tcMar>
              <w:top w:type="dxa" w:w="80"/>
              <w:left w:type="dxa" w:w="100"/>
              <w:bottom w:type="dxa" w:w="80"/>
              <w:right w:type="dxa" w:w="100"/>
            </w:tcMar>
            <w:vAlign w:val="center"/>
          </w:tcPr>
          <w:p>
            <w:pPr>
              <w:spacing w:line="276"/>
              <w:jc w:val="left"/>
            </w:pPr>
            <w:r>
              <w:rPr>
                <w:rFonts w:ascii="Times New Roman" w:cs="Times New Roman" w:eastAsia="Times New Roman" w:hAnsi="Times New Roman"/>
                <w:sz w:val="20"/>
                <w:szCs w:val="20"/>
              </w:rPr>
              <w:t xml:space="preserve">Parcial</w:t>
            </w:r>
          </w:p>
        </w:tc>
        <w:tc>
          <w:tcPr>
            <w:tcW w:type="dxa" w:w="3600"/>
            <w:tcMar>
              <w:top w:type="dxa" w:w="80"/>
              <w:left w:type="dxa" w:w="100"/>
              <w:bottom w:type="dxa" w:w="80"/>
              <w:right w:type="dxa" w:w="100"/>
            </w:tcMar>
            <w:vAlign w:val="center"/>
          </w:tcPr>
          <w:p>
            <w:pPr>
              <w:spacing w:line="276"/>
              <w:jc w:val="left"/>
            </w:pPr>
            <w:r>
              <w:rPr>
                <w:rFonts w:ascii="Times New Roman" w:cs="Times New Roman" w:eastAsia="Times New Roman" w:hAnsi="Times New Roman"/>
                <w:sz w:val="20"/>
                <w:szCs w:val="20"/>
              </w:rPr>
              <w:t xml:space="preserve">Solo como referencia comparativa</w:t>
            </w:r>
          </w:p>
        </w:tc>
      </w:tr>
      <w:tr>
        <w:tc>
          <w:tcPr>
            <w:tcW w:type="dxa" w:w="3600"/>
            <w:tcMar>
              <w:top w:type="dxa" w:w="80"/>
              <w:left w:type="dxa" w:w="100"/>
              <w:bottom w:type="dxa" w:w="80"/>
              <w:right w:type="dxa" w:w="100"/>
            </w:tcMar>
            <w:vAlign w:val="center"/>
          </w:tcPr>
          <w:p>
            <w:pPr>
              <w:spacing w:line="276"/>
              <w:jc w:val="left"/>
            </w:pPr>
            <w:r>
              <w:rPr>
                <w:rFonts w:ascii="Times New Roman" w:cs="Times New Roman" w:eastAsia="Times New Roman" w:hAnsi="Times New Roman"/>
                <w:sz w:val="20"/>
                <w:szCs w:val="20"/>
              </w:rPr>
              <w:t xml:space="preserve">Tránsito vehicular fuera de SJL</w:t>
            </w:r>
          </w:p>
        </w:tc>
        <w:tc>
          <w:tcPr>
            <w:tcW w:type="dxa" w:w="2160"/>
            <w:tcMar>
              <w:top w:type="dxa" w:w="80"/>
              <w:left w:type="dxa" w:w="100"/>
              <w:bottom w:type="dxa" w:w="80"/>
              <w:right w:type="dxa" w:w="100"/>
            </w:tcMar>
            <w:vAlign w:val="center"/>
          </w:tcPr>
          <w:p>
            <w:pPr>
              <w:spacing w:line="276"/>
              <w:jc w:val="left"/>
            </w:pPr>
            <w:r>
              <w:rPr>
                <w:rFonts w:ascii="Times New Roman" w:cs="Times New Roman" w:eastAsia="Times New Roman" w:hAnsi="Times New Roman"/>
                <w:sz w:val="20"/>
                <w:szCs w:val="20"/>
              </w:rPr>
              <w:t xml:space="preserve">Excluido</w:t>
            </w:r>
          </w:p>
        </w:tc>
        <w:tc>
          <w:tcPr>
            <w:tcW w:type="dxa" w:w="3600"/>
            <w:tcMar>
              <w:top w:type="dxa" w:w="80"/>
              <w:left w:type="dxa" w:w="100"/>
              <w:bottom w:type="dxa" w:w="80"/>
              <w:right w:type="dxa" w:w="100"/>
            </w:tcMar>
            <w:vAlign w:val="center"/>
          </w:tcPr>
          <w:p>
            <w:pPr>
              <w:spacing w:line="276"/>
              <w:jc w:val="left"/>
            </w:pPr>
            <w:r>
              <w:rPr>
                <w:rFonts w:ascii="Times New Roman" w:cs="Times New Roman" w:eastAsia="Times New Roman" w:hAnsi="Times New Roman"/>
                <w:sz w:val="20"/>
                <w:szCs w:val="20"/>
              </w:rPr>
              <w:t xml:space="preserve">Fuera de la frontera geográfica definida</w:t>
            </w:r>
          </w:p>
        </w:tc>
      </w:tr>
    </w:tbl>
    <w:p>
      <w:pPr>
        <w:pStyle w:val="Heading2"/>
        <w:spacing w:after="150" w:before="300" w:line="480"/>
        <w:jc w:val="left"/>
      </w:pPr>
      <w:r>
        <w:rPr>
          <w:rFonts w:ascii="Times New Roman" w:cs="Times New Roman" w:eastAsia="Times New Roman" w:hAnsi="Times New Roman"/>
          <w:b/>
          <w:bCs/>
          <w:color w:val="000000"/>
          <w:sz w:val="24"/>
          <w:szCs w:val="24"/>
        </w:rPr>
        <w:t xml:space="preserve">Entradas, procesos y salidas</w:t>
      </w:r>
    </w:p>
    <w:p>
      <w:pPr>
        <w:spacing w:after="100" w:before="0" w:line="480"/>
        <w:jc w:val="both"/>
      </w:pPr>
      <w:r>
        <w:rPr>
          <w:rFonts w:ascii="Times New Roman" w:cs="Times New Roman" w:eastAsia="Times New Roman" w:hAnsi="Times New Roman"/>
          <w:sz w:val="24"/>
          <w:szCs w:val="24"/>
        </w:rPr>
        <w:t xml:space="preserve">Entradas: cantidad de vehículos circulantes por periodo, actividad industrial local, condiciones meteorológicas.</w:t>
      </w:r>
    </w:p>
    <w:p>
      <w:pPr>
        <w:spacing w:after="100" w:before="0" w:line="480"/>
        <w:jc w:val="both"/>
      </w:pPr>
      <w:r>
        <w:rPr>
          <w:rFonts w:ascii="Times New Roman" w:cs="Times New Roman" w:eastAsia="Times New Roman" w:hAnsi="Times New Roman"/>
          <w:sz w:val="24"/>
          <w:szCs w:val="24"/>
        </w:rPr>
        <w:t xml:space="preserve">Procesos: emisión de contaminantes, dispersión/depósito atmosférico, acumulación neta de concentración de PM2.5.</w:t>
      </w:r>
    </w:p>
    <w:p>
      <w:pPr>
        <w:spacing w:after="200" w:before="0" w:line="480"/>
        <w:jc w:val="both"/>
      </w:pPr>
      <w:r>
        <w:rPr>
          <w:rFonts w:ascii="Times New Roman" w:cs="Times New Roman" w:eastAsia="Times New Roman" w:hAnsi="Times New Roman"/>
          <w:sz w:val="24"/>
          <w:szCs w:val="24"/>
        </w:rPr>
        <w:t xml:space="preserve">Salidas: concentración de PM2.5 resultante en el tiempo, índice de calidad del aire derivado.</w:t>
      </w:r>
    </w:p>
    <w:p>
      <w:pPr>
        <w:pStyle w:val="Heading2"/>
        <w:spacing w:after="150" w:before="300" w:line="480"/>
        <w:jc w:val="left"/>
      </w:pPr>
      <w:r>
        <w:rPr>
          <w:rFonts w:ascii="Times New Roman" w:cs="Times New Roman" w:eastAsia="Times New Roman" w:hAnsi="Times New Roman"/>
          <w:b/>
          <w:bCs/>
          <w:color w:val="000000"/>
          <w:sz w:val="24"/>
          <w:szCs w:val="24"/>
        </w:rPr>
        <w:t xml:space="preserve">Restricciones del modelo</w:t>
      </w:r>
    </w:p>
    <w:p>
      <w:pPr>
        <w:pStyle w:val="ListParagraph"/>
        <w:numPr>
          <w:ilvl w:val="0"/>
          <w:numId w:val="1"/>
        </w:numPr>
        <w:spacing w:after="100" w:line="480"/>
        <w:ind w:left="360"/>
      </w:pPr>
      <w:r>
        <w:rPr>
          <w:rFonts w:ascii="Times New Roman" w:cs="Times New Roman" w:eastAsia="Times New Roman" w:hAnsi="Times New Roman"/>
          <w:sz w:val="24"/>
          <w:szCs w:val="24"/>
        </w:rPr>
        <w:t xml:space="preserve">El modelo se limita a la estación de monitoreo de San Juan de Lurigancho; no representa otras zonas de Lima.</w:t>
      </w:r>
    </w:p>
    <w:p>
      <w:pPr>
        <w:pStyle w:val="ListParagraph"/>
        <w:numPr>
          <w:ilvl w:val="0"/>
          <w:numId w:val="1"/>
        </w:numPr>
        <w:spacing w:after="100" w:line="480"/>
        <w:ind w:left="360"/>
      </w:pPr>
      <w:r>
        <w:rPr>
          <w:rFonts w:ascii="Times New Roman" w:cs="Times New Roman" w:eastAsia="Times New Roman" w:hAnsi="Times New Roman"/>
          <w:sz w:val="24"/>
          <w:szCs w:val="24"/>
        </w:rPr>
        <w:t xml:space="preserve">La ventana de calibración cuantitativa utiliza el periodo 2020-2022 del dataset real de SENAMHI, por su mejor cobertura de datos.</w:t>
      </w:r>
    </w:p>
    <w:p>
      <w:pPr>
        <w:pStyle w:val="ListParagraph"/>
        <w:numPr>
          <w:ilvl w:val="0"/>
          <w:numId w:val="1"/>
        </w:numPr>
        <w:spacing w:after="100" w:line="480"/>
        <w:ind w:left="360"/>
      </w:pPr>
      <w:r>
        <w:rPr>
          <w:rFonts w:ascii="Times New Roman" w:cs="Times New Roman" w:eastAsia="Times New Roman" w:hAnsi="Times New Roman"/>
          <w:sz w:val="24"/>
          <w:szCs w:val="24"/>
        </w:rPr>
        <w:t xml:space="preserve">No se modelan explícitamente los mecanismos biológicos de exposición-enfermedad, solo la concentración ambiental.</w:t>
      </w:r>
    </w:p>
    <w:p>
      <w:pPr>
        <w:pStyle w:val="Heading2"/>
        <w:spacing w:after="150" w:before="300" w:line="480"/>
        <w:jc w:val="left"/>
      </w:pPr>
      <w:r>
        <w:rPr>
          <w:rFonts w:ascii="Times New Roman" w:cs="Times New Roman" w:eastAsia="Times New Roman" w:hAnsi="Times New Roman"/>
          <w:b/>
          <w:bCs/>
          <w:color w:val="000000"/>
          <w:sz w:val="24"/>
          <w:szCs w:val="24"/>
        </w:rPr>
        <w:t xml:space="preserve">Horizonte temporal y nivel de análisis</w:t>
      </w:r>
    </w:p>
    <w:p>
      <w:pPr>
        <w:spacing w:after="200" w:before="0" w:line="480"/>
        <w:jc w:val="both"/>
      </w:pPr>
      <w:r>
        <w:rPr>
          <w:rFonts w:ascii="Times New Roman" w:cs="Times New Roman" w:eastAsia="Times New Roman" w:hAnsi="Times New Roman"/>
          <w:sz w:val="24"/>
          <w:szCs w:val="24"/>
        </w:rPr>
        <w:t xml:space="preserve">Horizonte temporal: 36 meses (2020-2022) para calibración, extendido a 2023-2025 para la proyección de escenarios (Parte 3). Paso de simulación: 1 mes. Nivel de análisis: distrital, con la estación de monitoreo SENAMHI como unidad de medición representativa de la zona.</w:t>
      </w:r>
    </w:p>
    <w:p>
      <w:pPr>
        <w:pStyle w:val="Heading1"/>
        <w:spacing w:after="200" w:before="400" w:line="480"/>
        <w:jc w:val="center"/>
      </w:pPr>
      <w:r>
        <w:rPr>
          <w:rFonts w:ascii="Times New Roman" w:cs="Times New Roman" w:eastAsia="Times New Roman" w:hAnsi="Times New Roman"/>
          <w:b/>
          <w:bCs/>
          <w:color w:val="000000"/>
          <w:sz w:val="24"/>
          <w:szCs w:val="24"/>
        </w:rPr>
        <w:t xml:space="preserve">Actores y elementos del sistema</w:t>
      </w:r>
    </w:p>
    <w:p>
      <w:pPr>
        <w:pStyle w:val="Heading2"/>
        <w:spacing w:after="150" w:before="300" w:line="480"/>
        <w:jc w:val="left"/>
      </w:pPr>
      <w:r>
        <w:rPr>
          <w:rFonts w:ascii="Times New Roman" w:cs="Times New Roman" w:eastAsia="Times New Roman" w:hAnsi="Times New Roman"/>
          <w:b/>
          <w:bCs/>
          <w:color w:val="000000"/>
          <w:sz w:val="24"/>
          <w:szCs w:val="24"/>
        </w:rPr>
        <w:t xml:space="preserve">Actores involucrados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760"/>
        <w:gridCol w:w="2800"/>
      </w:tblGrid>
      <w:tr>
        <w:tc>
          <w:tcPr>
            <w:tcW w:type="dxa" w:w="2800"/>
            <w:shd w:fill="D9D9D9" w:val="clear"/>
            <w:tcMar>
              <w:top w:type="dxa" w:w="80"/>
              <w:left w:type="dxa" w:w="100"/>
              <w:bottom w:type="dxa" w:w="80"/>
              <w:right w:type="dxa" w:w="100"/>
            </w:tcMar>
            <w:vAlign w:val="center"/>
          </w:tcPr>
          <w:p>
            <w:pPr>
              <w:spacing w:line="276"/>
              <w:jc w:val="left"/>
            </w:pPr>
            <w:r>
              <w:rPr>
                <w:rFonts w:ascii="Times New Roman" w:cs="Times New Roman" w:eastAsia="Times New Roman" w:hAnsi="Times New Roman"/>
                <w:b/>
                <w:bCs/>
                <w:sz w:val="20"/>
                <w:szCs w:val="20"/>
              </w:rPr>
              <w:t xml:space="preserve">Actor</w:t>
            </w:r>
          </w:p>
        </w:tc>
        <w:tc>
          <w:tcPr>
            <w:tcW w:type="dxa" w:w="3760"/>
            <w:shd w:fill="D9D9D9" w:val="clear"/>
            <w:tcMar>
              <w:top w:type="dxa" w:w="80"/>
              <w:left w:type="dxa" w:w="100"/>
              <w:bottom w:type="dxa" w:w="80"/>
              <w:right w:type="dxa" w:w="100"/>
            </w:tcMar>
            <w:vAlign w:val="center"/>
          </w:tcPr>
          <w:p>
            <w:pPr>
              <w:spacing w:line="276"/>
              <w:jc w:val="left"/>
            </w:pPr>
            <w:r>
              <w:rPr>
                <w:rFonts w:ascii="Times New Roman" w:cs="Times New Roman" w:eastAsia="Times New Roman" w:hAnsi="Times New Roman"/>
                <w:b/>
                <w:bCs/>
                <w:sz w:val="20"/>
                <w:szCs w:val="20"/>
              </w:rPr>
              <w:t xml:space="preserve">Rol en el sistema</w:t>
            </w:r>
          </w:p>
        </w:tc>
        <w:tc>
          <w:tcPr>
            <w:tcW w:type="dxa" w:w="2800"/>
            <w:shd w:fill="D9D9D9" w:val="clear"/>
            <w:tcMar>
              <w:top w:type="dxa" w:w="80"/>
              <w:left w:type="dxa" w:w="100"/>
              <w:bottom w:type="dxa" w:w="80"/>
              <w:right w:type="dxa" w:w="100"/>
            </w:tcMar>
            <w:vAlign w:val="center"/>
          </w:tcPr>
          <w:p>
            <w:pPr>
              <w:spacing w:line="276"/>
              <w:jc w:val="left"/>
            </w:pPr>
            <w:r>
              <w:rPr>
                <w:rFonts w:ascii="Times New Roman" w:cs="Times New Roman" w:eastAsia="Times New Roman" w:hAnsi="Times New Roman"/>
                <w:b/>
                <w:bCs/>
                <w:sz w:val="20"/>
                <w:szCs w:val="20"/>
              </w:rPr>
              <w:t xml:space="preserve">Influencia principal</w:t>
            </w:r>
          </w:p>
        </w:tc>
      </w:tr>
      <w:tr>
        <w:tc>
          <w:tcPr>
            <w:tcW w:type="dxa" w:w="2800"/>
            <w:tcMar>
              <w:top w:type="dxa" w:w="80"/>
              <w:left w:type="dxa" w:w="100"/>
              <w:bottom w:type="dxa" w:w="80"/>
              <w:right w:type="dxa" w:w="100"/>
            </w:tcMar>
            <w:vAlign w:val="center"/>
          </w:tcPr>
          <w:p>
            <w:pPr>
              <w:spacing w:line="276"/>
              <w:jc w:val="left"/>
            </w:pPr>
            <w:r>
              <w:rPr>
                <w:rFonts w:ascii="Times New Roman" w:cs="Times New Roman" w:eastAsia="Times New Roman" w:hAnsi="Times New Roman"/>
                <w:sz w:val="20"/>
                <w:szCs w:val="20"/>
              </w:rPr>
              <w:t xml:space="preserve">SENAMHI</w:t>
            </w:r>
          </w:p>
        </w:tc>
        <w:tc>
          <w:tcPr>
            <w:tcW w:type="dxa" w:w="3760"/>
            <w:tcMar>
              <w:top w:type="dxa" w:w="80"/>
              <w:left w:type="dxa" w:w="100"/>
              <w:bottom w:type="dxa" w:w="80"/>
              <w:right w:type="dxa" w:w="100"/>
            </w:tcMar>
            <w:vAlign w:val="center"/>
          </w:tcPr>
          <w:p>
            <w:pPr>
              <w:spacing w:line="276"/>
              <w:jc w:val="left"/>
            </w:pPr>
            <w:r>
              <w:rPr>
                <w:rFonts w:ascii="Times New Roman" w:cs="Times New Roman" w:eastAsia="Times New Roman" w:hAnsi="Times New Roman"/>
                <w:sz w:val="20"/>
                <w:szCs w:val="20"/>
              </w:rPr>
              <w:t xml:space="preserve">Monitorea y reporta las concentraciones horarias de contaminantes</w:t>
            </w:r>
          </w:p>
        </w:tc>
        <w:tc>
          <w:tcPr>
            <w:tcW w:type="dxa" w:w="2800"/>
            <w:tcMar>
              <w:top w:type="dxa" w:w="80"/>
              <w:left w:type="dxa" w:w="100"/>
              <w:bottom w:type="dxa" w:w="80"/>
              <w:right w:type="dxa" w:w="100"/>
            </w:tcMar>
            <w:vAlign w:val="center"/>
          </w:tcPr>
          <w:p>
            <w:pPr>
              <w:spacing w:line="276"/>
              <w:jc w:val="left"/>
            </w:pPr>
            <w:r>
              <w:rPr>
                <w:rFonts w:ascii="Times New Roman" w:cs="Times New Roman" w:eastAsia="Times New Roman" w:hAnsi="Times New Roman"/>
                <w:sz w:val="20"/>
                <w:szCs w:val="20"/>
              </w:rPr>
              <w:t xml:space="preserve">Genera los datos observables del sistema</w:t>
            </w:r>
          </w:p>
        </w:tc>
      </w:tr>
      <w:tr>
        <w:tc>
          <w:tcPr>
            <w:tcW w:type="dxa" w:w="2800"/>
            <w:tcMar>
              <w:top w:type="dxa" w:w="80"/>
              <w:left w:type="dxa" w:w="100"/>
              <w:bottom w:type="dxa" w:w="80"/>
              <w:right w:type="dxa" w:w="100"/>
            </w:tcMar>
            <w:vAlign w:val="center"/>
          </w:tcPr>
          <w:p>
            <w:pPr>
              <w:spacing w:line="276"/>
              <w:jc w:val="left"/>
            </w:pPr>
            <w:r>
              <w:rPr>
                <w:rFonts w:ascii="Times New Roman" w:cs="Times New Roman" w:eastAsia="Times New Roman" w:hAnsi="Times New Roman"/>
                <w:sz w:val="20"/>
                <w:szCs w:val="20"/>
              </w:rPr>
              <w:t xml:space="preserve">MINAM</w:t>
            </w:r>
          </w:p>
        </w:tc>
        <w:tc>
          <w:tcPr>
            <w:tcW w:type="dxa" w:w="3760"/>
            <w:tcMar>
              <w:top w:type="dxa" w:w="80"/>
              <w:left w:type="dxa" w:w="100"/>
              <w:bottom w:type="dxa" w:w="80"/>
              <w:right w:type="dxa" w:w="100"/>
            </w:tcMar>
            <w:vAlign w:val="center"/>
          </w:tcPr>
          <w:p>
            <w:pPr>
              <w:spacing w:line="276"/>
              <w:jc w:val="left"/>
            </w:pPr>
            <w:r>
              <w:rPr>
                <w:rFonts w:ascii="Times New Roman" w:cs="Times New Roman" w:eastAsia="Times New Roman" w:hAnsi="Times New Roman"/>
                <w:sz w:val="20"/>
                <w:szCs w:val="20"/>
              </w:rPr>
              <w:t xml:space="preserve">Entidad rectora ambiental; establece el ECA-aire</w:t>
            </w:r>
          </w:p>
        </w:tc>
        <w:tc>
          <w:tcPr>
            <w:tcW w:type="dxa" w:w="2800"/>
            <w:tcMar>
              <w:top w:type="dxa" w:w="80"/>
              <w:left w:type="dxa" w:w="100"/>
              <w:bottom w:type="dxa" w:w="80"/>
              <w:right w:type="dxa" w:w="100"/>
            </w:tcMar>
            <w:vAlign w:val="center"/>
          </w:tcPr>
          <w:p>
            <w:pPr>
              <w:spacing w:line="276"/>
              <w:jc w:val="left"/>
            </w:pPr>
            <w:r>
              <w:rPr>
                <w:rFonts w:ascii="Times New Roman" w:cs="Times New Roman" w:eastAsia="Times New Roman" w:hAnsi="Times New Roman"/>
                <w:sz w:val="20"/>
                <w:szCs w:val="20"/>
              </w:rPr>
              <w:t xml:space="preserve">Define el umbral de referencia del sistema</w:t>
            </w:r>
          </w:p>
        </w:tc>
      </w:tr>
      <w:tr>
        <w:tc>
          <w:tcPr>
            <w:tcW w:type="dxa" w:w="2800"/>
            <w:tcMar>
              <w:top w:type="dxa" w:w="80"/>
              <w:left w:type="dxa" w:w="100"/>
              <w:bottom w:type="dxa" w:w="80"/>
              <w:right w:type="dxa" w:w="100"/>
            </w:tcMar>
            <w:vAlign w:val="center"/>
          </w:tcPr>
          <w:p>
            <w:pPr>
              <w:spacing w:line="276"/>
              <w:jc w:val="left"/>
            </w:pPr>
            <w:r>
              <w:rPr>
                <w:rFonts w:ascii="Times New Roman" w:cs="Times New Roman" w:eastAsia="Times New Roman" w:hAnsi="Times New Roman"/>
                <w:sz w:val="20"/>
                <w:szCs w:val="20"/>
              </w:rPr>
              <w:t xml:space="preserve">Municipalidad de SJL</w:t>
            </w:r>
          </w:p>
        </w:tc>
        <w:tc>
          <w:tcPr>
            <w:tcW w:type="dxa" w:w="3760"/>
            <w:tcMar>
              <w:top w:type="dxa" w:w="80"/>
              <w:left w:type="dxa" w:w="100"/>
              <w:bottom w:type="dxa" w:w="80"/>
              <w:right w:type="dxa" w:w="100"/>
            </w:tcMar>
            <w:vAlign w:val="center"/>
          </w:tcPr>
          <w:p>
            <w:pPr>
              <w:spacing w:line="276"/>
              <w:jc w:val="left"/>
            </w:pPr>
            <w:r>
              <w:rPr>
                <w:rFonts w:ascii="Times New Roman" w:cs="Times New Roman" w:eastAsia="Times New Roman" w:hAnsi="Times New Roman"/>
                <w:sz w:val="20"/>
                <w:szCs w:val="20"/>
              </w:rPr>
              <w:t xml:space="preserve">Gestión vial local, fiscalización, áreas verdes</w:t>
            </w:r>
          </w:p>
        </w:tc>
        <w:tc>
          <w:tcPr>
            <w:tcW w:type="dxa" w:w="2800"/>
            <w:tcMar>
              <w:top w:type="dxa" w:w="80"/>
              <w:left w:type="dxa" w:w="100"/>
              <w:bottom w:type="dxa" w:w="80"/>
              <w:right w:type="dxa" w:w="100"/>
            </w:tcMar>
            <w:vAlign w:val="center"/>
          </w:tcPr>
          <w:p>
            <w:pPr>
              <w:spacing w:line="276"/>
              <w:jc w:val="left"/>
            </w:pPr>
            <w:r>
              <w:rPr>
                <w:rFonts w:ascii="Times New Roman" w:cs="Times New Roman" w:eastAsia="Times New Roman" w:hAnsi="Times New Roman"/>
                <w:sz w:val="20"/>
                <w:szCs w:val="20"/>
              </w:rPr>
              <w:t xml:space="preserve">Palanca de intervención (bucle B1)</w:t>
            </w:r>
          </w:p>
        </w:tc>
      </w:tr>
      <w:tr>
        <w:tc>
          <w:tcPr>
            <w:tcW w:type="dxa" w:w="2800"/>
            <w:tcMar>
              <w:top w:type="dxa" w:w="80"/>
              <w:left w:type="dxa" w:w="100"/>
              <w:bottom w:type="dxa" w:w="80"/>
              <w:right w:type="dxa" w:w="100"/>
            </w:tcMar>
            <w:vAlign w:val="center"/>
          </w:tcPr>
          <w:p>
            <w:pPr>
              <w:spacing w:line="276"/>
              <w:jc w:val="left"/>
            </w:pPr>
            <w:r>
              <w:rPr>
                <w:rFonts w:ascii="Times New Roman" w:cs="Times New Roman" w:eastAsia="Times New Roman" w:hAnsi="Times New Roman"/>
                <w:sz w:val="20"/>
                <w:szCs w:val="20"/>
              </w:rPr>
              <w:t xml:space="preserve">Municipalidad Metropolitana de Lima</w:t>
            </w:r>
          </w:p>
        </w:tc>
        <w:tc>
          <w:tcPr>
            <w:tcW w:type="dxa" w:w="3760"/>
            <w:tcMar>
              <w:top w:type="dxa" w:w="80"/>
              <w:left w:type="dxa" w:w="100"/>
              <w:bottom w:type="dxa" w:w="80"/>
              <w:right w:type="dxa" w:w="100"/>
            </w:tcMar>
            <w:vAlign w:val="center"/>
          </w:tcPr>
          <w:p>
            <w:pPr>
              <w:spacing w:line="276"/>
              <w:jc w:val="left"/>
            </w:pPr>
            <w:r>
              <w:rPr>
                <w:rFonts w:ascii="Times New Roman" w:cs="Times New Roman" w:eastAsia="Times New Roman" w:hAnsi="Times New Roman"/>
                <w:sz w:val="20"/>
                <w:szCs w:val="20"/>
              </w:rPr>
              <w:t xml:space="preserve">Gestión de transporte e infraestructura vial</w:t>
            </w:r>
          </w:p>
        </w:tc>
        <w:tc>
          <w:tcPr>
            <w:tcW w:type="dxa" w:w="2800"/>
            <w:tcMar>
              <w:top w:type="dxa" w:w="80"/>
              <w:left w:type="dxa" w:w="100"/>
              <w:bottom w:type="dxa" w:w="80"/>
              <w:right w:type="dxa" w:w="100"/>
            </w:tcMar>
            <w:vAlign w:val="center"/>
          </w:tcPr>
          <w:p>
            <w:pPr>
              <w:spacing w:line="276"/>
              <w:jc w:val="left"/>
            </w:pPr>
            <w:r>
              <w:rPr>
                <w:rFonts w:ascii="Times New Roman" w:cs="Times New Roman" w:eastAsia="Times New Roman" w:hAnsi="Times New Roman"/>
                <w:sz w:val="20"/>
                <w:szCs w:val="20"/>
              </w:rPr>
              <w:t xml:space="preserve">Influye en la densidad vehicular</w:t>
            </w:r>
          </w:p>
        </w:tc>
      </w:tr>
      <w:tr>
        <w:tc>
          <w:tcPr>
            <w:tcW w:type="dxa" w:w="2800"/>
            <w:tcMar>
              <w:top w:type="dxa" w:w="80"/>
              <w:left w:type="dxa" w:w="100"/>
              <w:bottom w:type="dxa" w:w="80"/>
              <w:right w:type="dxa" w:w="100"/>
            </w:tcMar>
            <w:vAlign w:val="center"/>
          </w:tcPr>
          <w:p>
            <w:pPr>
              <w:spacing w:line="276"/>
              <w:jc w:val="left"/>
            </w:pPr>
            <w:r>
              <w:rPr>
                <w:rFonts w:ascii="Times New Roman" w:cs="Times New Roman" w:eastAsia="Times New Roman" w:hAnsi="Times New Roman"/>
                <w:sz w:val="20"/>
                <w:szCs w:val="20"/>
              </w:rPr>
              <w:t xml:space="preserve">Parque automotor y transportistas</w:t>
            </w:r>
          </w:p>
        </w:tc>
        <w:tc>
          <w:tcPr>
            <w:tcW w:type="dxa" w:w="3760"/>
            <w:tcMar>
              <w:top w:type="dxa" w:w="80"/>
              <w:left w:type="dxa" w:w="100"/>
              <w:bottom w:type="dxa" w:w="80"/>
              <w:right w:type="dxa" w:w="100"/>
            </w:tcMar>
            <w:vAlign w:val="center"/>
          </w:tcPr>
          <w:p>
            <w:pPr>
              <w:spacing w:line="276"/>
              <w:jc w:val="left"/>
            </w:pPr>
            <w:r>
              <w:rPr>
                <w:rFonts w:ascii="Times New Roman" w:cs="Times New Roman" w:eastAsia="Times New Roman" w:hAnsi="Times New Roman"/>
                <w:sz w:val="20"/>
                <w:szCs w:val="20"/>
              </w:rPr>
              <w:t xml:space="preserve">Principal fuente de emisiones vehiculares</w:t>
            </w:r>
          </w:p>
        </w:tc>
        <w:tc>
          <w:tcPr>
            <w:tcW w:type="dxa" w:w="2800"/>
            <w:tcMar>
              <w:top w:type="dxa" w:w="80"/>
              <w:left w:type="dxa" w:w="100"/>
              <w:bottom w:type="dxa" w:w="80"/>
              <w:right w:type="dxa" w:w="100"/>
            </w:tcMar>
            <w:vAlign w:val="center"/>
          </w:tcPr>
          <w:p>
            <w:pPr>
              <w:spacing w:line="276"/>
              <w:jc w:val="left"/>
            </w:pPr>
            <w:r>
              <w:rPr>
                <w:rFonts w:ascii="Times New Roman" w:cs="Times New Roman" w:eastAsia="Times New Roman" w:hAnsi="Times New Roman"/>
                <w:sz w:val="20"/>
                <w:szCs w:val="20"/>
              </w:rPr>
              <w:t xml:space="preserve">Alimenta el flujo de emisiones</w:t>
            </w:r>
          </w:p>
        </w:tc>
      </w:tr>
      <w:tr>
        <w:tc>
          <w:tcPr>
            <w:tcW w:type="dxa" w:w="2800"/>
            <w:tcMar>
              <w:top w:type="dxa" w:w="80"/>
              <w:left w:type="dxa" w:w="100"/>
              <w:bottom w:type="dxa" w:w="80"/>
              <w:right w:type="dxa" w:w="100"/>
            </w:tcMar>
            <w:vAlign w:val="center"/>
          </w:tcPr>
          <w:p>
            <w:pPr>
              <w:spacing w:line="276"/>
              <w:jc w:val="left"/>
            </w:pPr>
            <w:r>
              <w:rPr>
                <w:rFonts w:ascii="Times New Roman" w:cs="Times New Roman" w:eastAsia="Times New Roman" w:hAnsi="Times New Roman"/>
                <w:sz w:val="20"/>
                <w:szCs w:val="20"/>
              </w:rPr>
              <w:t xml:space="preserve">Industrias locales</w:t>
            </w:r>
          </w:p>
        </w:tc>
        <w:tc>
          <w:tcPr>
            <w:tcW w:type="dxa" w:w="3760"/>
            <w:tcMar>
              <w:top w:type="dxa" w:w="80"/>
              <w:left w:type="dxa" w:w="100"/>
              <w:bottom w:type="dxa" w:w="80"/>
              <w:right w:type="dxa" w:w="100"/>
            </w:tcMar>
            <w:vAlign w:val="center"/>
          </w:tcPr>
          <w:p>
            <w:pPr>
              <w:spacing w:line="276"/>
              <w:jc w:val="left"/>
            </w:pPr>
            <w:r>
              <w:rPr>
                <w:rFonts w:ascii="Times New Roman" w:cs="Times New Roman" w:eastAsia="Times New Roman" w:hAnsi="Times New Roman"/>
                <w:sz w:val="20"/>
                <w:szCs w:val="20"/>
              </w:rPr>
              <w:t xml:space="preserve">Fuente adicional de emisiones</w:t>
            </w:r>
          </w:p>
        </w:tc>
        <w:tc>
          <w:tcPr>
            <w:tcW w:type="dxa" w:w="2800"/>
            <w:tcMar>
              <w:top w:type="dxa" w:w="80"/>
              <w:left w:type="dxa" w:w="100"/>
              <w:bottom w:type="dxa" w:w="80"/>
              <w:right w:type="dxa" w:w="100"/>
            </w:tcMar>
            <w:vAlign w:val="center"/>
          </w:tcPr>
          <w:p>
            <w:pPr>
              <w:spacing w:line="276"/>
              <w:jc w:val="left"/>
            </w:pPr>
            <w:r>
              <w:rPr>
                <w:rFonts w:ascii="Times New Roman" w:cs="Times New Roman" w:eastAsia="Times New Roman" w:hAnsi="Times New Roman"/>
                <w:sz w:val="20"/>
                <w:szCs w:val="20"/>
              </w:rPr>
              <w:t xml:space="preserve">Contribuye al flujo de emisiones</w:t>
            </w:r>
          </w:p>
        </w:tc>
      </w:tr>
      <w:tr>
        <w:tc>
          <w:tcPr>
            <w:tcW w:type="dxa" w:w="2800"/>
            <w:tcMar>
              <w:top w:type="dxa" w:w="80"/>
              <w:left w:type="dxa" w:w="100"/>
              <w:bottom w:type="dxa" w:w="80"/>
              <w:right w:type="dxa" w:w="100"/>
            </w:tcMar>
            <w:vAlign w:val="center"/>
          </w:tcPr>
          <w:p>
            <w:pPr>
              <w:spacing w:line="276"/>
              <w:jc w:val="left"/>
            </w:pPr>
            <w:r>
              <w:rPr>
                <w:rFonts w:ascii="Times New Roman" w:cs="Times New Roman" w:eastAsia="Times New Roman" w:hAnsi="Times New Roman"/>
                <w:sz w:val="20"/>
                <w:szCs w:val="20"/>
              </w:rPr>
              <w:t xml:space="preserve">Población residente</w:t>
            </w:r>
          </w:p>
        </w:tc>
        <w:tc>
          <w:tcPr>
            <w:tcW w:type="dxa" w:w="3760"/>
            <w:tcMar>
              <w:top w:type="dxa" w:w="80"/>
              <w:left w:type="dxa" w:w="100"/>
              <w:bottom w:type="dxa" w:w="80"/>
              <w:right w:type="dxa" w:w="100"/>
            </w:tcMar>
            <w:vAlign w:val="center"/>
          </w:tcPr>
          <w:p>
            <w:pPr>
              <w:spacing w:line="276"/>
              <w:jc w:val="left"/>
            </w:pPr>
            <w:r>
              <w:rPr>
                <w:rFonts w:ascii="Times New Roman" w:cs="Times New Roman" w:eastAsia="Times New Roman" w:hAnsi="Times New Roman"/>
                <w:sz w:val="20"/>
                <w:szCs w:val="20"/>
              </w:rPr>
              <w:t xml:space="preserve">Receptor de los efectos del sistema</w:t>
            </w:r>
          </w:p>
        </w:tc>
        <w:tc>
          <w:tcPr>
            <w:tcW w:type="dxa" w:w="2800"/>
            <w:tcMar>
              <w:top w:type="dxa" w:w="80"/>
              <w:left w:type="dxa" w:w="100"/>
              <w:bottom w:type="dxa" w:w="80"/>
              <w:right w:type="dxa" w:w="100"/>
            </w:tcMar>
            <w:vAlign w:val="center"/>
          </w:tcPr>
          <w:p>
            <w:pPr>
              <w:spacing w:line="276"/>
              <w:jc w:val="left"/>
            </w:pPr>
            <w:r>
              <w:rPr>
                <w:rFonts w:ascii="Times New Roman" w:cs="Times New Roman" w:eastAsia="Times New Roman" w:hAnsi="Times New Roman"/>
                <w:sz w:val="20"/>
                <w:szCs w:val="20"/>
              </w:rPr>
              <w:t xml:space="preserve">Puede activar el bucle regulatorio</w:t>
            </w:r>
          </w:p>
        </w:tc>
      </w:tr>
    </w:tbl>
    <w:p>
      <w:pPr>
        <w:pStyle w:val="Heading2"/>
        <w:spacing w:after="150" w:before="300" w:line="480"/>
        <w:jc w:val="left"/>
      </w:pPr>
      <w:r>
        <w:rPr>
          <w:rFonts w:ascii="Times New Roman" w:cs="Times New Roman" w:eastAsia="Times New Roman" w:hAnsi="Times New Roman"/>
          <w:b/>
          <w:bCs/>
          <w:color w:val="000000"/>
          <w:sz w:val="24"/>
          <w:szCs w:val="24"/>
        </w:rPr>
        <w:t xml:space="preserve">Elementos principales del sistema</w:t>
      </w:r>
    </w:p>
    <w:p>
      <w:pPr>
        <w:pStyle w:val="ListParagraph"/>
        <w:numPr>
          <w:ilvl w:val="0"/>
          <w:numId w:val="1"/>
        </w:numPr>
        <w:spacing w:after="100" w:line="480"/>
        <w:ind w:left="360"/>
      </w:pPr>
      <w:r>
        <w:rPr>
          <w:rFonts w:ascii="Times New Roman" w:cs="Times New Roman" w:eastAsia="Times New Roman" w:hAnsi="Times New Roman"/>
          <w:sz w:val="24"/>
          <w:szCs w:val="24"/>
        </w:rPr>
        <w:t xml:space="preserve">Fuente emisora: vehículos e industrias dentro de la frontera geográfica de SJL.</w:t>
      </w:r>
    </w:p>
    <w:p>
      <w:pPr>
        <w:pStyle w:val="ListParagraph"/>
        <w:numPr>
          <w:ilvl w:val="0"/>
          <w:numId w:val="1"/>
        </w:numPr>
        <w:spacing w:after="100" w:line="480"/>
        <w:ind w:left="360"/>
      </w:pPr>
      <w:r>
        <w:rPr>
          <w:rFonts w:ascii="Times New Roman" w:cs="Times New Roman" w:eastAsia="Times New Roman" w:hAnsi="Times New Roman"/>
          <w:sz w:val="24"/>
          <w:szCs w:val="24"/>
        </w:rPr>
        <w:t xml:space="preserve">Receptor atmosférico: la cuenca de SJL, cuya capacidad de dispersión depende de la topografía y el clima.</w:t>
      </w:r>
    </w:p>
    <w:p>
      <w:pPr>
        <w:pStyle w:val="ListParagraph"/>
        <w:numPr>
          <w:ilvl w:val="0"/>
          <w:numId w:val="1"/>
        </w:numPr>
        <w:spacing w:after="100" w:line="480"/>
        <w:ind w:left="360"/>
      </w:pPr>
      <w:r>
        <w:rPr>
          <w:rFonts w:ascii="Times New Roman" w:cs="Times New Roman" w:eastAsia="Times New Roman" w:hAnsi="Times New Roman"/>
          <w:sz w:val="24"/>
          <w:szCs w:val="24"/>
        </w:rPr>
        <w:t xml:space="preserve">Sistema de monitoreo: la estación SENAMHI de SJL.</w:t>
      </w:r>
    </w:p>
    <w:p>
      <w:pPr>
        <w:pStyle w:val="ListParagraph"/>
        <w:numPr>
          <w:ilvl w:val="0"/>
          <w:numId w:val="1"/>
        </w:numPr>
        <w:spacing w:after="100" w:line="480"/>
        <w:ind w:left="360"/>
      </w:pPr>
      <w:r>
        <w:rPr>
          <w:rFonts w:ascii="Times New Roman" w:cs="Times New Roman" w:eastAsia="Times New Roman" w:hAnsi="Times New Roman"/>
          <w:sz w:val="24"/>
          <w:szCs w:val="24"/>
        </w:rPr>
        <w:t xml:space="preserve">Marco regulatorio: el ECA-aire del MINAM.</w:t>
      </w:r>
    </w:p>
    <w:p>
      <w:pPr>
        <w:pStyle w:val="ListParagraph"/>
        <w:numPr>
          <w:ilvl w:val="0"/>
          <w:numId w:val="1"/>
        </w:numPr>
        <w:spacing w:after="100" w:line="480"/>
        <w:ind w:left="360"/>
      </w:pPr>
      <w:r>
        <w:rPr>
          <w:rFonts w:ascii="Times New Roman" w:cs="Times New Roman" w:eastAsia="Times New Roman" w:hAnsi="Times New Roman"/>
          <w:sz w:val="24"/>
          <w:szCs w:val="24"/>
        </w:rPr>
        <w:t xml:space="preserve">Población expuesta: conjunto de habitantes que recibe el efecto acumulado del sistema.</w:t>
      </w:r>
    </w:p>
    <w:p>
      <w:pPr>
        <w:pStyle w:val="Heading1"/>
        <w:spacing w:after="200" w:before="400" w:line="480"/>
        <w:jc w:val="center"/>
      </w:pPr>
      <w:r>
        <w:rPr>
          <w:rFonts w:ascii="Times New Roman" w:cs="Times New Roman" w:eastAsia="Times New Roman" w:hAnsi="Times New Roman"/>
          <w:b/>
          <w:bCs/>
          <w:color w:val="000000"/>
          <w:sz w:val="24"/>
          <w:szCs w:val="24"/>
        </w:rPr>
        <w:t xml:space="preserve">Variables principales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900"/>
        <w:gridCol w:w="2860"/>
      </w:tblGrid>
      <w:tr>
        <w:tc>
          <w:tcPr>
            <w:tcW w:type="dxa" w:w="3600"/>
            <w:shd w:fill="D9D9D9" w:val="clear"/>
            <w:tcMar>
              <w:top w:type="dxa" w:w="80"/>
              <w:left w:type="dxa" w:w="100"/>
              <w:bottom w:type="dxa" w:w="80"/>
              <w:right w:type="dxa" w:w="100"/>
            </w:tcMar>
            <w:vAlign w:val="center"/>
          </w:tcPr>
          <w:p>
            <w:pPr>
              <w:spacing w:line="276"/>
              <w:jc w:val="left"/>
            </w:pPr>
            <w:r>
              <w:rPr>
                <w:rFonts w:ascii="Times New Roman" w:cs="Times New Roman" w:eastAsia="Times New Roman" w:hAnsi="Times New Roman"/>
                <w:b/>
                <w:bCs/>
                <w:sz w:val="20"/>
                <w:szCs w:val="20"/>
              </w:rPr>
              <w:t xml:space="preserve">Variable</w:t>
            </w:r>
          </w:p>
        </w:tc>
        <w:tc>
          <w:tcPr>
            <w:tcW w:type="dxa" w:w="2900"/>
            <w:shd w:fill="D9D9D9" w:val="clear"/>
            <w:tcMar>
              <w:top w:type="dxa" w:w="80"/>
              <w:left w:type="dxa" w:w="100"/>
              <w:bottom w:type="dxa" w:w="80"/>
              <w:right w:type="dxa" w:w="100"/>
            </w:tcMar>
            <w:vAlign w:val="center"/>
          </w:tcPr>
          <w:p>
            <w:pPr>
              <w:spacing w:line="276"/>
              <w:jc w:val="left"/>
            </w:pPr>
            <w:r>
              <w:rPr>
                <w:rFonts w:ascii="Times New Roman" w:cs="Times New Roman" w:eastAsia="Times New Roman" w:hAnsi="Times New Roman"/>
                <w:b/>
                <w:bCs/>
                <w:sz w:val="20"/>
                <w:szCs w:val="20"/>
              </w:rPr>
              <w:t xml:space="preserve">Tipo</w:t>
            </w:r>
          </w:p>
        </w:tc>
        <w:tc>
          <w:tcPr>
            <w:tcW w:type="dxa" w:w="2860"/>
            <w:shd w:fill="D9D9D9" w:val="clear"/>
            <w:tcMar>
              <w:top w:type="dxa" w:w="80"/>
              <w:left w:type="dxa" w:w="100"/>
              <w:bottom w:type="dxa" w:w="80"/>
              <w:right w:type="dxa" w:w="100"/>
            </w:tcMar>
            <w:vAlign w:val="center"/>
          </w:tcPr>
          <w:p>
            <w:pPr>
              <w:spacing w:line="276"/>
              <w:jc w:val="left"/>
            </w:pPr>
            <w:r>
              <w:rPr>
                <w:rFonts w:ascii="Times New Roman" w:cs="Times New Roman" w:eastAsia="Times New Roman" w:hAnsi="Times New Roman"/>
                <w:b/>
                <w:bCs/>
                <w:sz w:val="20"/>
                <w:szCs w:val="20"/>
              </w:rPr>
              <w:t xml:space="preserve">Unidad</w:t>
            </w:r>
          </w:p>
        </w:tc>
      </w:tr>
      <w:tr>
        <w:tc>
          <w:tcPr>
            <w:tcW w:type="dxa" w:w="3600"/>
            <w:tcMar>
              <w:top w:type="dxa" w:w="80"/>
              <w:left w:type="dxa" w:w="100"/>
              <w:bottom w:type="dxa" w:w="80"/>
              <w:right w:type="dxa" w:w="100"/>
            </w:tcMar>
            <w:vAlign w:val="center"/>
          </w:tcPr>
          <w:p>
            <w:pPr>
              <w:spacing w:line="276"/>
              <w:jc w:val="left"/>
            </w:pPr>
            <w:r>
              <w:rPr>
                <w:rFonts w:ascii="Times New Roman" w:cs="Times New Roman" w:eastAsia="Times New Roman" w:hAnsi="Times New Roman"/>
                <w:sz w:val="20"/>
                <w:szCs w:val="20"/>
              </w:rPr>
              <w:t xml:space="preserve">Concentración de PM2.5</w:t>
            </w:r>
          </w:p>
        </w:tc>
        <w:tc>
          <w:tcPr>
            <w:tcW w:type="dxa" w:w="2900"/>
            <w:tcMar>
              <w:top w:type="dxa" w:w="80"/>
              <w:left w:type="dxa" w:w="100"/>
              <w:bottom w:type="dxa" w:w="80"/>
              <w:right w:type="dxa" w:w="100"/>
            </w:tcMar>
            <w:vAlign w:val="center"/>
          </w:tcPr>
          <w:p>
            <w:pPr>
              <w:spacing w:line="276"/>
              <w:jc w:val="left"/>
            </w:pPr>
            <w:r>
              <w:rPr>
                <w:rFonts w:ascii="Times New Roman" w:cs="Times New Roman" w:eastAsia="Times New Roman" w:hAnsi="Times New Roman"/>
                <w:sz w:val="20"/>
                <w:szCs w:val="20"/>
              </w:rPr>
              <w:t xml:space="preserve">Stock</w:t>
            </w:r>
          </w:p>
        </w:tc>
        <w:tc>
          <w:tcPr>
            <w:tcW w:type="dxa" w:w="2860"/>
            <w:tcMar>
              <w:top w:type="dxa" w:w="80"/>
              <w:left w:type="dxa" w:w="100"/>
              <w:bottom w:type="dxa" w:w="80"/>
              <w:right w:type="dxa" w:w="100"/>
            </w:tcMar>
            <w:vAlign w:val="center"/>
          </w:tcPr>
          <w:p>
            <w:pPr>
              <w:spacing w:line="276"/>
              <w:jc w:val="left"/>
            </w:pPr>
            <w:r>
              <w:rPr>
                <w:rFonts w:ascii="Times New Roman" w:cs="Times New Roman" w:eastAsia="Times New Roman" w:hAnsi="Times New Roman"/>
                <w:sz w:val="20"/>
                <w:szCs w:val="20"/>
              </w:rPr>
              <w:t xml:space="preserve">µg/m3</w:t>
            </w:r>
          </w:p>
        </w:tc>
      </w:tr>
      <w:tr>
        <w:tc>
          <w:tcPr>
            <w:tcW w:type="dxa" w:w="3600"/>
            <w:tcMar>
              <w:top w:type="dxa" w:w="80"/>
              <w:left w:type="dxa" w:w="100"/>
              <w:bottom w:type="dxa" w:w="80"/>
              <w:right w:type="dxa" w:w="100"/>
            </w:tcMar>
            <w:vAlign w:val="center"/>
          </w:tcPr>
          <w:p>
            <w:pPr>
              <w:spacing w:line="276"/>
              <w:jc w:val="left"/>
            </w:pPr>
            <w:r>
              <w:rPr>
                <w:rFonts w:ascii="Times New Roman" w:cs="Times New Roman" w:eastAsia="Times New Roman" w:hAnsi="Times New Roman"/>
                <w:sz w:val="20"/>
                <w:szCs w:val="20"/>
              </w:rPr>
              <w:t xml:space="preserve">Emisiones de contaminantes</w:t>
            </w:r>
          </w:p>
        </w:tc>
        <w:tc>
          <w:tcPr>
            <w:tcW w:type="dxa" w:w="2900"/>
            <w:tcMar>
              <w:top w:type="dxa" w:w="80"/>
              <w:left w:type="dxa" w:w="100"/>
              <w:bottom w:type="dxa" w:w="80"/>
              <w:right w:type="dxa" w:w="100"/>
            </w:tcMar>
            <w:vAlign w:val="center"/>
          </w:tcPr>
          <w:p>
            <w:pPr>
              <w:spacing w:line="276"/>
              <w:jc w:val="left"/>
            </w:pPr>
            <w:r>
              <w:rPr>
                <w:rFonts w:ascii="Times New Roman" w:cs="Times New Roman" w:eastAsia="Times New Roman" w:hAnsi="Times New Roman"/>
                <w:sz w:val="20"/>
                <w:szCs w:val="20"/>
              </w:rPr>
              <w:t xml:space="preserve">Flujo de entrada</w:t>
            </w:r>
          </w:p>
        </w:tc>
        <w:tc>
          <w:tcPr>
            <w:tcW w:type="dxa" w:w="2860"/>
            <w:tcMar>
              <w:top w:type="dxa" w:w="80"/>
              <w:left w:type="dxa" w:w="100"/>
              <w:bottom w:type="dxa" w:w="80"/>
              <w:right w:type="dxa" w:w="100"/>
            </w:tcMar>
            <w:vAlign w:val="center"/>
          </w:tcPr>
          <w:p>
            <w:pPr>
              <w:spacing w:line="276"/>
              <w:jc w:val="left"/>
            </w:pPr>
            <w:r>
              <w:rPr>
                <w:rFonts w:ascii="Times New Roman" w:cs="Times New Roman" w:eastAsia="Times New Roman" w:hAnsi="Times New Roman"/>
                <w:sz w:val="20"/>
                <w:szCs w:val="20"/>
              </w:rPr>
              <w:t xml:space="preserve">µg/m3 por mes</w:t>
            </w:r>
          </w:p>
        </w:tc>
      </w:tr>
      <w:tr>
        <w:tc>
          <w:tcPr>
            <w:tcW w:type="dxa" w:w="3600"/>
            <w:tcMar>
              <w:top w:type="dxa" w:w="80"/>
              <w:left w:type="dxa" w:w="100"/>
              <w:bottom w:type="dxa" w:w="80"/>
              <w:right w:type="dxa" w:w="100"/>
            </w:tcMar>
            <w:vAlign w:val="center"/>
          </w:tcPr>
          <w:p>
            <w:pPr>
              <w:spacing w:line="276"/>
              <w:jc w:val="left"/>
            </w:pPr>
            <w:r>
              <w:rPr>
                <w:rFonts w:ascii="Times New Roman" w:cs="Times New Roman" w:eastAsia="Times New Roman" w:hAnsi="Times New Roman"/>
                <w:sz w:val="20"/>
                <w:szCs w:val="20"/>
              </w:rPr>
              <w:t xml:space="preserve">Dispersión/depósito atmosférico</w:t>
            </w:r>
          </w:p>
        </w:tc>
        <w:tc>
          <w:tcPr>
            <w:tcW w:type="dxa" w:w="2900"/>
            <w:tcMar>
              <w:top w:type="dxa" w:w="80"/>
              <w:left w:type="dxa" w:w="100"/>
              <w:bottom w:type="dxa" w:w="80"/>
              <w:right w:type="dxa" w:w="100"/>
            </w:tcMar>
            <w:vAlign w:val="center"/>
          </w:tcPr>
          <w:p>
            <w:pPr>
              <w:spacing w:line="276"/>
              <w:jc w:val="left"/>
            </w:pPr>
            <w:r>
              <w:rPr>
                <w:rFonts w:ascii="Times New Roman" w:cs="Times New Roman" w:eastAsia="Times New Roman" w:hAnsi="Times New Roman"/>
                <w:sz w:val="20"/>
                <w:szCs w:val="20"/>
              </w:rPr>
              <w:t xml:space="preserve">Flujo de salida</w:t>
            </w:r>
          </w:p>
        </w:tc>
        <w:tc>
          <w:tcPr>
            <w:tcW w:type="dxa" w:w="2860"/>
            <w:tcMar>
              <w:top w:type="dxa" w:w="80"/>
              <w:left w:type="dxa" w:w="100"/>
              <w:bottom w:type="dxa" w:w="80"/>
              <w:right w:type="dxa" w:w="100"/>
            </w:tcMar>
            <w:vAlign w:val="center"/>
          </w:tcPr>
          <w:p>
            <w:pPr>
              <w:spacing w:line="276"/>
              <w:jc w:val="left"/>
            </w:pPr>
            <w:r>
              <w:rPr>
                <w:rFonts w:ascii="Times New Roman" w:cs="Times New Roman" w:eastAsia="Times New Roman" w:hAnsi="Times New Roman"/>
                <w:sz w:val="20"/>
                <w:szCs w:val="20"/>
              </w:rPr>
              <w:t xml:space="preserve">µg/m3 por mes</w:t>
            </w:r>
          </w:p>
        </w:tc>
      </w:tr>
      <w:tr>
        <w:tc>
          <w:tcPr>
            <w:tcW w:type="dxa" w:w="3600"/>
            <w:tcMar>
              <w:top w:type="dxa" w:w="80"/>
              <w:left w:type="dxa" w:w="100"/>
              <w:bottom w:type="dxa" w:w="80"/>
              <w:right w:type="dxa" w:w="100"/>
            </w:tcMar>
            <w:vAlign w:val="center"/>
          </w:tcPr>
          <w:p>
            <w:pPr>
              <w:spacing w:line="276"/>
              <w:jc w:val="left"/>
            </w:pPr>
            <w:r>
              <w:rPr>
                <w:rFonts w:ascii="Times New Roman" w:cs="Times New Roman" w:eastAsia="Times New Roman" w:hAnsi="Times New Roman"/>
                <w:sz w:val="20"/>
                <w:szCs w:val="20"/>
              </w:rPr>
              <w:t xml:space="preserve">Densidad vehicular</w:t>
            </w:r>
          </w:p>
        </w:tc>
        <w:tc>
          <w:tcPr>
            <w:tcW w:type="dxa" w:w="2900"/>
            <w:tcMar>
              <w:top w:type="dxa" w:w="80"/>
              <w:left w:type="dxa" w:w="100"/>
              <w:bottom w:type="dxa" w:w="80"/>
              <w:right w:type="dxa" w:w="100"/>
            </w:tcMar>
            <w:vAlign w:val="center"/>
          </w:tcPr>
          <w:p>
            <w:pPr>
              <w:spacing w:line="276"/>
              <w:jc w:val="left"/>
            </w:pPr>
            <w:r>
              <w:rPr>
                <w:rFonts w:ascii="Times New Roman" w:cs="Times New Roman" w:eastAsia="Times New Roman" w:hAnsi="Times New Roman"/>
                <w:sz w:val="20"/>
                <w:szCs w:val="20"/>
              </w:rPr>
              <w:t xml:space="preserve">Auxiliar</w:t>
            </w:r>
          </w:p>
        </w:tc>
        <w:tc>
          <w:tcPr>
            <w:tcW w:type="dxa" w:w="2860"/>
            <w:tcMar>
              <w:top w:type="dxa" w:w="80"/>
              <w:left w:type="dxa" w:w="100"/>
              <w:bottom w:type="dxa" w:w="80"/>
              <w:right w:type="dxa" w:w="100"/>
            </w:tcMar>
            <w:vAlign w:val="center"/>
          </w:tcPr>
          <w:p>
            <w:pPr>
              <w:spacing w:line="276"/>
              <w:jc w:val="left"/>
            </w:pPr>
            <w:r>
              <w:rPr>
                <w:rFonts w:ascii="Times New Roman" w:cs="Times New Roman" w:eastAsia="Times New Roman" w:hAnsi="Times New Roman"/>
                <w:sz w:val="20"/>
                <w:szCs w:val="20"/>
              </w:rPr>
              <w:t xml:space="preserve">vehículos/km2</w:t>
            </w:r>
          </w:p>
        </w:tc>
      </w:tr>
      <w:tr>
        <w:tc>
          <w:tcPr>
            <w:tcW w:type="dxa" w:w="3600"/>
            <w:tcMar>
              <w:top w:type="dxa" w:w="80"/>
              <w:left w:type="dxa" w:w="100"/>
              <w:bottom w:type="dxa" w:w="80"/>
              <w:right w:type="dxa" w:w="100"/>
            </w:tcMar>
            <w:vAlign w:val="center"/>
          </w:tcPr>
          <w:p>
            <w:pPr>
              <w:spacing w:line="276"/>
              <w:jc w:val="left"/>
            </w:pPr>
            <w:r>
              <w:rPr>
                <w:rFonts w:ascii="Times New Roman" w:cs="Times New Roman" w:eastAsia="Times New Roman" w:hAnsi="Times New Roman"/>
                <w:sz w:val="20"/>
                <w:szCs w:val="20"/>
              </w:rPr>
              <w:t xml:space="preserve">Velocidad del viento</w:t>
            </w:r>
          </w:p>
        </w:tc>
        <w:tc>
          <w:tcPr>
            <w:tcW w:type="dxa" w:w="2900"/>
            <w:tcMar>
              <w:top w:type="dxa" w:w="80"/>
              <w:left w:type="dxa" w:w="100"/>
              <w:bottom w:type="dxa" w:w="80"/>
              <w:right w:type="dxa" w:w="100"/>
            </w:tcMar>
            <w:vAlign w:val="center"/>
          </w:tcPr>
          <w:p>
            <w:pPr>
              <w:spacing w:line="276"/>
              <w:jc w:val="left"/>
            </w:pPr>
            <w:r>
              <w:rPr>
                <w:rFonts w:ascii="Times New Roman" w:cs="Times New Roman" w:eastAsia="Times New Roman" w:hAnsi="Times New Roman"/>
                <w:sz w:val="20"/>
                <w:szCs w:val="20"/>
              </w:rPr>
              <w:t xml:space="preserve">Auxiliar</w:t>
            </w:r>
          </w:p>
        </w:tc>
        <w:tc>
          <w:tcPr>
            <w:tcW w:type="dxa" w:w="2860"/>
            <w:tcMar>
              <w:top w:type="dxa" w:w="80"/>
              <w:left w:type="dxa" w:w="100"/>
              <w:bottom w:type="dxa" w:w="80"/>
              <w:right w:type="dxa" w:w="100"/>
            </w:tcMar>
            <w:vAlign w:val="center"/>
          </w:tcPr>
          <w:p>
            <w:pPr>
              <w:spacing w:line="276"/>
              <w:jc w:val="left"/>
            </w:pPr>
            <w:r>
              <w:rPr>
                <w:rFonts w:ascii="Times New Roman" w:cs="Times New Roman" w:eastAsia="Times New Roman" w:hAnsi="Times New Roman"/>
                <w:sz w:val="20"/>
                <w:szCs w:val="20"/>
              </w:rPr>
              <w:t xml:space="preserve">m/s</w:t>
            </w:r>
          </w:p>
        </w:tc>
      </w:tr>
      <w:tr>
        <w:tc>
          <w:tcPr>
            <w:tcW w:type="dxa" w:w="3600"/>
            <w:tcMar>
              <w:top w:type="dxa" w:w="80"/>
              <w:left w:type="dxa" w:w="100"/>
              <w:bottom w:type="dxa" w:w="80"/>
              <w:right w:type="dxa" w:w="100"/>
            </w:tcMar>
            <w:vAlign w:val="center"/>
          </w:tcPr>
          <w:p>
            <w:pPr>
              <w:spacing w:line="276"/>
              <w:jc w:val="left"/>
            </w:pPr>
            <w:r>
              <w:rPr>
                <w:rFonts w:ascii="Times New Roman" w:cs="Times New Roman" w:eastAsia="Times New Roman" w:hAnsi="Times New Roman"/>
                <w:sz w:val="20"/>
                <w:szCs w:val="20"/>
              </w:rPr>
              <w:t xml:space="preserve">Precipitación</w:t>
            </w:r>
          </w:p>
        </w:tc>
        <w:tc>
          <w:tcPr>
            <w:tcW w:type="dxa" w:w="2900"/>
            <w:tcMar>
              <w:top w:type="dxa" w:w="80"/>
              <w:left w:type="dxa" w:w="100"/>
              <w:bottom w:type="dxa" w:w="80"/>
              <w:right w:type="dxa" w:w="100"/>
            </w:tcMar>
            <w:vAlign w:val="center"/>
          </w:tcPr>
          <w:p>
            <w:pPr>
              <w:spacing w:line="276"/>
              <w:jc w:val="left"/>
            </w:pPr>
            <w:r>
              <w:rPr>
                <w:rFonts w:ascii="Times New Roman" w:cs="Times New Roman" w:eastAsia="Times New Roman" w:hAnsi="Times New Roman"/>
                <w:sz w:val="20"/>
                <w:szCs w:val="20"/>
              </w:rPr>
              <w:t xml:space="preserve">Auxiliar</w:t>
            </w:r>
          </w:p>
        </w:tc>
        <w:tc>
          <w:tcPr>
            <w:tcW w:type="dxa" w:w="2860"/>
            <w:tcMar>
              <w:top w:type="dxa" w:w="80"/>
              <w:left w:type="dxa" w:w="100"/>
              <w:bottom w:type="dxa" w:w="80"/>
              <w:right w:type="dxa" w:w="100"/>
            </w:tcMar>
            <w:vAlign w:val="center"/>
          </w:tcPr>
          <w:p>
            <w:pPr>
              <w:spacing w:line="276"/>
              <w:jc w:val="left"/>
            </w:pPr>
            <w:r>
              <w:rPr>
                <w:rFonts w:ascii="Times New Roman" w:cs="Times New Roman" w:eastAsia="Times New Roman" w:hAnsi="Times New Roman"/>
                <w:sz w:val="20"/>
                <w:szCs w:val="20"/>
              </w:rPr>
              <w:t xml:space="preserve">mm/mes</w:t>
            </w:r>
          </w:p>
        </w:tc>
      </w:tr>
      <w:tr>
        <w:tc>
          <w:tcPr>
            <w:tcW w:type="dxa" w:w="3600"/>
            <w:tcMar>
              <w:top w:type="dxa" w:w="80"/>
              <w:left w:type="dxa" w:w="100"/>
              <w:bottom w:type="dxa" w:w="80"/>
              <w:right w:type="dxa" w:w="100"/>
            </w:tcMar>
            <w:vAlign w:val="center"/>
          </w:tcPr>
          <w:p>
            <w:pPr>
              <w:spacing w:line="276"/>
              <w:jc w:val="left"/>
            </w:pPr>
            <w:r>
              <w:rPr>
                <w:rFonts w:ascii="Times New Roman" w:cs="Times New Roman" w:eastAsia="Times New Roman" w:hAnsi="Times New Roman"/>
                <w:sz w:val="20"/>
                <w:szCs w:val="20"/>
              </w:rPr>
              <w:t xml:space="preserve">Viento normalizado / Precipitación normalizada</w:t>
            </w:r>
          </w:p>
        </w:tc>
        <w:tc>
          <w:tcPr>
            <w:tcW w:type="dxa" w:w="2900"/>
            <w:tcMar>
              <w:top w:type="dxa" w:w="80"/>
              <w:left w:type="dxa" w:w="100"/>
              <w:bottom w:type="dxa" w:w="80"/>
              <w:right w:type="dxa" w:w="100"/>
            </w:tcMar>
            <w:vAlign w:val="center"/>
          </w:tcPr>
          <w:p>
            <w:pPr>
              <w:spacing w:line="276"/>
              <w:jc w:val="left"/>
            </w:pPr>
            <w:r>
              <w:rPr>
                <w:rFonts w:ascii="Times New Roman" w:cs="Times New Roman" w:eastAsia="Times New Roman" w:hAnsi="Times New Roman"/>
                <w:sz w:val="20"/>
                <w:szCs w:val="20"/>
              </w:rPr>
              <w:t xml:space="preserve">Auxiliar derivado</w:t>
            </w:r>
          </w:p>
        </w:tc>
        <w:tc>
          <w:tcPr>
            <w:tcW w:type="dxa" w:w="2860"/>
            <w:tcMar>
              <w:top w:type="dxa" w:w="80"/>
              <w:left w:type="dxa" w:w="100"/>
              <w:bottom w:type="dxa" w:w="80"/>
              <w:right w:type="dxa" w:w="100"/>
            </w:tcMar>
            <w:vAlign w:val="center"/>
          </w:tcPr>
          <w:p>
            <w:pPr>
              <w:spacing w:line="276"/>
              <w:jc w:val="left"/>
            </w:pPr>
            <w:r>
              <w:rPr>
                <w:rFonts w:ascii="Times New Roman" w:cs="Times New Roman" w:eastAsia="Times New Roman" w:hAnsi="Times New Roman"/>
                <w:sz w:val="20"/>
                <w:szCs w:val="20"/>
              </w:rPr>
              <w:t xml:space="preserve">adimensional</w:t>
            </w:r>
          </w:p>
        </w:tc>
      </w:tr>
      <w:tr>
        <w:tc>
          <w:tcPr>
            <w:tcW w:type="dxa" w:w="3600"/>
            <w:tcMar>
              <w:top w:type="dxa" w:w="80"/>
              <w:left w:type="dxa" w:w="100"/>
              <w:bottom w:type="dxa" w:w="80"/>
              <w:right w:type="dxa" w:w="100"/>
            </w:tcMar>
            <w:vAlign w:val="center"/>
          </w:tcPr>
          <w:p>
            <w:pPr>
              <w:spacing w:line="276"/>
              <w:jc w:val="left"/>
            </w:pPr>
            <w:r>
              <w:rPr>
                <w:rFonts w:ascii="Times New Roman" w:cs="Times New Roman" w:eastAsia="Times New Roman" w:hAnsi="Times New Roman"/>
                <w:sz w:val="20"/>
                <w:szCs w:val="20"/>
              </w:rPr>
              <w:t xml:space="preserve">Índice de calidad del aire</w:t>
            </w:r>
          </w:p>
        </w:tc>
        <w:tc>
          <w:tcPr>
            <w:tcW w:type="dxa" w:w="2900"/>
            <w:tcMar>
              <w:top w:type="dxa" w:w="80"/>
              <w:left w:type="dxa" w:w="100"/>
              <w:bottom w:type="dxa" w:w="80"/>
              <w:right w:type="dxa" w:w="100"/>
            </w:tcMar>
            <w:vAlign w:val="center"/>
          </w:tcPr>
          <w:p>
            <w:pPr>
              <w:spacing w:line="276"/>
              <w:jc w:val="left"/>
            </w:pPr>
            <w:r>
              <w:rPr>
                <w:rFonts w:ascii="Times New Roman" w:cs="Times New Roman" w:eastAsia="Times New Roman" w:hAnsi="Times New Roman"/>
                <w:sz w:val="20"/>
                <w:szCs w:val="20"/>
              </w:rPr>
              <w:t xml:space="preserve">Auxiliar</w:t>
            </w:r>
          </w:p>
        </w:tc>
        <w:tc>
          <w:tcPr>
            <w:tcW w:type="dxa" w:w="2860"/>
            <w:tcMar>
              <w:top w:type="dxa" w:w="80"/>
              <w:left w:type="dxa" w:w="100"/>
              <w:bottom w:type="dxa" w:w="80"/>
              <w:right w:type="dxa" w:w="100"/>
            </w:tcMar>
            <w:vAlign w:val="center"/>
          </w:tcPr>
          <w:p>
            <w:pPr>
              <w:spacing w:line="276"/>
              <w:jc w:val="left"/>
            </w:pPr>
            <w:r>
              <w:rPr>
                <w:rFonts w:ascii="Times New Roman" w:cs="Times New Roman" w:eastAsia="Times New Roman" w:hAnsi="Times New Roman"/>
                <w:sz w:val="20"/>
                <w:szCs w:val="20"/>
              </w:rPr>
              <w:t xml:space="preserve">índice (0-500)</w:t>
            </w:r>
          </w:p>
        </w:tc>
      </w:tr>
      <w:tr>
        <w:tc>
          <w:tcPr>
            <w:tcW w:type="dxa" w:w="3600"/>
            <w:tcMar>
              <w:top w:type="dxa" w:w="80"/>
              <w:left w:type="dxa" w:w="100"/>
              <w:bottom w:type="dxa" w:w="80"/>
              <w:right w:type="dxa" w:w="100"/>
            </w:tcMar>
            <w:vAlign w:val="center"/>
          </w:tcPr>
          <w:p>
            <w:pPr>
              <w:spacing w:line="276"/>
              <w:jc w:val="left"/>
            </w:pPr>
            <w:r>
              <w:rPr>
                <w:rFonts w:ascii="Times New Roman" w:cs="Times New Roman" w:eastAsia="Times New Roman" w:hAnsi="Times New Roman"/>
                <w:sz w:val="20"/>
                <w:szCs w:val="20"/>
              </w:rPr>
              <w:t xml:space="preserve">Tasa de emisión vehicular</w:t>
            </w:r>
          </w:p>
        </w:tc>
        <w:tc>
          <w:tcPr>
            <w:tcW w:type="dxa" w:w="2900"/>
            <w:tcMar>
              <w:top w:type="dxa" w:w="80"/>
              <w:left w:type="dxa" w:w="100"/>
              <w:bottom w:type="dxa" w:w="80"/>
              <w:right w:type="dxa" w:w="100"/>
            </w:tcMar>
            <w:vAlign w:val="center"/>
          </w:tcPr>
          <w:p>
            <w:pPr>
              <w:spacing w:line="276"/>
              <w:jc w:val="left"/>
            </w:pPr>
            <w:r>
              <w:rPr>
                <w:rFonts w:ascii="Times New Roman" w:cs="Times New Roman" w:eastAsia="Times New Roman" w:hAnsi="Times New Roman"/>
                <w:sz w:val="20"/>
                <w:szCs w:val="20"/>
              </w:rPr>
              <w:t xml:space="preserve">Parámetro</w:t>
            </w:r>
          </w:p>
        </w:tc>
        <w:tc>
          <w:tcPr>
            <w:tcW w:type="dxa" w:w="2860"/>
            <w:tcMar>
              <w:top w:type="dxa" w:w="80"/>
              <w:left w:type="dxa" w:w="100"/>
              <w:bottom w:type="dxa" w:w="80"/>
              <w:right w:type="dxa" w:w="100"/>
            </w:tcMar>
            <w:vAlign w:val="center"/>
          </w:tcPr>
          <w:p>
            <w:pPr>
              <w:spacing w:line="276"/>
              <w:jc w:val="left"/>
            </w:pPr>
            <w:r>
              <w:rPr>
                <w:rFonts w:ascii="Times New Roman" w:cs="Times New Roman" w:eastAsia="Times New Roman" w:hAnsi="Times New Roman"/>
                <w:sz w:val="20"/>
                <w:szCs w:val="20"/>
              </w:rPr>
              <w:t xml:space="preserve">µg/m3 por vehículo</w:t>
            </w:r>
          </w:p>
        </w:tc>
      </w:tr>
      <w:tr>
        <w:tc>
          <w:tcPr>
            <w:tcW w:type="dxa" w:w="3600"/>
            <w:tcMar>
              <w:top w:type="dxa" w:w="80"/>
              <w:left w:type="dxa" w:w="100"/>
              <w:bottom w:type="dxa" w:w="80"/>
              <w:right w:type="dxa" w:w="100"/>
            </w:tcMar>
            <w:vAlign w:val="center"/>
          </w:tcPr>
          <w:p>
            <w:pPr>
              <w:spacing w:line="276"/>
              <w:jc w:val="left"/>
            </w:pPr>
            <w:r>
              <w:rPr>
                <w:rFonts w:ascii="Times New Roman" w:cs="Times New Roman" w:eastAsia="Times New Roman" w:hAnsi="Times New Roman"/>
                <w:sz w:val="20"/>
                <w:szCs w:val="20"/>
              </w:rPr>
              <w:t xml:space="preserve">Capacidad de dispersión natural</w:t>
            </w:r>
          </w:p>
        </w:tc>
        <w:tc>
          <w:tcPr>
            <w:tcW w:type="dxa" w:w="2900"/>
            <w:tcMar>
              <w:top w:type="dxa" w:w="80"/>
              <w:left w:type="dxa" w:w="100"/>
              <w:bottom w:type="dxa" w:w="80"/>
              <w:right w:type="dxa" w:w="100"/>
            </w:tcMar>
            <w:vAlign w:val="center"/>
          </w:tcPr>
          <w:p>
            <w:pPr>
              <w:spacing w:line="276"/>
              <w:jc w:val="left"/>
            </w:pPr>
            <w:r>
              <w:rPr>
                <w:rFonts w:ascii="Times New Roman" w:cs="Times New Roman" w:eastAsia="Times New Roman" w:hAnsi="Times New Roman"/>
                <w:sz w:val="20"/>
                <w:szCs w:val="20"/>
              </w:rPr>
              <w:t xml:space="preserve">Parámetro</w:t>
            </w:r>
          </w:p>
        </w:tc>
        <w:tc>
          <w:tcPr>
            <w:tcW w:type="dxa" w:w="2860"/>
            <w:tcMar>
              <w:top w:type="dxa" w:w="80"/>
              <w:left w:type="dxa" w:w="100"/>
              <w:bottom w:type="dxa" w:w="80"/>
              <w:right w:type="dxa" w:w="100"/>
            </w:tcMar>
            <w:vAlign w:val="center"/>
          </w:tcPr>
          <w:p>
            <w:pPr>
              <w:spacing w:line="276"/>
              <w:jc w:val="left"/>
            </w:pPr>
            <w:r>
              <w:rPr>
                <w:rFonts w:ascii="Times New Roman" w:cs="Times New Roman" w:eastAsia="Times New Roman" w:hAnsi="Times New Roman"/>
                <w:sz w:val="20"/>
                <w:szCs w:val="20"/>
              </w:rPr>
              <w:t xml:space="preserve">1/mes</w:t>
            </w:r>
          </w:p>
        </w:tc>
      </w:tr>
      <w:tr>
        <w:tc>
          <w:tcPr>
            <w:tcW w:type="dxa" w:w="3600"/>
            <w:tcMar>
              <w:top w:type="dxa" w:w="80"/>
              <w:left w:type="dxa" w:w="100"/>
              <w:bottom w:type="dxa" w:w="80"/>
              <w:right w:type="dxa" w:w="100"/>
            </w:tcMar>
            <w:vAlign w:val="center"/>
          </w:tcPr>
          <w:p>
            <w:pPr>
              <w:spacing w:line="276"/>
              <w:jc w:val="left"/>
            </w:pPr>
            <w:r>
              <w:rPr>
                <w:rFonts w:ascii="Times New Roman" w:cs="Times New Roman" w:eastAsia="Times New Roman" w:hAnsi="Times New Roman"/>
                <w:sz w:val="20"/>
                <w:szCs w:val="20"/>
              </w:rPr>
              <w:t xml:space="preserve">Estándar de Calidad Ambiental (ECA)</w:t>
            </w:r>
          </w:p>
        </w:tc>
        <w:tc>
          <w:tcPr>
            <w:tcW w:type="dxa" w:w="2900"/>
            <w:tcMar>
              <w:top w:type="dxa" w:w="80"/>
              <w:left w:type="dxa" w:w="100"/>
              <w:bottom w:type="dxa" w:w="80"/>
              <w:right w:type="dxa" w:w="100"/>
            </w:tcMar>
            <w:vAlign w:val="center"/>
          </w:tcPr>
          <w:p>
            <w:pPr>
              <w:spacing w:line="276"/>
              <w:jc w:val="left"/>
            </w:pPr>
            <w:r>
              <w:rPr>
                <w:rFonts w:ascii="Times New Roman" w:cs="Times New Roman" w:eastAsia="Times New Roman" w:hAnsi="Times New Roman"/>
                <w:sz w:val="20"/>
                <w:szCs w:val="20"/>
              </w:rPr>
              <w:t xml:space="preserve">Parámetro de referencia</w:t>
            </w:r>
          </w:p>
        </w:tc>
        <w:tc>
          <w:tcPr>
            <w:tcW w:type="dxa" w:w="2860"/>
            <w:tcMar>
              <w:top w:type="dxa" w:w="80"/>
              <w:left w:type="dxa" w:w="100"/>
              <w:bottom w:type="dxa" w:w="80"/>
              <w:right w:type="dxa" w:w="100"/>
            </w:tcMar>
            <w:vAlign w:val="center"/>
          </w:tcPr>
          <w:p>
            <w:pPr>
              <w:spacing w:line="276"/>
              <w:jc w:val="left"/>
            </w:pPr>
            <w:r>
              <w:rPr>
                <w:rFonts w:ascii="Times New Roman" w:cs="Times New Roman" w:eastAsia="Times New Roman" w:hAnsi="Times New Roman"/>
                <w:sz w:val="20"/>
                <w:szCs w:val="20"/>
              </w:rPr>
              <w:t xml:space="preserve">µg/m3</w:t>
            </w:r>
          </w:p>
        </w:tc>
      </w:tr>
    </w:tbl>
    <w:p>
      <w:pPr>
        <w:pStyle w:val="Heading2"/>
        <w:spacing w:after="150" w:before="300" w:line="480"/>
        <w:jc w:val="left"/>
      </w:pPr>
      <w:r>
        <w:rPr>
          <w:rFonts w:ascii="Times New Roman" w:cs="Times New Roman" w:eastAsia="Times New Roman" w:hAnsi="Times New Roman"/>
          <w:b/>
          <w:bCs/>
          <w:color w:val="000000"/>
          <w:sz w:val="24"/>
          <w:szCs w:val="24"/>
        </w:rPr>
        <w:t xml:space="preserve">Nota de consistencia para el equipo</w:t>
      </w:r>
    </w:p>
    <w:p>
      <w:pPr>
        <w:spacing w:after="200" w:before="0" w:line="480"/>
        <w:jc w:val="both"/>
      </w:pPr>
      <w:r>
        <w:rPr>
          <w:rFonts w:ascii="Times New Roman" w:cs="Times New Roman" w:eastAsia="Times New Roman" w:hAnsi="Times New Roman"/>
          <w:sz w:val="24"/>
          <w:szCs w:val="24"/>
        </w:rPr>
        <w:t xml:space="preserve">Estas son las variables exactas que las Partes 2 y 3 utilizan para las ecuaciones del modelo stock-flujo y los escenarios. Se incorporan los auxiliares normalizados de viento y precipitación (ver Sección 15) para asegurar consistencia dimensional en la ecuación de dispersión.</w:t>
      </w:r>
    </w:p>
    <w:p>
      <w:pPr>
        <w:pStyle w:val="Heading1"/>
        <w:spacing w:after="200" w:before="400" w:line="480"/>
        <w:jc w:val="center"/>
      </w:pPr>
      <w:r>
        <w:rPr>
          <w:rFonts w:ascii="Times New Roman" w:cs="Times New Roman" w:eastAsia="Times New Roman" w:hAnsi="Times New Roman"/>
          <w:b/>
          <w:bCs/>
          <w:color w:val="000000"/>
          <w:sz w:val="24"/>
          <w:szCs w:val="24"/>
        </w:rPr>
        <w:t xml:space="preserve">Gráficas de comportamiento en el tiempo (BOT)</w:t>
      </w:r>
    </w:p>
    <w:p>
      <w:pPr>
        <w:spacing w:after="200" w:before="0" w:line="480"/>
        <w:jc w:val="both"/>
      </w:pPr>
      <w:r>
        <w:rPr>
          <w:rFonts w:ascii="Times New Roman" w:cs="Times New Roman" w:eastAsia="Times New Roman" w:hAnsi="Times New Roman"/>
          <w:sz w:val="24"/>
          <w:szCs w:val="24"/>
        </w:rPr>
        <w:t xml:space="preserve">Fuente de datos: SENAMHI, estación San Juan de Lurigancho, dataset real descargado de la Plataforma Nacional de Datos Abiertos (SENAMHI, 2024). Ventana de calibración: 2020-2022, por presentar la mejor cobertura horaria disponible.</w:t>
      </w:r>
    </w:p>
    <w:p>
      <w:pPr>
        <w:pStyle w:val="Heading2"/>
        <w:spacing w:after="150" w:before="300" w:line="480"/>
        <w:jc w:val="left"/>
      </w:pPr>
      <w:r>
        <w:rPr>
          <w:rFonts w:ascii="Times New Roman" w:cs="Times New Roman" w:eastAsia="Times New Roman" w:hAnsi="Times New Roman"/>
          <w:b/>
          <w:bCs/>
          <w:color w:val="000000"/>
          <w:sz w:val="24"/>
          <w:szCs w:val="24"/>
        </w:rPr>
        <w:t xml:space="preserve">Gráfica 1: Concentración mensual de PM2.5 frente al Estándar de Calidad Ambiental</w:t>
      </w:r>
    </w:p>
    <w:p>
      <w:pPr>
        <w:spacing w:after="100" w:before="200"/>
        <w:jc w:val="center"/>
      </w:pPr>
      <w:r>
        <w:drawing>
          <wp:inline distT="0" distB="0" distL="0" distR="0">
            <wp:extent cx="4953000" cy="2247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953000" cy="2247900"/>
                    </a:xfrm>
                    <a:prstGeom prst="rect">
                      <a:avLst/>
                    </a:prstGeom>
                  </pic:spPr>
                </pic:pic>
              </a:graphicData>
            </a:graphic>
          </wp:inline>
        </w:drawing>
      </w:r>
    </w:p>
    <w:p>
      <w:pPr>
        <w:spacing w:after="300"/>
        <w:jc w:val="center"/>
      </w:pPr>
      <w:r>
        <w:rPr>
          <w:rFonts w:ascii="Times New Roman" w:cs="Times New Roman" w:eastAsia="Times New Roman" w:hAnsi="Times New Roman"/>
          <w:i/>
          <w:iCs/>
          <w:sz w:val="20"/>
          <w:szCs w:val="20"/>
        </w:rPr>
        <w:t xml:space="preserve">Figura 1. Concentración mensual promedio de PM2.5 en San Juan de Lurigancho (2020-2022), comparada con el valor anual del ECA-aire (25 µg/m3; MINAM, 2017).</w:t>
      </w:r>
    </w:p>
    <w:p>
      <w:pPr>
        <w:spacing w:after="200" w:before="0" w:line="480"/>
        <w:jc w:val="both"/>
      </w:pPr>
      <w:r>
        <w:rPr>
          <w:rFonts w:ascii="Times New Roman" w:cs="Times New Roman" w:eastAsia="Times New Roman" w:hAnsi="Times New Roman"/>
          <w:sz w:val="24"/>
          <w:szCs w:val="24"/>
        </w:rPr>
        <w:t xml:space="preserve">La serie muestra que la concentración de PM2.5 no se mantiene estable: parte baja en 2020, sube progresivamente durante 2021, y alcanza su punto más alto en agosto de 2022 (56.2 µg/m3), más del doble del valor anual de referencia.</w:t>
      </w:r>
    </w:p>
    <w:p>
      <w:pPr>
        <w:pStyle w:val="Heading2"/>
        <w:spacing w:after="150" w:before="300" w:line="480"/>
        <w:jc w:val="left"/>
      </w:pPr>
      <w:r>
        <w:rPr>
          <w:rFonts w:ascii="Times New Roman" w:cs="Times New Roman" w:eastAsia="Times New Roman" w:hAnsi="Times New Roman"/>
          <w:b/>
          <w:bCs/>
          <w:color w:val="000000"/>
          <w:sz w:val="24"/>
          <w:szCs w:val="24"/>
        </w:rPr>
        <w:t xml:space="preserve">Gráfica 2: Estacionalidad (patrón mensual recurrente)</w:t>
      </w:r>
    </w:p>
    <w:p>
      <w:pPr>
        <w:spacing w:after="100" w:before="200"/>
        <w:jc w:val="center"/>
      </w:pPr>
      <w:r>
        <w:drawing>
          <wp:inline distT="0" distB="0" distL="0" distR="0">
            <wp:extent cx="4572000" cy="228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572000" cy="2286000"/>
                    </a:xfrm>
                    <a:prstGeom prst="rect">
                      <a:avLst/>
                    </a:prstGeom>
                  </pic:spPr>
                </pic:pic>
              </a:graphicData>
            </a:graphic>
          </wp:inline>
        </w:drawing>
      </w:r>
    </w:p>
    <w:p>
      <w:pPr>
        <w:spacing w:after="300"/>
        <w:jc w:val="center"/>
      </w:pPr>
      <w:r>
        <w:rPr>
          <w:rFonts w:ascii="Times New Roman" w:cs="Times New Roman" w:eastAsia="Times New Roman" w:hAnsi="Times New Roman"/>
          <w:i/>
          <w:iCs/>
          <w:sz w:val="20"/>
          <w:szCs w:val="20"/>
        </w:rPr>
        <w:t xml:space="preserve">Figura 2. Concentración promedio de PM2.5 por mes del año en San Juan de Lurigancho (2020-2022).</w:t>
      </w:r>
    </w:p>
    <w:p>
      <w:pPr>
        <w:spacing w:after="200" w:before="0" w:line="480"/>
        <w:jc w:val="both"/>
      </w:pPr>
      <w:r>
        <w:rPr>
          <w:rFonts w:ascii="Times New Roman" w:cs="Times New Roman" w:eastAsia="Times New Roman" w:hAnsi="Times New Roman"/>
          <w:sz w:val="24"/>
          <w:szCs w:val="24"/>
        </w:rPr>
        <w:t xml:space="preserve">Los valores más altos de PM2.5 se concentran en los meses de invierno limeño, consistente con el bucle B2: la menor circulación de viento y la inversión térmica típica de esta temporada reducen la capacidad de dispersión atmosférica.</w:t>
      </w:r>
    </w:p>
    <w:p>
      <w:pPr>
        <w:pStyle w:val="Heading2"/>
        <w:spacing w:after="150" w:before="300" w:line="480"/>
        <w:jc w:val="left"/>
      </w:pPr>
      <w:r>
        <w:rPr>
          <w:rFonts w:ascii="Times New Roman" w:cs="Times New Roman" w:eastAsia="Times New Roman" w:hAnsi="Times New Roman"/>
          <w:b/>
          <w:bCs/>
          <w:color w:val="000000"/>
          <w:sz w:val="24"/>
          <w:szCs w:val="24"/>
        </w:rPr>
        <w:t xml:space="preserve">Gráfica 3: Efecto de un shock externo real (cuarentena COVID-19)</w:t>
      </w:r>
    </w:p>
    <w:p>
      <w:pPr>
        <w:spacing w:after="100" w:before="200"/>
        <w:jc w:val="center"/>
      </w:pPr>
      <w:r>
        <w:drawing>
          <wp:inline distT="0" distB="0" distL="0" distR="0">
            <wp:extent cx="4191000" cy="2619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191000" cy="2619375"/>
                    </a:xfrm>
                    <a:prstGeom prst="rect">
                      <a:avLst/>
                    </a:prstGeom>
                  </pic:spPr>
                </pic:pic>
              </a:graphicData>
            </a:graphic>
          </wp:inline>
        </w:drawing>
      </w:r>
    </w:p>
    <w:p>
      <w:pPr>
        <w:spacing w:after="300"/>
        <w:jc w:val="center"/>
      </w:pPr>
      <w:r>
        <w:rPr>
          <w:rFonts w:ascii="Times New Roman" w:cs="Times New Roman" w:eastAsia="Times New Roman" w:hAnsi="Times New Roman"/>
          <w:i/>
          <w:iCs/>
          <w:sz w:val="20"/>
          <w:szCs w:val="20"/>
        </w:rPr>
        <w:t xml:space="preserve">Figura 3. Concentración promedio anual de PM2.5 en San Juan de Lurigancho, 2019-2022.</w:t>
      </w:r>
    </w:p>
    <w:p>
      <w:pPr>
        <w:spacing w:after="200" w:before="0" w:line="480"/>
        <w:jc w:val="both"/>
      </w:pPr>
      <w:r>
        <w:rPr>
          <w:rFonts w:ascii="Times New Roman" w:cs="Times New Roman" w:eastAsia="Times New Roman" w:hAnsi="Times New Roman"/>
          <w:sz w:val="24"/>
          <w:szCs w:val="24"/>
        </w:rPr>
        <w:t xml:space="preserve">El año 2020 (cuarentena estricta) registra el promedio anual real más bajo (22.6 µg/m3, calculado como el promedio simple de los promedios mensuales del dataset de SENAMHI, misma metodología aplicada en el notebook de calibración de la Sección 15), con los valores mínimos absolutos en marzo y abril. En 2021 (30.8 µg/m3) y 2022 (41.1 µg/m3), al reactivarse la movilidad, la concentración se recupera y supera los niveles previos a la pandemia (2019: 35.7 µg/m3). Este patrón es una validación empírica de que la densidad vehicular es un driver dominante del sistema, retomado cuantitativamente en la Sección 18.</w:t>
      </w:r>
    </w:p>
    <w:p>
      <w:pPr>
        <w:pStyle w:val="Heading1"/>
        <w:spacing w:after="200" w:before="400" w:line="480"/>
        <w:jc w:val="center"/>
      </w:pPr>
      <w:r>
        <w:rPr>
          <w:rFonts w:ascii="Times New Roman" w:cs="Times New Roman" w:eastAsia="Times New Roman" w:hAnsi="Times New Roman"/>
          <w:b/>
          <w:bCs/>
          <w:color w:val="000000"/>
          <w:sz w:val="24"/>
          <w:szCs w:val="24"/>
        </w:rPr>
        <w:t xml:space="preserve">Diagrama causal</w:t>
      </w:r>
    </w:p>
    <w:p>
      <w:pPr>
        <w:spacing w:after="100" w:before="200"/>
        <w:jc w:val="center"/>
      </w:pPr>
      <w:r>
        <w:drawing>
          <wp:inline distT="0" distB="0" distL="0" distR="0">
            <wp:extent cx="4572000" cy="3324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572000" cy="3324225"/>
                    </a:xfrm>
                    <a:prstGeom prst="rect">
                      <a:avLst/>
                    </a:prstGeom>
                  </pic:spPr>
                </pic:pic>
              </a:graphicData>
            </a:graphic>
          </wp:inline>
        </w:drawing>
      </w:r>
    </w:p>
    <w:p>
      <w:pPr>
        <w:spacing w:after="300"/>
        <w:jc w:val="center"/>
      </w:pPr>
      <w:r>
        <w:rPr>
          <w:rFonts w:ascii="Times New Roman" w:cs="Times New Roman" w:eastAsia="Times New Roman" w:hAnsi="Times New Roman"/>
          <w:i/>
          <w:iCs/>
          <w:sz w:val="20"/>
          <w:szCs w:val="20"/>
        </w:rPr>
        <w:t xml:space="preserve">Figura 4. Diagrama causal del sistema de contaminación por PM2.5 en San Juan de Lurigancho, con los bucles R1, B1 y B2.</w:t>
      </w:r>
    </w:p>
    <w:p>
      <w:pPr>
        <w:spacing w:after="200" w:before="0" w:line="480"/>
        <w:jc w:val="both"/>
      </w:pPr>
      <w:r>
        <w:rPr>
          <w:rFonts w:ascii="Times New Roman" w:cs="Times New Roman" w:eastAsia="Times New Roman" w:hAnsi="Times New Roman"/>
          <w:sz w:val="24"/>
          <w:szCs w:val="24"/>
        </w:rPr>
        <w:t xml:space="preserve">El diagrama representa tres mecanismos: la cadena reforzante R1 (densidad vehicular, emisiones y concentración de PM2.5); el bucle de balance B1 (la concentración genera presión regulatoria, que produce restricciones viales, las cuales reducen la densidad vehicular); y el bucle de balance natural B2 (la estacionalidad reduce la capacidad de dispersión atmosférica, incrementando la concentración).</w:t>
      </w:r>
    </w:p>
    <w:p>
      <w:pPr>
        <w:pStyle w:val="Heading1"/>
        <w:spacing w:after="200" w:before="400" w:line="480"/>
        <w:jc w:val="center"/>
      </w:pPr>
      <w:r>
        <w:rPr>
          <w:rFonts w:ascii="Times New Roman" w:cs="Times New Roman" w:eastAsia="Times New Roman" w:hAnsi="Times New Roman"/>
          <w:b/>
          <w:bCs/>
          <w:color w:val="000000"/>
          <w:sz w:val="24"/>
          <w:szCs w:val="24"/>
        </w:rPr>
        <w:t xml:space="preserve">Bucles de refuerzo y balance</w:t>
      </w:r>
    </w:p>
    <w:p>
      <w:pPr>
        <w:pStyle w:val="Heading2"/>
        <w:spacing w:after="150" w:before="300" w:line="480"/>
        <w:jc w:val="left"/>
      </w:pPr>
      <w:r>
        <w:rPr>
          <w:rFonts w:ascii="Times New Roman" w:cs="Times New Roman" w:eastAsia="Times New Roman" w:hAnsi="Times New Roman"/>
          <w:b/>
          <w:bCs/>
          <w:color w:val="000000"/>
          <w:sz w:val="24"/>
          <w:szCs w:val="24"/>
        </w:rPr>
        <w:t xml:space="preserve">R1 — Cadena reforzante: crecimiento vehicular y acumulación de contaminación</w:t>
      </w:r>
    </w:p>
    <w:p>
      <w:pPr>
        <w:spacing w:after="200" w:before="0" w:line="480"/>
        <w:jc w:val="both"/>
      </w:pPr>
      <w:r>
        <w:rPr>
          <w:rFonts w:ascii="Times New Roman" w:cs="Times New Roman" w:eastAsia="Times New Roman" w:hAnsi="Times New Roman"/>
          <w:sz w:val="24"/>
          <w:szCs w:val="24"/>
        </w:rPr>
        <w:t xml:space="preserve">Cadena causal: densidad vehicular (+) hacia emisiones de contaminantes (+) hacia concentración de PM2.5. Los datos de SENAMHI muestran esto empíricamente: cuando la densidad vehicular cayó de forma abrupta durante la cuarentena de 2020, la concentración de PM2.5 alcanzó sus valores más bajos del periodo analizado.</w:t>
      </w:r>
    </w:p>
    <w:p>
      <w:pPr>
        <w:pStyle w:val="Heading2"/>
        <w:spacing w:after="150" w:before="300" w:line="480"/>
        <w:jc w:val="left"/>
      </w:pPr>
      <w:r>
        <w:rPr>
          <w:rFonts w:ascii="Times New Roman" w:cs="Times New Roman" w:eastAsia="Times New Roman" w:hAnsi="Times New Roman"/>
          <w:b/>
          <w:bCs/>
          <w:color w:val="000000"/>
          <w:sz w:val="24"/>
          <w:szCs w:val="24"/>
        </w:rPr>
        <w:t xml:space="preserve">B1 — Bucle de balance: presión regulatoria y restricción vehicular</w:t>
      </w:r>
    </w:p>
    <w:p>
      <w:pPr>
        <w:spacing w:after="200" w:before="0" w:line="480"/>
        <w:jc w:val="both"/>
      </w:pPr>
      <w:r>
        <w:rPr>
          <w:rFonts w:ascii="Times New Roman" w:cs="Times New Roman" w:eastAsia="Times New Roman" w:hAnsi="Times New Roman"/>
          <w:sz w:val="24"/>
          <w:szCs w:val="24"/>
        </w:rPr>
        <w:t xml:space="preserve">Cadena causal: concentración de PM2.5 (+) hacia presión regulatoria (+) hacia restricciones viales (+) hacia densidad vehicular (−). Este bucle depende de una reacción humana e institucional, lo que introduce demoras significativas entre el aumento de la contaminación y la respuesta regulatoria efectiva.</w:t>
      </w:r>
    </w:p>
    <w:p>
      <w:pPr>
        <w:pStyle w:val="Heading2"/>
        <w:spacing w:after="150" w:before="300" w:line="480"/>
        <w:jc w:val="left"/>
      </w:pPr>
      <w:r>
        <w:rPr>
          <w:rFonts w:ascii="Times New Roman" w:cs="Times New Roman" w:eastAsia="Times New Roman" w:hAnsi="Times New Roman"/>
          <w:b/>
          <w:bCs/>
          <w:color w:val="000000"/>
          <w:sz w:val="24"/>
          <w:szCs w:val="24"/>
        </w:rPr>
        <w:t xml:space="preserve">B2 — Bucle de balance natural: estacionalidad y dispersión atmosférica</w:t>
      </w:r>
    </w:p>
    <w:p>
      <w:pPr>
        <w:spacing w:after="200" w:before="0" w:line="480"/>
        <w:jc w:val="both"/>
      </w:pPr>
      <w:r>
        <w:rPr>
          <w:rFonts w:ascii="Times New Roman" w:cs="Times New Roman" w:eastAsia="Times New Roman" w:hAnsi="Times New Roman"/>
          <w:sz w:val="24"/>
          <w:szCs w:val="24"/>
        </w:rPr>
        <w:t xml:space="preserve">Cadena causal: estacionalidad/invierno limeño (−) hacia capacidad de dispersión natural (−) hacia concentración de PM2.5. Genera un patrón oscilante recurrente que se superpone sobre la tendencia de fondo generada por R1 y B1.</w:t>
      </w:r>
    </w:p>
    <w:p>
      <w:pPr>
        <w:pStyle w:val="Heading2"/>
        <w:spacing w:after="150" w:before="300" w:line="480"/>
        <w:jc w:val="left"/>
      </w:pPr>
      <w:r>
        <w:rPr>
          <w:rFonts w:ascii="Times New Roman" w:cs="Times New Roman" w:eastAsia="Times New Roman" w:hAnsi="Times New Roman"/>
          <w:b/>
          <w:bCs/>
          <w:color w:val="000000"/>
          <w:sz w:val="24"/>
          <w:szCs w:val="24"/>
        </w:rPr>
        <w:t xml:space="preserve">Interacción entre los tres bucles</w:t>
      </w:r>
    </w:p>
    <w:p>
      <w:pPr>
        <w:spacing w:after="200" w:before="0" w:line="480"/>
        <w:jc w:val="both"/>
      </w:pPr>
      <w:r>
        <w:rPr>
          <w:rFonts w:ascii="Times New Roman" w:cs="Times New Roman" w:eastAsia="Times New Roman" w:hAnsi="Times New Roman"/>
          <w:sz w:val="24"/>
          <w:szCs w:val="24"/>
        </w:rPr>
        <w:t xml:space="preserve">El comportamiento real del sistema resulta de la interacción simultánea de los tres bucles, lo que explica por qué la serie real de SENAMHI muestra una tendencia de fondo creciente (2020-2022) con picos recurrentes cada invierno.</w:t>
      </w:r>
    </w:p>
    <w:p>
      <w:pPr>
        <w:pStyle w:val="Heading1"/>
        <w:spacing w:after="200" w:before="400" w:line="480"/>
        <w:jc w:val="center"/>
      </w:pPr>
      <w:r>
        <w:rPr>
          <w:rFonts w:ascii="Times New Roman" w:cs="Times New Roman" w:eastAsia="Times New Roman" w:hAnsi="Times New Roman"/>
          <w:b/>
          <w:bCs/>
          <w:color w:val="000000"/>
          <w:sz w:val="24"/>
          <w:szCs w:val="24"/>
        </w:rPr>
        <w:t xml:space="preserve">Arquetipos sistémicos identificados</w:t>
      </w:r>
    </w:p>
    <w:p>
      <w:pPr>
        <w:pStyle w:val="Heading2"/>
        <w:spacing w:after="150" w:before="300" w:line="480"/>
        <w:jc w:val="left"/>
      </w:pPr>
      <w:r>
        <w:rPr>
          <w:rFonts w:ascii="Times New Roman" w:cs="Times New Roman" w:eastAsia="Times New Roman" w:hAnsi="Times New Roman"/>
          <w:b/>
          <w:bCs/>
          <w:color w:val="000000"/>
          <w:sz w:val="24"/>
          <w:szCs w:val="24"/>
        </w:rPr>
        <w:t xml:space="preserve">Arquetipo principal: Tragedia de los comunes</w:t>
      </w:r>
    </w:p>
    <w:p>
      <w:pPr>
        <w:spacing w:after="200" w:before="0" w:line="480"/>
        <w:jc w:val="both"/>
      </w:pPr>
      <w:r>
        <w:rPr>
          <w:rFonts w:ascii="Times New Roman" w:cs="Times New Roman" w:eastAsia="Times New Roman" w:hAnsi="Times New Roman"/>
          <w:sz w:val="24"/>
          <w:szCs w:val="24"/>
        </w:rPr>
        <w:t xml:space="preserve">El recurso común es la capacidad de la atmósfera de la cuenca de San Juan de Lurigancho para absorber y dispersar contaminantes sin superar niveles perjudiciales para la salud. Ningún actor individual genera una emisión que sature el sistema por sí sola; el problema surge de la suma de miles de decisiones individuales racionales que colectivamente exceden la capacidad de dispersión natural de la cuenca.</w:t>
      </w:r>
    </w:p>
    <w:p>
      <w:pPr>
        <w:pStyle w:val="Heading2"/>
        <w:spacing w:after="150" w:before="300" w:line="480"/>
        <w:jc w:val="left"/>
      </w:pPr>
      <w:r>
        <w:rPr>
          <w:rFonts w:ascii="Times New Roman" w:cs="Times New Roman" w:eastAsia="Times New Roman" w:hAnsi="Times New Roman"/>
          <w:b/>
          <w:bCs/>
          <w:color w:val="000000"/>
          <w:sz w:val="24"/>
          <w:szCs w:val="24"/>
        </w:rPr>
        <w:t xml:space="preserve">Por qué genera un problema difícil de resolver</w:t>
      </w:r>
    </w:p>
    <w:p>
      <w:pPr>
        <w:pStyle w:val="ListParagraph"/>
        <w:numPr>
          <w:ilvl w:val="0"/>
          <w:numId w:val="1"/>
        </w:numPr>
        <w:spacing w:after="100" w:line="480"/>
        <w:ind w:left="360"/>
      </w:pPr>
      <w:r>
        <w:rPr>
          <w:rFonts w:ascii="Times New Roman" w:cs="Times New Roman" w:eastAsia="Times New Roman" w:hAnsi="Times New Roman"/>
          <w:sz w:val="24"/>
          <w:szCs w:val="24"/>
        </w:rPr>
        <w:t xml:space="preserve">Incentivos desalineados: quien reduce su propio uso asume un costo individual mientras el beneficio se distribuye entre toda la población.</w:t>
      </w:r>
    </w:p>
    <w:p>
      <w:pPr>
        <w:pStyle w:val="ListParagraph"/>
        <w:numPr>
          <w:ilvl w:val="0"/>
          <w:numId w:val="1"/>
        </w:numPr>
        <w:spacing w:after="100" w:line="480"/>
        <w:ind w:left="360"/>
      </w:pPr>
      <w:r>
        <w:rPr>
          <w:rFonts w:ascii="Times New Roman" w:cs="Times New Roman" w:eastAsia="Times New Roman" w:hAnsi="Times New Roman"/>
          <w:sz w:val="24"/>
          <w:szCs w:val="24"/>
        </w:rPr>
        <w:t xml:space="preserve">Percepción de impacto mínimo: ningún actor individual percibe su contribución personal como la causa del problema.</w:t>
      </w:r>
    </w:p>
    <w:p>
      <w:pPr>
        <w:pStyle w:val="ListParagraph"/>
        <w:numPr>
          <w:ilvl w:val="0"/>
          <w:numId w:val="1"/>
        </w:numPr>
        <w:spacing w:after="100" w:line="480"/>
        <w:ind w:left="360"/>
      </w:pPr>
      <w:r>
        <w:rPr>
          <w:rFonts w:ascii="Times New Roman" w:cs="Times New Roman" w:eastAsia="Times New Roman" w:hAnsi="Times New Roman"/>
          <w:sz w:val="24"/>
          <w:szCs w:val="24"/>
        </w:rPr>
        <w:t xml:space="preserve">El recurso no tiene un dueño claro: dificulta asignar responsabilidad y coordinar una solución colectiva sin intervención de una autoridad.</w:t>
      </w:r>
    </w:p>
    <w:p>
      <w:pPr>
        <w:pStyle w:val="Heading2"/>
        <w:spacing w:after="150" w:before="300" w:line="480"/>
        <w:jc w:val="left"/>
      </w:pPr>
      <w:r>
        <w:rPr>
          <w:rFonts w:ascii="Times New Roman" w:cs="Times New Roman" w:eastAsia="Times New Roman" w:hAnsi="Times New Roman"/>
          <w:b/>
          <w:bCs/>
          <w:color w:val="000000"/>
          <w:sz w:val="24"/>
          <w:szCs w:val="24"/>
        </w:rPr>
        <w:t xml:space="preserve">Relación con los bucles identificados</w:t>
      </w:r>
    </w:p>
    <w:p>
      <w:pPr>
        <w:spacing w:after="200" w:before="0" w:line="480"/>
        <w:jc w:val="both"/>
      </w:pPr>
      <w:r>
        <w:rPr>
          <w:rFonts w:ascii="Times New Roman" w:cs="Times New Roman" w:eastAsia="Times New Roman" w:hAnsi="Times New Roman"/>
          <w:sz w:val="24"/>
          <w:szCs w:val="24"/>
        </w:rPr>
        <w:t xml:space="preserve">R1 alimenta la tragedia mientras cada actor siga sumando su emisión individual sin restricción. B1 es, estructuralmente, la salida real del arquetipo: dado que la autorregulación individual no es suficiente, la solución típica requiere una intervención externa que imponga límites al uso del recurso común. B2 actúa como un multiplicador de la tragedia en época de menor capacidad de dispersión.</w:t>
      </w:r>
    </w:p>
    <w:p>
      <w:pPr>
        <w:pStyle w:val="Heading1"/>
        <w:spacing w:after="200" w:before="400" w:line="480"/>
        <w:jc w:val="center"/>
      </w:pPr>
      <w:r>
        <w:rPr>
          <w:rFonts w:ascii="Times New Roman" w:cs="Times New Roman" w:eastAsia="Times New Roman" w:hAnsi="Times New Roman"/>
          <w:b/>
          <w:bCs/>
          <w:color w:val="000000"/>
          <w:sz w:val="24"/>
          <w:szCs w:val="24"/>
        </w:rPr>
        <w:t xml:space="preserve">Modelo Stock-Flujo</w:t>
      </w:r>
    </w:p>
    <w:p>
      <w:pPr>
        <w:spacing w:after="200" w:before="0" w:line="480"/>
        <w:jc w:val="both"/>
      </w:pPr>
      <w:r>
        <w:rPr>
          <w:rFonts w:ascii="Times New Roman" w:cs="Times New Roman" w:eastAsia="Times New Roman" w:hAnsi="Times New Roman"/>
          <w:sz w:val="24"/>
          <w:szCs w:val="24"/>
        </w:rPr>
        <w:t xml:space="preserve">El modelo conserva las variables, unidades y frontera definidas en la Parte 1 (Sección 9), incorporando dos auxiliares derivados (viento y precipitación normalizados) introducidos en la presente sección para asegurar consistencia dimensional.</w:t>
      </w:r>
    </w:p>
    <w:p>
      <w:pPr>
        <w:spacing w:after="100" w:before="200"/>
        <w:jc w:val="center"/>
      </w:pPr>
      <w:r>
        <w:drawing>
          <wp:inline distT="0" distB="0" distL="0" distR="0">
            <wp:extent cx="4953000" cy="2724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953000" cy="2724150"/>
                    </a:xfrm>
                    <a:prstGeom prst="rect">
                      <a:avLst/>
                    </a:prstGeom>
                  </pic:spPr>
                </pic:pic>
              </a:graphicData>
            </a:graphic>
          </wp:inline>
        </w:drawing>
      </w:r>
    </w:p>
    <w:p>
      <w:pPr>
        <w:spacing w:after="300"/>
        <w:jc w:val="center"/>
      </w:pPr>
      <w:r>
        <w:rPr>
          <w:rFonts w:ascii="Times New Roman" w:cs="Times New Roman" w:eastAsia="Times New Roman" w:hAnsi="Times New Roman"/>
          <w:i/>
          <w:iCs/>
          <w:sz w:val="20"/>
          <w:szCs w:val="20"/>
        </w:rPr>
        <w:t xml:space="preserve">Figura 5. Diagrama del modelo stock-flujo de la concentración de PM2.5 en San Juan de Lurigancho.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2100"/>
        <w:gridCol w:w="1660"/>
      </w:tblGrid>
      <w:tr>
        <w:tc>
          <w:tcPr>
            <w:tcW w:type="dxa" w:w="2200"/>
            <w:shd w:fill="D9D9D9" w:val="clear"/>
            <w:tcMar>
              <w:top w:type="dxa" w:w="80"/>
              <w:left w:type="dxa" w:w="100"/>
              <w:bottom w:type="dxa" w:w="80"/>
              <w:right w:type="dxa" w:w="100"/>
            </w:tcMar>
            <w:vAlign w:val="center"/>
          </w:tcPr>
          <w:p>
            <w:pPr>
              <w:spacing w:line="276"/>
              <w:jc w:val="left"/>
            </w:pPr>
            <w:r>
              <w:rPr>
                <w:rFonts w:ascii="Times New Roman" w:cs="Times New Roman" w:eastAsia="Times New Roman" w:hAnsi="Times New Roman"/>
                <w:b/>
                <w:bCs/>
                <w:sz w:val="20"/>
                <w:szCs w:val="20"/>
              </w:rPr>
              <w:t xml:space="preserve">Elemento</w:t>
            </w:r>
          </w:p>
        </w:tc>
        <w:tc>
          <w:tcPr>
            <w:tcW w:type="dxa" w:w="3400"/>
            <w:shd w:fill="D9D9D9" w:val="clear"/>
            <w:tcMar>
              <w:top w:type="dxa" w:w="80"/>
              <w:left w:type="dxa" w:w="100"/>
              <w:bottom w:type="dxa" w:w="80"/>
              <w:right w:type="dxa" w:w="100"/>
            </w:tcMar>
            <w:vAlign w:val="center"/>
          </w:tcPr>
          <w:p>
            <w:pPr>
              <w:spacing w:line="276"/>
              <w:jc w:val="left"/>
            </w:pPr>
            <w:r>
              <w:rPr>
                <w:rFonts w:ascii="Times New Roman" w:cs="Times New Roman" w:eastAsia="Times New Roman" w:hAnsi="Times New Roman"/>
                <w:b/>
                <w:bCs/>
                <w:sz w:val="20"/>
                <w:szCs w:val="20"/>
              </w:rPr>
              <w:t xml:space="preserve">Nombre</w:t>
            </w:r>
          </w:p>
        </w:tc>
        <w:tc>
          <w:tcPr>
            <w:tcW w:type="dxa" w:w="2100"/>
            <w:shd w:fill="D9D9D9" w:val="clear"/>
            <w:tcMar>
              <w:top w:type="dxa" w:w="80"/>
              <w:left w:type="dxa" w:w="100"/>
              <w:bottom w:type="dxa" w:w="80"/>
              <w:right w:type="dxa" w:w="100"/>
            </w:tcMar>
            <w:vAlign w:val="center"/>
          </w:tcPr>
          <w:p>
            <w:pPr>
              <w:spacing w:line="276"/>
              <w:jc w:val="left"/>
            </w:pPr>
            <w:r>
              <w:rPr>
                <w:rFonts w:ascii="Times New Roman" w:cs="Times New Roman" w:eastAsia="Times New Roman" w:hAnsi="Times New Roman"/>
                <w:b/>
                <w:bCs/>
                <w:sz w:val="20"/>
                <w:szCs w:val="20"/>
              </w:rPr>
              <w:t xml:space="preserve">Tipo</w:t>
            </w:r>
          </w:p>
        </w:tc>
        <w:tc>
          <w:tcPr>
            <w:tcW w:type="dxa" w:w="1660"/>
            <w:shd w:fill="D9D9D9" w:val="clear"/>
            <w:tcMar>
              <w:top w:type="dxa" w:w="80"/>
              <w:left w:type="dxa" w:w="100"/>
              <w:bottom w:type="dxa" w:w="80"/>
              <w:right w:type="dxa" w:w="100"/>
            </w:tcMar>
            <w:vAlign w:val="center"/>
          </w:tcPr>
          <w:p>
            <w:pPr>
              <w:spacing w:line="276"/>
              <w:jc w:val="left"/>
            </w:pPr>
            <w:r>
              <w:rPr>
                <w:rFonts w:ascii="Times New Roman" w:cs="Times New Roman" w:eastAsia="Times New Roman" w:hAnsi="Times New Roman"/>
                <w:b/>
                <w:bCs/>
                <w:sz w:val="20"/>
                <w:szCs w:val="20"/>
              </w:rPr>
              <w:t xml:space="preserve">Unidad</w:t>
            </w:r>
          </w:p>
        </w:tc>
      </w:tr>
      <w:tr>
        <w:tc>
          <w:tcPr>
            <w:tcW w:type="dxa" w:w="2200"/>
            <w:tcMar>
              <w:top w:type="dxa" w:w="80"/>
              <w:left w:type="dxa" w:w="100"/>
              <w:bottom w:type="dxa" w:w="80"/>
              <w:right w:type="dxa" w:w="100"/>
            </w:tcMar>
            <w:vAlign w:val="center"/>
          </w:tcPr>
          <w:p>
            <w:pPr>
              <w:spacing w:line="276"/>
              <w:jc w:val="left"/>
            </w:pPr>
            <w:r>
              <w:rPr>
                <w:rFonts w:ascii="Times New Roman" w:cs="Times New Roman" w:eastAsia="Times New Roman" w:hAnsi="Times New Roman"/>
                <w:sz w:val="20"/>
                <w:szCs w:val="20"/>
              </w:rPr>
              <w:t xml:space="preserve">Stock</w:t>
            </w:r>
          </w:p>
        </w:tc>
        <w:tc>
          <w:tcPr>
            <w:tcW w:type="dxa" w:w="3400"/>
            <w:tcMar>
              <w:top w:type="dxa" w:w="80"/>
              <w:left w:type="dxa" w:w="100"/>
              <w:bottom w:type="dxa" w:w="80"/>
              <w:right w:type="dxa" w:w="100"/>
            </w:tcMar>
            <w:vAlign w:val="center"/>
          </w:tcPr>
          <w:p>
            <w:pPr>
              <w:spacing w:line="276"/>
              <w:jc w:val="left"/>
            </w:pPr>
            <w:r>
              <w:rPr>
                <w:rFonts w:ascii="Times New Roman" w:cs="Times New Roman" w:eastAsia="Times New Roman" w:hAnsi="Times New Roman"/>
                <w:sz w:val="20"/>
                <w:szCs w:val="20"/>
              </w:rPr>
              <w:t xml:space="preserve">Concentración de PM2.5</w:t>
            </w:r>
          </w:p>
        </w:tc>
        <w:tc>
          <w:tcPr>
            <w:tcW w:type="dxa" w:w="2100"/>
            <w:tcMar>
              <w:top w:type="dxa" w:w="80"/>
              <w:left w:type="dxa" w:w="100"/>
              <w:bottom w:type="dxa" w:w="80"/>
              <w:right w:type="dxa" w:w="100"/>
            </w:tcMar>
            <w:vAlign w:val="center"/>
          </w:tcPr>
          <w:p>
            <w:pPr>
              <w:spacing w:line="276"/>
              <w:jc w:val="left"/>
            </w:pPr>
            <w:r>
              <w:rPr>
                <w:rFonts w:ascii="Times New Roman" w:cs="Times New Roman" w:eastAsia="Times New Roman" w:hAnsi="Times New Roman"/>
                <w:sz w:val="20"/>
                <w:szCs w:val="20"/>
              </w:rPr>
              <w:t xml:space="preserve">Nivel (acumulación)</w:t>
            </w:r>
          </w:p>
        </w:tc>
        <w:tc>
          <w:tcPr>
            <w:tcW w:type="dxa" w:w="1660"/>
            <w:tcMar>
              <w:top w:type="dxa" w:w="80"/>
              <w:left w:type="dxa" w:w="100"/>
              <w:bottom w:type="dxa" w:w="80"/>
              <w:right w:type="dxa" w:w="100"/>
            </w:tcMar>
            <w:vAlign w:val="center"/>
          </w:tcPr>
          <w:p>
            <w:pPr>
              <w:spacing w:line="276"/>
              <w:jc w:val="left"/>
            </w:pPr>
            <w:r>
              <w:rPr>
                <w:rFonts w:ascii="Times New Roman" w:cs="Times New Roman" w:eastAsia="Times New Roman" w:hAnsi="Times New Roman"/>
                <w:sz w:val="20"/>
                <w:szCs w:val="20"/>
              </w:rPr>
              <w:t xml:space="preserve">µg/m³</w:t>
            </w:r>
          </w:p>
        </w:tc>
      </w:tr>
      <w:tr>
        <w:tc>
          <w:tcPr>
            <w:tcW w:type="dxa" w:w="2200"/>
            <w:tcMar>
              <w:top w:type="dxa" w:w="80"/>
              <w:left w:type="dxa" w:w="100"/>
              <w:bottom w:type="dxa" w:w="80"/>
              <w:right w:type="dxa" w:w="100"/>
            </w:tcMar>
            <w:vAlign w:val="center"/>
          </w:tcPr>
          <w:p>
            <w:pPr>
              <w:spacing w:line="276"/>
              <w:jc w:val="left"/>
            </w:pPr>
            <w:r>
              <w:rPr>
                <w:rFonts w:ascii="Times New Roman" w:cs="Times New Roman" w:eastAsia="Times New Roman" w:hAnsi="Times New Roman"/>
                <w:sz w:val="20"/>
                <w:szCs w:val="20"/>
              </w:rPr>
              <w:t xml:space="preserve">Flujo de entrada</w:t>
            </w:r>
          </w:p>
        </w:tc>
        <w:tc>
          <w:tcPr>
            <w:tcW w:type="dxa" w:w="3400"/>
            <w:tcMar>
              <w:top w:type="dxa" w:w="80"/>
              <w:left w:type="dxa" w:w="100"/>
              <w:bottom w:type="dxa" w:w="80"/>
              <w:right w:type="dxa" w:w="100"/>
            </w:tcMar>
            <w:vAlign w:val="center"/>
          </w:tcPr>
          <w:p>
            <w:pPr>
              <w:spacing w:line="276"/>
              <w:jc w:val="left"/>
            </w:pPr>
            <w:r>
              <w:rPr>
                <w:rFonts w:ascii="Times New Roman" w:cs="Times New Roman" w:eastAsia="Times New Roman" w:hAnsi="Times New Roman"/>
                <w:sz w:val="20"/>
                <w:szCs w:val="20"/>
              </w:rPr>
              <w:t xml:space="preserve">Emisiones de contaminantes</w:t>
            </w:r>
          </w:p>
        </w:tc>
        <w:tc>
          <w:tcPr>
            <w:tcW w:type="dxa" w:w="2100"/>
            <w:tcMar>
              <w:top w:type="dxa" w:w="80"/>
              <w:left w:type="dxa" w:w="100"/>
              <w:bottom w:type="dxa" w:w="80"/>
              <w:right w:type="dxa" w:w="100"/>
            </w:tcMar>
            <w:vAlign w:val="center"/>
          </w:tcPr>
          <w:p>
            <w:pPr>
              <w:spacing w:line="276"/>
              <w:jc w:val="left"/>
            </w:pPr>
            <w:r>
              <w:rPr>
                <w:rFonts w:ascii="Times New Roman" w:cs="Times New Roman" w:eastAsia="Times New Roman" w:hAnsi="Times New Roman"/>
                <w:sz w:val="20"/>
                <w:szCs w:val="20"/>
              </w:rPr>
              <w:t xml:space="preserve">Flujo</w:t>
            </w:r>
          </w:p>
        </w:tc>
        <w:tc>
          <w:tcPr>
            <w:tcW w:type="dxa" w:w="1660"/>
            <w:tcMar>
              <w:top w:type="dxa" w:w="80"/>
              <w:left w:type="dxa" w:w="100"/>
              <w:bottom w:type="dxa" w:w="80"/>
              <w:right w:type="dxa" w:w="100"/>
            </w:tcMar>
            <w:vAlign w:val="center"/>
          </w:tcPr>
          <w:p>
            <w:pPr>
              <w:spacing w:line="276"/>
              <w:jc w:val="left"/>
            </w:pPr>
            <w:r>
              <w:rPr>
                <w:rFonts w:ascii="Times New Roman" w:cs="Times New Roman" w:eastAsia="Times New Roman" w:hAnsi="Times New Roman"/>
                <w:sz w:val="20"/>
                <w:szCs w:val="20"/>
              </w:rPr>
              <w:t xml:space="preserve">µg/m³ por mes</w:t>
            </w:r>
          </w:p>
        </w:tc>
      </w:tr>
      <w:tr>
        <w:tc>
          <w:tcPr>
            <w:tcW w:type="dxa" w:w="2200"/>
            <w:tcMar>
              <w:top w:type="dxa" w:w="80"/>
              <w:left w:type="dxa" w:w="100"/>
              <w:bottom w:type="dxa" w:w="80"/>
              <w:right w:type="dxa" w:w="100"/>
            </w:tcMar>
            <w:vAlign w:val="center"/>
          </w:tcPr>
          <w:p>
            <w:pPr>
              <w:spacing w:line="276"/>
              <w:jc w:val="left"/>
            </w:pPr>
            <w:r>
              <w:rPr>
                <w:rFonts w:ascii="Times New Roman" w:cs="Times New Roman" w:eastAsia="Times New Roman" w:hAnsi="Times New Roman"/>
                <w:sz w:val="20"/>
                <w:szCs w:val="20"/>
              </w:rPr>
              <w:t xml:space="preserve">Flujo de salida</w:t>
            </w:r>
          </w:p>
        </w:tc>
        <w:tc>
          <w:tcPr>
            <w:tcW w:type="dxa" w:w="3400"/>
            <w:tcMar>
              <w:top w:type="dxa" w:w="80"/>
              <w:left w:type="dxa" w:w="100"/>
              <w:bottom w:type="dxa" w:w="80"/>
              <w:right w:type="dxa" w:w="100"/>
            </w:tcMar>
            <w:vAlign w:val="center"/>
          </w:tcPr>
          <w:p>
            <w:pPr>
              <w:spacing w:line="276"/>
              <w:jc w:val="left"/>
            </w:pPr>
            <w:r>
              <w:rPr>
                <w:rFonts w:ascii="Times New Roman" w:cs="Times New Roman" w:eastAsia="Times New Roman" w:hAnsi="Times New Roman"/>
                <w:sz w:val="20"/>
                <w:szCs w:val="20"/>
              </w:rPr>
              <w:t xml:space="preserve">Dispersión/depósito atmosférico</w:t>
            </w:r>
          </w:p>
        </w:tc>
        <w:tc>
          <w:tcPr>
            <w:tcW w:type="dxa" w:w="2100"/>
            <w:tcMar>
              <w:top w:type="dxa" w:w="80"/>
              <w:left w:type="dxa" w:w="100"/>
              <w:bottom w:type="dxa" w:w="80"/>
              <w:right w:type="dxa" w:w="100"/>
            </w:tcMar>
            <w:vAlign w:val="center"/>
          </w:tcPr>
          <w:p>
            <w:pPr>
              <w:spacing w:line="276"/>
              <w:jc w:val="left"/>
            </w:pPr>
            <w:r>
              <w:rPr>
                <w:rFonts w:ascii="Times New Roman" w:cs="Times New Roman" w:eastAsia="Times New Roman" w:hAnsi="Times New Roman"/>
                <w:sz w:val="20"/>
                <w:szCs w:val="20"/>
              </w:rPr>
              <w:t xml:space="preserve">Flujo</w:t>
            </w:r>
          </w:p>
        </w:tc>
        <w:tc>
          <w:tcPr>
            <w:tcW w:type="dxa" w:w="1660"/>
            <w:tcMar>
              <w:top w:type="dxa" w:w="80"/>
              <w:left w:type="dxa" w:w="100"/>
              <w:bottom w:type="dxa" w:w="80"/>
              <w:right w:type="dxa" w:w="100"/>
            </w:tcMar>
            <w:vAlign w:val="center"/>
          </w:tcPr>
          <w:p>
            <w:pPr>
              <w:spacing w:line="276"/>
              <w:jc w:val="left"/>
            </w:pPr>
            <w:r>
              <w:rPr>
                <w:rFonts w:ascii="Times New Roman" w:cs="Times New Roman" w:eastAsia="Times New Roman" w:hAnsi="Times New Roman"/>
                <w:sz w:val="20"/>
                <w:szCs w:val="20"/>
              </w:rPr>
              <w:t xml:space="preserve">µg/m³ por mes</w:t>
            </w:r>
          </w:p>
        </w:tc>
      </w:tr>
      <w:tr>
        <w:tc>
          <w:tcPr>
            <w:tcW w:type="dxa" w:w="2200"/>
            <w:tcMar>
              <w:top w:type="dxa" w:w="80"/>
              <w:left w:type="dxa" w:w="100"/>
              <w:bottom w:type="dxa" w:w="80"/>
              <w:right w:type="dxa" w:w="100"/>
            </w:tcMar>
            <w:vAlign w:val="center"/>
          </w:tcPr>
          <w:p>
            <w:pPr>
              <w:spacing w:line="276"/>
              <w:jc w:val="left"/>
            </w:pPr>
            <w:r>
              <w:rPr>
                <w:rFonts w:ascii="Times New Roman" w:cs="Times New Roman" w:eastAsia="Times New Roman" w:hAnsi="Times New Roman"/>
                <w:sz w:val="20"/>
                <w:szCs w:val="20"/>
              </w:rPr>
              <w:t xml:space="preserve">Auxiliar</w:t>
            </w:r>
          </w:p>
        </w:tc>
        <w:tc>
          <w:tcPr>
            <w:tcW w:type="dxa" w:w="3400"/>
            <w:tcMar>
              <w:top w:type="dxa" w:w="80"/>
              <w:left w:type="dxa" w:w="100"/>
              <w:bottom w:type="dxa" w:w="80"/>
              <w:right w:type="dxa" w:w="100"/>
            </w:tcMar>
            <w:vAlign w:val="center"/>
          </w:tcPr>
          <w:p>
            <w:pPr>
              <w:spacing w:line="276"/>
              <w:jc w:val="left"/>
            </w:pPr>
            <w:r>
              <w:rPr>
                <w:rFonts w:ascii="Times New Roman" w:cs="Times New Roman" w:eastAsia="Times New Roman" w:hAnsi="Times New Roman"/>
                <w:sz w:val="20"/>
                <w:szCs w:val="20"/>
              </w:rPr>
              <w:t xml:space="preserve">Densidad vehicular (proxy)</w:t>
            </w:r>
          </w:p>
        </w:tc>
        <w:tc>
          <w:tcPr>
            <w:tcW w:type="dxa" w:w="2100"/>
            <w:tcMar>
              <w:top w:type="dxa" w:w="80"/>
              <w:left w:type="dxa" w:w="100"/>
              <w:bottom w:type="dxa" w:w="80"/>
              <w:right w:type="dxa" w:w="100"/>
            </w:tcMar>
            <w:vAlign w:val="center"/>
          </w:tcPr>
          <w:p>
            <w:pPr>
              <w:spacing w:line="276"/>
              <w:jc w:val="left"/>
            </w:pPr>
            <w:r>
              <w:rPr>
                <w:rFonts w:ascii="Times New Roman" w:cs="Times New Roman" w:eastAsia="Times New Roman" w:hAnsi="Times New Roman"/>
                <w:sz w:val="20"/>
                <w:szCs w:val="20"/>
              </w:rPr>
              <w:t xml:space="preserve">Auxiliar</w:t>
            </w:r>
          </w:p>
        </w:tc>
        <w:tc>
          <w:tcPr>
            <w:tcW w:type="dxa" w:w="1660"/>
            <w:tcMar>
              <w:top w:type="dxa" w:w="80"/>
              <w:left w:type="dxa" w:w="100"/>
              <w:bottom w:type="dxa" w:w="80"/>
              <w:right w:type="dxa" w:w="100"/>
            </w:tcMar>
            <w:vAlign w:val="center"/>
          </w:tcPr>
          <w:p>
            <w:pPr>
              <w:spacing w:line="276"/>
              <w:jc w:val="left"/>
            </w:pPr>
            <w:r>
              <w:rPr>
                <w:rFonts w:ascii="Times New Roman" w:cs="Times New Roman" w:eastAsia="Times New Roman" w:hAnsi="Times New Roman"/>
                <w:sz w:val="20"/>
                <w:szCs w:val="20"/>
              </w:rPr>
              <w:t xml:space="preserve">vehículos/km²</w:t>
            </w:r>
          </w:p>
        </w:tc>
      </w:tr>
      <w:tr>
        <w:tc>
          <w:tcPr>
            <w:tcW w:type="dxa" w:w="2200"/>
            <w:tcMar>
              <w:top w:type="dxa" w:w="80"/>
              <w:left w:type="dxa" w:w="100"/>
              <w:bottom w:type="dxa" w:w="80"/>
              <w:right w:type="dxa" w:w="100"/>
            </w:tcMar>
            <w:vAlign w:val="center"/>
          </w:tcPr>
          <w:p>
            <w:pPr>
              <w:spacing w:line="276"/>
              <w:jc w:val="left"/>
            </w:pPr>
            <w:r>
              <w:rPr>
                <w:rFonts w:ascii="Times New Roman" w:cs="Times New Roman" w:eastAsia="Times New Roman" w:hAnsi="Times New Roman"/>
                <w:sz w:val="20"/>
                <w:szCs w:val="20"/>
              </w:rPr>
              <w:t xml:space="preserve">Auxiliar</w:t>
            </w:r>
          </w:p>
        </w:tc>
        <w:tc>
          <w:tcPr>
            <w:tcW w:type="dxa" w:w="3400"/>
            <w:tcMar>
              <w:top w:type="dxa" w:w="80"/>
              <w:left w:type="dxa" w:w="100"/>
              <w:bottom w:type="dxa" w:w="80"/>
              <w:right w:type="dxa" w:w="100"/>
            </w:tcMar>
            <w:vAlign w:val="center"/>
          </w:tcPr>
          <w:p>
            <w:pPr>
              <w:spacing w:line="276"/>
              <w:jc w:val="left"/>
            </w:pPr>
            <w:r>
              <w:rPr>
                <w:rFonts w:ascii="Times New Roman" w:cs="Times New Roman" w:eastAsia="Times New Roman" w:hAnsi="Times New Roman"/>
                <w:sz w:val="20"/>
                <w:szCs w:val="20"/>
              </w:rPr>
              <w:t xml:space="preserve">Velocidad del viento</w:t>
            </w:r>
          </w:p>
        </w:tc>
        <w:tc>
          <w:tcPr>
            <w:tcW w:type="dxa" w:w="2100"/>
            <w:tcMar>
              <w:top w:type="dxa" w:w="80"/>
              <w:left w:type="dxa" w:w="100"/>
              <w:bottom w:type="dxa" w:w="80"/>
              <w:right w:type="dxa" w:w="100"/>
            </w:tcMar>
            <w:vAlign w:val="center"/>
          </w:tcPr>
          <w:p>
            <w:pPr>
              <w:spacing w:line="276"/>
              <w:jc w:val="left"/>
            </w:pPr>
            <w:r>
              <w:rPr>
                <w:rFonts w:ascii="Times New Roman" w:cs="Times New Roman" w:eastAsia="Times New Roman" w:hAnsi="Times New Roman"/>
                <w:sz w:val="20"/>
                <w:szCs w:val="20"/>
              </w:rPr>
              <w:t xml:space="preserve">Auxiliar</w:t>
            </w:r>
          </w:p>
        </w:tc>
        <w:tc>
          <w:tcPr>
            <w:tcW w:type="dxa" w:w="1660"/>
            <w:tcMar>
              <w:top w:type="dxa" w:w="80"/>
              <w:left w:type="dxa" w:w="100"/>
              <w:bottom w:type="dxa" w:w="80"/>
              <w:right w:type="dxa" w:w="100"/>
            </w:tcMar>
            <w:vAlign w:val="center"/>
          </w:tcPr>
          <w:p>
            <w:pPr>
              <w:spacing w:line="276"/>
              <w:jc w:val="left"/>
            </w:pPr>
            <w:r>
              <w:rPr>
                <w:rFonts w:ascii="Times New Roman" w:cs="Times New Roman" w:eastAsia="Times New Roman" w:hAnsi="Times New Roman"/>
                <w:sz w:val="20"/>
                <w:szCs w:val="20"/>
              </w:rPr>
              <w:t xml:space="preserve">m/s</w:t>
            </w:r>
          </w:p>
        </w:tc>
      </w:tr>
      <w:tr>
        <w:tc>
          <w:tcPr>
            <w:tcW w:type="dxa" w:w="2200"/>
            <w:tcMar>
              <w:top w:type="dxa" w:w="80"/>
              <w:left w:type="dxa" w:w="100"/>
              <w:bottom w:type="dxa" w:w="80"/>
              <w:right w:type="dxa" w:w="100"/>
            </w:tcMar>
            <w:vAlign w:val="center"/>
          </w:tcPr>
          <w:p>
            <w:pPr>
              <w:spacing w:line="276"/>
              <w:jc w:val="left"/>
            </w:pPr>
            <w:r>
              <w:rPr>
                <w:rFonts w:ascii="Times New Roman" w:cs="Times New Roman" w:eastAsia="Times New Roman" w:hAnsi="Times New Roman"/>
                <w:sz w:val="20"/>
                <w:szCs w:val="20"/>
              </w:rPr>
              <w:t xml:space="preserve">Auxiliar</w:t>
            </w:r>
          </w:p>
        </w:tc>
        <w:tc>
          <w:tcPr>
            <w:tcW w:type="dxa" w:w="3400"/>
            <w:tcMar>
              <w:top w:type="dxa" w:w="80"/>
              <w:left w:type="dxa" w:w="100"/>
              <w:bottom w:type="dxa" w:w="80"/>
              <w:right w:type="dxa" w:w="100"/>
            </w:tcMar>
            <w:vAlign w:val="center"/>
          </w:tcPr>
          <w:p>
            <w:pPr>
              <w:spacing w:line="276"/>
              <w:jc w:val="left"/>
            </w:pPr>
            <w:r>
              <w:rPr>
                <w:rFonts w:ascii="Times New Roman" w:cs="Times New Roman" w:eastAsia="Times New Roman" w:hAnsi="Times New Roman"/>
                <w:sz w:val="20"/>
                <w:szCs w:val="20"/>
              </w:rPr>
              <w:t xml:space="preserve">Precipitación</w:t>
            </w:r>
          </w:p>
        </w:tc>
        <w:tc>
          <w:tcPr>
            <w:tcW w:type="dxa" w:w="2100"/>
            <w:tcMar>
              <w:top w:type="dxa" w:w="80"/>
              <w:left w:type="dxa" w:w="100"/>
              <w:bottom w:type="dxa" w:w="80"/>
              <w:right w:type="dxa" w:w="100"/>
            </w:tcMar>
            <w:vAlign w:val="center"/>
          </w:tcPr>
          <w:p>
            <w:pPr>
              <w:spacing w:line="276"/>
              <w:jc w:val="left"/>
            </w:pPr>
            <w:r>
              <w:rPr>
                <w:rFonts w:ascii="Times New Roman" w:cs="Times New Roman" w:eastAsia="Times New Roman" w:hAnsi="Times New Roman"/>
                <w:sz w:val="20"/>
                <w:szCs w:val="20"/>
              </w:rPr>
              <w:t xml:space="preserve">Auxiliar</w:t>
            </w:r>
          </w:p>
        </w:tc>
        <w:tc>
          <w:tcPr>
            <w:tcW w:type="dxa" w:w="1660"/>
            <w:tcMar>
              <w:top w:type="dxa" w:w="80"/>
              <w:left w:type="dxa" w:w="100"/>
              <w:bottom w:type="dxa" w:w="80"/>
              <w:right w:type="dxa" w:w="100"/>
            </w:tcMar>
            <w:vAlign w:val="center"/>
          </w:tcPr>
          <w:p>
            <w:pPr>
              <w:spacing w:line="276"/>
              <w:jc w:val="left"/>
            </w:pPr>
            <w:r>
              <w:rPr>
                <w:rFonts w:ascii="Times New Roman" w:cs="Times New Roman" w:eastAsia="Times New Roman" w:hAnsi="Times New Roman"/>
                <w:sz w:val="20"/>
                <w:szCs w:val="20"/>
              </w:rPr>
              <w:t xml:space="preserve">mm/mes</w:t>
            </w:r>
          </w:p>
        </w:tc>
      </w:tr>
      <w:tr>
        <w:tc>
          <w:tcPr>
            <w:tcW w:type="dxa" w:w="2200"/>
            <w:tcMar>
              <w:top w:type="dxa" w:w="80"/>
              <w:left w:type="dxa" w:w="100"/>
              <w:bottom w:type="dxa" w:w="80"/>
              <w:right w:type="dxa" w:w="100"/>
            </w:tcMar>
            <w:vAlign w:val="center"/>
          </w:tcPr>
          <w:p>
            <w:pPr>
              <w:spacing w:line="276"/>
              <w:jc w:val="left"/>
            </w:pPr>
            <w:r>
              <w:rPr>
                <w:rFonts w:ascii="Times New Roman" w:cs="Times New Roman" w:eastAsia="Times New Roman" w:hAnsi="Times New Roman"/>
                <w:sz w:val="20"/>
                <w:szCs w:val="20"/>
              </w:rPr>
              <w:t xml:space="preserve">Auxiliar derivado</w:t>
            </w:r>
          </w:p>
        </w:tc>
        <w:tc>
          <w:tcPr>
            <w:tcW w:type="dxa" w:w="3400"/>
            <w:tcMar>
              <w:top w:type="dxa" w:w="80"/>
              <w:left w:type="dxa" w:w="100"/>
              <w:bottom w:type="dxa" w:w="80"/>
              <w:right w:type="dxa" w:w="100"/>
            </w:tcMar>
            <w:vAlign w:val="center"/>
          </w:tcPr>
          <w:p>
            <w:pPr>
              <w:spacing w:line="276"/>
              <w:jc w:val="left"/>
            </w:pPr>
            <w:r>
              <w:rPr>
                <w:rFonts w:ascii="Times New Roman" w:cs="Times New Roman" w:eastAsia="Times New Roman" w:hAnsi="Times New Roman"/>
                <w:sz w:val="20"/>
                <w:szCs w:val="20"/>
              </w:rPr>
              <w:t xml:space="preserve">Viento normalizado / Precipitación normalizada</w:t>
            </w:r>
          </w:p>
        </w:tc>
        <w:tc>
          <w:tcPr>
            <w:tcW w:type="dxa" w:w="2100"/>
            <w:tcMar>
              <w:top w:type="dxa" w:w="80"/>
              <w:left w:type="dxa" w:w="100"/>
              <w:bottom w:type="dxa" w:w="80"/>
              <w:right w:type="dxa" w:w="100"/>
            </w:tcMar>
            <w:vAlign w:val="center"/>
          </w:tcPr>
          <w:p>
            <w:pPr>
              <w:spacing w:line="276"/>
              <w:jc w:val="left"/>
            </w:pPr>
            <w:r>
              <w:rPr>
                <w:rFonts w:ascii="Times New Roman" w:cs="Times New Roman" w:eastAsia="Times New Roman" w:hAnsi="Times New Roman"/>
                <w:sz w:val="20"/>
                <w:szCs w:val="20"/>
              </w:rPr>
              <w:t xml:space="preserve">Auxiliar (adimensional)</w:t>
            </w:r>
          </w:p>
        </w:tc>
        <w:tc>
          <w:tcPr>
            <w:tcW w:type="dxa" w:w="1660"/>
            <w:tcMar>
              <w:top w:type="dxa" w:w="80"/>
              <w:left w:type="dxa" w:w="100"/>
              <w:bottom w:type="dxa" w:w="80"/>
              <w:right w:type="dxa" w:w="100"/>
            </w:tcMar>
            <w:vAlign w:val="center"/>
          </w:tcPr>
          <w:p>
            <w:pPr>
              <w:spacing w:line="276"/>
              <w:jc w:val="left"/>
            </w:pPr>
            <w:r>
              <w:rPr>
                <w:rFonts w:ascii="Times New Roman" w:cs="Times New Roman" w:eastAsia="Times New Roman" w:hAnsi="Times New Roman"/>
                <w:sz w:val="20"/>
                <w:szCs w:val="20"/>
              </w:rPr>
              <w:t xml:space="preserve">adimensional</w:t>
            </w:r>
          </w:p>
        </w:tc>
      </w:tr>
      <w:tr>
        <w:tc>
          <w:tcPr>
            <w:tcW w:type="dxa" w:w="2200"/>
            <w:tcMar>
              <w:top w:type="dxa" w:w="80"/>
              <w:left w:type="dxa" w:w="100"/>
              <w:bottom w:type="dxa" w:w="80"/>
              <w:right w:type="dxa" w:w="100"/>
            </w:tcMar>
            <w:vAlign w:val="center"/>
          </w:tcPr>
          <w:p>
            <w:pPr>
              <w:spacing w:line="276"/>
              <w:jc w:val="left"/>
            </w:pPr>
            <w:r>
              <w:rPr>
                <w:rFonts w:ascii="Times New Roman" w:cs="Times New Roman" w:eastAsia="Times New Roman" w:hAnsi="Times New Roman"/>
                <w:sz w:val="20"/>
                <w:szCs w:val="20"/>
              </w:rPr>
              <w:t xml:space="preserve">Auxiliar</w:t>
            </w:r>
          </w:p>
        </w:tc>
        <w:tc>
          <w:tcPr>
            <w:tcW w:type="dxa" w:w="3400"/>
            <w:tcMar>
              <w:top w:type="dxa" w:w="80"/>
              <w:left w:type="dxa" w:w="100"/>
              <w:bottom w:type="dxa" w:w="80"/>
              <w:right w:type="dxa" w:w="100"/>
            </w:tcMar>
            <w:vAlign w:val="center"/>
          </w:tcPr>
          <w:p>
            <w:pPr>
              <w:spacing w:line="276"/>
              <w:jc w:val="left"/>
            </w:pPr>
            <w:r>
              <w:rPr>
                <w:rFonts w:ascii="Times New Roman" w:cs="Times New Roman" w:eastAsia="Times New Roman" w:hAnsi="Times New Roman"/>
                <w:sz w:val="20"/>
                <w:szCs w:val="20"/>
              </w:rPr>
              <w:t xml:space="preserve">Índice de calidad del aire</w:t>
            </w:r>
          </w:p>
        </w:tc>
        <w:tc>
          <w:tcPr>
            <w:tcW w:type="dxa" w:w="2100"/>
            <w:tcMar>
              <w:top w:type="dxa" w:w="80"/>
              <w:left w:type="dxa" w:w="100"/>
              <w:bottom w:type="dxa" w:w="80"/>
              <w:right w:type="dxa" w:w="100"/>
            </w:tcMar>
            <w:vAlign w:val="center"/>
          </w:tcPr>
          <w:p>
            <w:pPr>
              <w:spacing w:line="276"/>
              <w:jc w:val="left"/>
            </w:pPr>
            <w:r>
              <w:rPr>
                <w:rFonts w:ascii="Times New Roman" w:cs="Times New Roman" w:eastAsia="Times New Roman" w:hAnsi="Times New Roman"/>
                <w:sz w:val="20"/>
                <w:szCs w:val="20"/>
              </w:rPr>
              <w:t xml:space="preserve">Auxiliar</w:t>
            </w:r>
          </w:p>
        </w:tc>
        <w:tc>
          <w:tcPr>
            <w:tcW w:type="dxa" w:w="1660"/>
            <w:tcMar>
              <w:top w:type="dxa" w:w="80"/>
              <w:left w:type="dxa" w:w="100"/>
              <w:bottom w:type="dxa" w:w="80"/>
              <w:right w:type="dxa" w:w="100"/>
            </w:tcMar>
            <w:vAlign w:val="center"/>
          </w:tcPr>
          <w:p>
            <w:pPr>
              <w:spacing w:line="276"/>
              <w:jc w:val="left"/>
            </w:pPr>
            <w:r>
              <w:rPr>
                <w:rFonts w:ascii="Times New Roman" w:cs="Times New Roman" w:eastAsia="Times New Roman" w:hAnsi="Times New Roman"/>
                <w:sz w:val="20"/>
                <w:szCs w:val="20"/>
              </w:rPr>
              <w:t xml:space="preserve">índice (0-500)</w:t>
            </w:r>
          </w:p>
        </w:tc>
      </w:tr>
      <w:tr>
        <w:tc>
          <w:tcPr>
            <w:tcW w:type="dxa" w:w="2200"/>
            <w:tcMar>
              <w:top w:type="dxa" w:w="80"/>
              <w:left w:type="dxa" w:w="100"/>
              <w:bottom w:type="dxa" w:w="80"/>
              <w:right w:type="dxa" w:w="100"/>
            </w:tcMar>
            <w:vAlign w:val="center"/>
          </w:tcPr>
          <w:p>
            <w:pPr>
              <w:spacing w:line="276"/>
              <w:jc w:val="left"/>
            </w:pPr>
            <w:r>
              <w:rPr>
                <w:rFonts w:ascii="Times New Roman" w:cs="Times New Roman" w:eastAsia="Times New Roman" w:hAnsi="Times New Roman"/>
                <w:sz w:val="20"/>
                <w:szCs w:val="20"/>
              </w:rPr>
              <w:t xml:space="preserve">Parámetro</w:t>
            </w:r>
          </w:p>
        </w:tc>
        <w:tc>
          <w:tcPr>
            <w:tcW w:type="dxa" w:w="3400"/>
            <w:tcMar>
              <w:top w:type="dxa" w:w="80"/>
              <w:left w:type="dxa" w:w="100"/>
              <w:bottom w:type="dxa" w:w="80"/>
              <w:right w:type="dxa" w:w="100"/>
            </w:tcMar>
            <w:vAlign w:val="center"/>
          </w:tcPr>
          <w:p>
            <w:pPr>
              <w:spacing w:line="276"/>
              <w:jc w:val="left"/>
            </w:pPr>
            <w:r>
              <w:rPr>
                <w:rFonts w:ascii="Times New Roman" w:cs="Times New Roman" w:eastAsia="Times New Roman" w:hAnsi="Times New Roman"/>
                <w:sz w:val="20"/>
                <w:szCs w:val="20"/>
              </w:rPr>
              <w:t xml:space="preserve">Tasa de emisión vehicular</w:t>
            </w:r>
          </w:p>
        </w:tc>
        <w:tc>
          <w:tcPr>
            <w:tcW w:type="dxa" w:w="2100"/>
            <w:tcMar>
              <w:top w:type="dxa" w:w="80"/>
              <w:left w:type="dxa" w:w="100"/>
              <w:bottom w:type="dxa" w:w="80"/>
              <w:right w:type="dxa" w:w="100"/>
            </w:tcMar>
            <w:vAlign w:val="center"/>
          </w:tcPr>
          <w:p>
            <w:pPr>
              <w:spacing w:line="276"/>
              <w:jc w:val="left"/>
            </w:pPr>
            <w:r>
              <w:rPr>
                <w:rFonts w:ascii="Times New Roman" w:cs="Times New Roman" w:eastAsia="Times New Roman" w:hAnsi="Times New Roman"/>
                <w:sz w:val="20"/>
                <w:szCs w:val="20"/>
              </w:rPr>
              <w:t xml:space="preserve">Parámetro calibrado</w:t>
            </w:r>
          </w:p>
        </w:tc>
        <w:tc>
          <w:tcPr>
            <w:tcW w:type="dxa" w:w="1660"/>
            <w:tcMar>
              <w:top w:type="dxa" w:w="80"/>
              <w:left w:type="dxa" w:w="100"/>
              <w:bottom w:type="dxa" w:w="80"/>
              <w:right w:type="dxa" w:w="100"/>
            </w:tcMar>
            <w:vAlign w:val="center"/>
          </w:tcPr>
          <w:p>
            <w:pPr>
              <w:spacing w:line="276"/>
              <w:jc w:val="left"/>
            </w:pPr>
            <w:r>
              <w:rPr>
                <w:rFonts w:ascii="Times New Roman" w:cs="Times New Roman" w:eastAsia="Times New Roman" w:hAnsi="Times New Roman"/>
                <w:sz w:val="20"/>
                <w:szCs w:val="20"/>
              </w:rPr>
              <w:t xml:space="preserve">µg/m³ por vehículo</w:t>
            </w:r>
          </w:p>
        </w:tc>
      </w:tr>
      <w:tr>
        <w:tc>
          <w:tcPr>
            <w:tcW w:type="dxa" w:w="2200"/>
            <w:tcMar>
              <w:top w:type="dxa" w:w="80"/>
              <w:left w:type="dxa" w:w="100"/>
              <w:bottom w:type="dxa" w:w="80"/>
              <w:right w:type="dxa" w:w="100"/>
            </w:tcMar>
            <w:vAlign w:val="center"/>
          </w:tcPr>
          <w:p>
            <w:pPr>
              <w:spacing w:line="276"/>
              <w:jc w:val="left"/>
            </w:pPr>
            <w:r>
              <w:rPr>
                <w:rFonts w:ascii="Times New Roman" w:cs="Times New Roman" w:eastAsia="Times New Roman" w:hAnsi="Times New Roman"/>
                <w:sz w:val="20"/>
                <w:szCs w:val="20"/>
              </w:rPr>
              <w:t xml:space="preserve">Parámetro</w:t>
            </w:r>
          </w:p>
        </w:tc>
        <w:tc>
          <w:tcPr>
            <w:tcW w:type="dxa" w:w="3400"/>
            <w:tcMar>
              <w:top w:type="dxa" w:w="80"/>
              <w:left w:type="dxa" w:w="100"/>
              <w:bottom w:type="dxa" w:w="80"/>
              <w:right w:type="dxa" w:w="100"/>
            </w:tcMar>
            <w:vAlign w:val="center"/>
          </w:tcPr>
          <w:p>
            <w:pPr>
              <w:spacing w:line="276"/>
              <w:jc w:val="left"/>
            </w:pPr>
            <w:r>
              <w:rPr>
                <w:rFonts w:ascii="Times New Roman" w:cs="Times New Roman" w:eastAsia="Times New Roman" w:hAnsi="Times New Roman"/>
                <w:sz w:val="20"/>
                <w:szCs w:val="20"/>
              </w:rPr>
              <w:t xml:space="preserve">Capacidad de dispersión natural</w:t>
            </w:r>
          </w:p>
        </w:tc>
        <w:tc>
          <w:tcPr>
            <w:tcW w:type="dxa" w:w="2100"/>
            <w:tcMar>
              <w:top w:type="dxa" w:w="80"/>
              <w:left w:type="dxa" w:w="100"/>
              <w:bottom w:type="dxa" w:w="80"/>
              <w:right w:type="dxa" w:w="100"/>
            </w:tcMar>
            <w:vAlign w:val="center"/>
          </w:tcPr>
          <w:p>
            <w:pPr>
              <w:spacing w:line="276"/>
              <w:jc w:val="left"/>
            </w:pPr>
            <w:r>
              <w:rPr>
                <w:rFonts w:ascii="Times New Roman" w:cs="Times New Roman" w:eastAsia="Times New Roman" w:hAnsi="Times New Roman"/>
                <w:sz w:val="20"/>
                <w:szCs w:val="20"/>
              </w:rPr>
              <w:t xml:space="preserve">Parámetro calibrado</w:t>
            </w:r>
          </w:p>
        </w:tc>
        <w:tc>
          <w:tcPr>
            <w:tcW w:type="dxa" w:w="1660"/>
            <w:tcMar>
              <w:top w:type="dxa" w:w="80"/>
              <w:left w:type="dxa" w:w="100"/>
              <w:bottom w:type="dxa" w:w="80"/>
              <w:right w:type="dxa" w:w="100"/>
            </w:tcMar>
            <w:vAlign w:val="center"/>
          </w:tcPr>
          <w:p>
            <w:pPr>
              <w:spacing w:line="276"/>
              <w:jc w:val="left"/>
            </w:pPr>
            <w:r>
              <w:rPr>
                <w:rFonts w:ascii="Times New Roman" w:cs="Times New Roman" w:eastAsia="Times New Roman" w:hAnsi="Times New Roman"/>
                <w:sz w:val="20"/>
                <w:szCs w:val="20"/>
              </w:rPr>
              <w:t xml:space="preserve">1/mes</w:t>
            </w:r>
          </w:p>
        </w:tc>
      </w:tr>
      <w:tr>
        <w:tc>
          <w:tcPr>
            <w:tcW w:type="dxa" w:w="2200"/>
            <w:tcMar>
              <w:top w:type="dxa" w:w="80"/>
              <w:left w:type="dxa" w:w="100"/>
              <w:bottom w:type="dxa" w:w="80"/>
              <w:right w:type="dxa" w:w="100"/>
            </w:tcMar>
            <w:vAlign w:val="center"/>
          </w:tcPr>
          <w:p>
            <w:pPr>
              <w:spacing w:line="276"/>
              <w:jc w:val="left"/>
            </w:pPr>
            <w:r>
              <w:rPr>
                <w:rFonts w:ascii="Times New Roman" w:cs="Times New Roman" w:eastAsia="Times New Roman" w:hAnsi="Times New Roman"/>
                <w:sz w:val="20"/>
                <w:szCs w:val="20"/>
              </w:rPr>
              <w:t xml:space="preserve">Parámetro de referencia</w:t>
            </w:r>
          </w:p>
        </w:tc>
        <w:tc>
          <w:tcPr>
            <w:tcW w:type="dxa" w:w="3400"/>
            <w:tcMar>
              <w:top w:type="dxa" w:w="80"/>
              <w:left w:type="dxa" w:w="100"/>
              <w:bottom w:type="dxa" w:w="80"/>
              <w:right w:type="dxa" w:w="100"/>
            </w:tcMar>
            <w:vAlign w:val="center"/>
          </w:tcPr>
          <w:p>
            <w:pPr>
              <w:spacing w:line="276"/>
              <w:jc w:val="left"/>
            </w:pPr>
            <w:r>
              <w:rPr>
                <w:rFonts w:ascii="Times New Roman" w:cs="Times New Roman" w:eastAsia="Times New Roman" w:hAnsi="Times New Roman"/>
                <w:sz w:val="20"/>
                <w:szCs w:val="20"/>
              </w:rPr>
              <w:t xml:space="preserve">Estándar de Calidad Ambiental (ECA)</w:t>
            </w:r>
          </w:p>
        </w:tc>
        <w:tc>
          <w:tcPr>
            <w:tcW w:type="dxa" w:w="2100"/>
            <w:tcMar>
              <w:top w:type="dxa" w:w="80"/>
              <w:left w:type="dxa" w:w="100"/>
              <w:bottom w:type="dxa" w:w="80"/>
              <w:right w:type="dxa" w:w="100"/>
            </w:tcMar>
            <w:vAlign w:val="center"/>
          </w:tcPr>
          <w:p>
            <w:pPr>
              <w:spacing w:line="276"/>
              <w:jc w:val="left"/>
            </w:pPr>
            <w:r>
              <w:rPr>
                <w:rFonts w:ascii="Times New Roman" w:cs="Times New Roman" w:eastAsia="Times New Roman" w:hAnsi="Times New Roman"/>
                <w:sz w:val="20"/>
                <w:szCs w:val="20"/>
              </w:rPr>
              <w:t xml:space="preserve">Referencia regulatoria (MINAM)</w:t>
            </w:r>
          </w:p>
        </w:tc>
        <w:tc>
          <w:tcPr>
            <w:tcW w:type="dxa" w:w="1660"/>
            <w:tcMar>
              <w:top w:type="dxa" w:w="80"/>
              <w:left w:type="dxa" w:w="100"/>
              <w:bottom w:type="dxa" w:w="80"/>
              <w:right w:type="dxa" w:w="100"/>
            </w:tcMar>
            <w:vAlign w:val="center"/>
          </w:tcPr>
          <w:p>
            <w:pPr>
              <w:spacing w:line="276"/>
              <w:jc w:val="left"/>
            </w:pPr>
            <w:r>
              <w:rPr>
                <w:rFonts w:ascii="Times New Roman" w:cs="Times New Roman" w:eastAsia="Times New Roman" w:hAnsi="Times New Roman"/>
                <w:sz w:val="20"/>
                <w:szCs w:val="20"/>
              </w:rPr>
              <w:t xml:space="preserve">µg/m³ (25 anual)</w:t>
            </w:r>
          </w:p>
        </w:tc>
      </w:tr>
    </w:tbl>
    <w:p>
      <w:pPr>
        <w:pStyle w:val="Heading1"/>
        <w:spacing w:after="200" w:before="400" w:line="480"/>
        <w:jc w:val="center"/>
      </w:pPr>
      <w:r>
        <w:rPr>
          <w:rFonts w:ascii="Times New Roman" w:cs="Times New Roman" w:eastAsia="Times New Roman" w:hAnsi="Times New Roman"/>
          <w:b/>
          <w:bCs/>
          <w:color w:val="000000"/>
          <w:sz w:val="24"/>
          <w:szCs w:val="24"/>
        </w:rPr>
        <w:t xml:space="preserve">Ecuaciones del modelo, parámetros y unidades</w:t>
      </w:r>
    </w:p>
    <w:p>
      <w:pPr>
        <w:pStyle w:val="Heading2"/>
        <w:spacing w:after="150" w:before="300" w:line="480"/>
        <w:jc w:val="left"/>
      </w:pPr>
      <w:r>
        <w:rPr>
          <w:rFonts w:ascii="Times New Roman" w:cs="Times New Roman" w:eastAsia="Times New Roman" w:hAnsi="Times New Roman"/>
          <w:b/>
          <w:bCs/>
          <w:color w:val="000000"/>
          <w:sz w:val="24"/>
          <w:szCs w:val="24"/>
        </w:rPr>
        <w:t xml:space="preserve">Ecuación de nivel (stock)</w:t>
      </w:r>
    </w:p>
    <w:p>
      <w:pPr>
        <w:spacing w:after="200" w:before="0" w:line="480"/>
        <w:jc w:val="both"/>
      </w:pPr>
      <w:r>
        <w:rPr>
          <w:rFonts w:ascii="Times New Roman" w:cs="Times New Roman" w:eastAsia="Times New Roman" w:hAnsi="Times New Roman"/>
          <w:i/>
          <w:iCs/>
          <w:sz w:val="24"/>
          <w:szCs w:val="24"/>
        </w:rPr>
        <w:t xml:space="preserve">C(t+1) = C(t) + Emisiones(t) − Dispersión(t), con C(t) ≥ 0</w:t>
      </w:r>
    </w:p>
    <w:p>
      <w:pPr>
        <w:pStyle w:val="Heading2"/>
        <w:spacing w:after="150" w:before="300" w:line="480"/>
        <w:jc w:val="left"/>
      </w:pPr>
      <w:r>
        <w:rPr>
          <w:rFonts w:ascii="Times New Roman" w:cs="Times New Roman" w:eastAsia="Times New Roman" w:hAnsi="Times New Roman"/>
          <w:b/>
          <w:bCs/>
          <w:color w:val="000000"/>
          <w:sz w:val="24"/>
          <w:szCs w:val="24"/>
        </w:rPr>
        <w:t xml:space="preserve">Flujo de entrada</w:t>
      </w:r>
    </w:p>
    <w:p>
      <w:pPr>
        <w:spacing w:after="200" w:before="0" w:line="480"/>
        <w:jc w:val="both"/>
      </w:pPr>
      <w:r>
        <w:rPr>
          <w:rFonts w:ascii="Times New Roman" w:cs="Times New Roman" w:eastAsia="Times New Roman" w:hAnsi="Times New Roman"/>
          <w:i/>
          <w:iCs/>
          <w:sz w:val="24"/>
          <w:szCs w:val="24"/>
        </w:rPr>
        <w:t xml:space="preserve">Emisiones(t) = Densidad_vehicular(t) × Tasa_emisión_vehicular</w:t>
      </w:r>
    </w:p>
    <w:p>
      <w:pPr>
        <w:pStyle w:val="Heading2"/>
        <w:spacing w:after="150" w:before="300" w:line="480"/>
        <w:jc w:val="left"/>
      </w:pPr>
      <w:r>
        <w:rPr>
          <w:rFonts w:ascii="Times New Roman" w:cs="Times New Roman" w:eastAsia="Times New Roman" w:hAnsi="Times New Roman"/>
          <w:b/>
          <w:bCs/>
          <w:color w:val="000000"/>
          <w:sz w:val="24"/>
          <w:szCs w:val="24"/>
        </w:rPr>
        <w:t xml:space="preserve">Flujo de salida (corregido para consistencia dimensional)</w:t>
      </w:r>
    </w:p>
    <w:p>
      <w:pPr>
        <w:spacing w:after="200" w:before="0" w:line="480"/>
        <w:jc w:val="both"/>
      </w:pPr>
      <w:r>
        <w:rPr>
          <w:rFonts w:ascii="Times New Roman" w:cs="Times New Roman" w:eastAsia="Times New Roman" w:hAnsi="Times New Roman"/>
          <w:i/>
          <w:iCs/>
          <w:sz w:val="24"/>
          <w:szCs w:val="24"/>
        </w:rPr>
        <w:t xml:space="preserve">Dispersión(t) = Capacidad_dispersión_natural × (Viento_normalizado(t) + Precipitación_normalizada(t)) × C(t)</w:t>
      </w:r>
    </w:p>
    <w:p>
      <w:pPr>
        <w:spacing w:after="200" w:before="0" w:line="480"/>
        <w:jc w:val="both"/>
      </w:pPr>
      <w:r>
        <w:rPr>
          <w:rFonts w:ascii="Times New Roman" w:cs="Times New Roman" w:eastAsia="Times New Roman" w:hAnsi="Times New Roman"/>
          <w:sz w:val="24"/>
          <w:szCs w:val="24"/>
        </w:rPr>
        <w:t xml:space="preserve">donde las variables climáticas se expresan como índices adimensionales respecto a una constante de normalización de magnitud unitaria en su propia unidad:</w:t>
      </w:r>
    </w:p>
    <w:p>
      <w:pPr>
        <w:spacing w:after="200" w:before="0" w:line="480"/>
        <w:jc w:val="both"/>
      </w:pPr>
      <w:r>
        <w:rPr>
          <w:rFonts w:ascii="Times New Roman" w:cs="Times New Roman" w:eastAsia="Times New Roman" w:hAnsi="Times New Roman"/>
          <w:i/>
          <w:iCs/>
          <w:sz w:val="24"/>
          <w:szCs w:val="24"/>
        </w:rPr>
        <w:t xml:space="preserve">Viento_normalizado(t) = Velocidad_viento(t) / Viento_referencia, con Viento_referencia = 1 m/s</w:t>
      </w:r>
    </w:p>
    <w:p>
      <w:pPr>
        <w:spacing w:after="200" w:before="0" w:line="480"/>
        <w:jc w:val="both"/>
      </w:pPr>
      <w:r>
        <w:rPr>
          <w:rFonts w:ascii="Times New Roman" w:cs="Times New Roman" w:eastAsia="Times New Roman" w:hAnsi="Times New Roman"/>
          <w:i/>
          <w:iCs/>
          <w:sz w:val="24"/>
          <w:szCs w:val="24"/>
        </w:rPr>
        <w:t xml:space="preserve">Precipitación_normalizada(t) = Precipitación(t) / Precipitación_referencia, con Precipitación_referencia = 1 mm/mes</w:t>
      </w:r>
    </w:p>
    <w:p>
      <w:pPr>
        <w:spacing w:after="200" w:before="0" w:line="480"/>
        <w:jc w:val="both"/>
      </w:pPr>
      <w:r>
        <w:rPr>
          <w:rFonts w:ascii="Times New Roman" w:cs="Times New Roman" w:eastAsia="Times New Roman" w:hAnsi="Times New Roman"/>
          <w:sz w:val="24"/>
          <w:szCs w:val="24"/>
        </w:rPr>
        <w:t xml:space="preserve">Esta normalización no altera ningún valor numérico de la serie climática (dividir entre una constante de magnitud 1 en su propia unidad preserva la magnitud), pero convierte la suma en una operación dimensionalmente válida entre dos cantidades adimensionales. Como consecuencia, Capacidad_dispersión_natural queda expresada en una unidad limpia, 1/mes, en lugar de la unidad compuesta "por unidad de (viento+lluvia)" usada en la versión previa del modelo. El valor numérico calibrado de este parámetro (0.01425) no cambia bajo esta corrección.</w:t>
      </w:r>
    </w:p>
    <w:p>
      <w:pPr>
        <w:spacing w:after="200" w:before="0" w:line="480"/>
        <w:jc w:val="both"/>
      </w:pPr>
      <w:r>
        <w:rPr>
          <w:rFonts w:ascii="Times New Roman" w:cs="Times New Roman" w:eastAsia="Times New Roman" w:hAnsi="Times New Roman"/>
          <w:sz w:val="24"/>
          <w:szCs w:val="24"/>
        </w:rPr>
        <w:t xml:space="preserve">A diferencia de la formulación ilustrativa de referencia del proyecto (una resta constante independiente del nivel del stock), la dispersión se modela como una salida de primer orden proporcional al stock vigente, la forma estándar en Dinámica de Sistemas para un stock que "se drena" (analogía de la bañera; Sterman, 2000). Esta decisión permite que el modelo reproduzca la caída real observada durante la cuarentena de 2020, evitando concentraciones negativas o un crecimiento sin límite.</w:t>
      </w:r>
    </w:p>
    <w:p>
      <w:pPr>
        <w:pStyle w:val="Heading2"/>
        <w:spacing w:after="150" w:before="300" w:line="480"/>
        <w:jc w:val="left"/>
      </w:pPr>
      <w:r>
        <w:rPr>
          <w:rFonts w:ascii="Times New Roman" w:cs="Times New Roman" w:eastAsia="Times New Roman" w:hAnsi="Times New Roman"/>
          <w:b/>
          <w:bCs/>
          <w:color w:val="000000"/>
          <w:sz w:val="24"/>
          <w:szCs w:val="24"/>
        </w:rPr>
        <w:t xml:space="preserve">Auxiliar — Índice de calidad del aire</w:t>
      </w:r>
    </w:p>
    <w:p>
      <w:pPr>
        <w:spacing w:after="200" w:before="0" w:line="480"/>
        <w:jc w:val="both"/>
      </w:pPr>
      <w:r>
        <w:rPr>
          <w:rFonts w:ascii="Times New Roman" w:cs="Times New Roman" w:eastAsia="Times New Roman" w:hAnsi="Times New Roman"/>
          <w:sz w:val="24"/>
          <w:szCs w:val="24"/>
        </w:rPr>
        <w:t xml:space="preserve">Índice_calidad_aire(t) = f(Concentración PM2.5(t)), aplicando las tablas oficiales de puntos de quiebre (breakpoints) tipo EPA/INCA para PM2.5, interpoladas linealmente por tramo, sobre el promedio mensual simulado.</w:t>
      </w:r>
    </w:p>
    <w:p>
      <w:pPr>
        <w:pStyle w:val="Heading2"/>
        <w:spacing w:after="150" w:before="300" w:line="480"/>
        <w:jc w:val="left"/>
      </w:pPr>
      <w:r>
        <w:rPr>
          <w:rFonts w:ascii="Times New Roman" w:cs="Times New Roman" w:eastAsia="Times New Roman" w:hAnsi="Times New Roman"/>
          <w:b/>
          <w:bCs/>
          <w:color w:val="000000"/>
          <w:sz w:val="24"/>
          <w:szCs w:val="24"/>
        </w:rPr>
        <w:t xml:space="preserve">Parámetros calibrados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800"/>
        <w:gridCol w:w="2960"/>
      </w:tblGrid>
      <w:tr>
        <w:tc>
          <w:tcPr>
            <w:tcW w:type="dxa" w:w="3600"/>
            <w:shd w:fill="D9D9D9" w:val="clear"/>
            <w:tcMar>
              <w:top w:type="dxa" w:w="80"/>
              <w:left w:type="dxa" w:w="100"/>
              <w:bottom w:type="dxa" w:w="80"/>
              <w:right w:type="dxa" w:w="100"/>
            </w:tcMar>
            <w:vAlign w:val="center"/>
          </w:tcPr>
          <w:p>
            <w:pPr>
              <w:spacing w:line="276"/>
              <w:jc w:val="left"/>
            </w:pPr>
            <w:r>
              <w:rPr>
                <w:rFonts w:ascii="Times New Roman" w:cs="Times New Roman" w:eastAsia="Times New Roman" w:hAnsi="Times New Roman"/>
                <w:b/>
                <w:bCs/>
                <w:sz w:val="20"/>
                <w:szCs w:val="20"/>
              </w:rPr>
              <w:t xml:space="preserve">Parámetro</w:t>
            </w:r>
          </w:p>
        </w:tc>
        <w:tc>
          <w:tcPr>
            <w:tcW w:type="dxa" w:w="2800"/>
            <w:shd w:fill="D9D9D9" w:val="clear"/>
            <w:tcMar>
              <w:top w:type="dxa" w:w="80"/>
              <w:left w:type="dxa" w:w="100"/>
              <w:bottom w:type="dxa" w:w="80"/>
              <w:right w:type="dxa" w:w="100"/>
            </w:tcMar>
            <w:vAlign w:val="center"/>
          </w:tcPr>
          <w:p>
            <w:pPr>
              <w:spacing w:line="276"/>
              <w:jc w:val="left"/>
            </w:pPr>
            <w:r>
              <w:rPr>
                <w:rFonts w:ascii="Times New Roman" w:cs="Times New Roman" w:eastAsia="Times New Roman" w:hAnsi="Times New Roman"/>
                <w:b/>
                <w:bCs/>
                <w:sz w:val="20"/>
                <w:szCs w:val="20"/>
              </w:rPr>
              <w:t xml:space="preserve">Valor calibrado</w:t>
            </w:r>
          </w:p>
        </w:tc>
        <w:tc>
          <w:tcPr>
            <w:tcW w:type="dxa" w:w="2960"/>
            <w:shd w:fill="D9D9D9" w:val="clear"/>
            <w:tcMar>
              <w:top w:type="dxa" w:w="80"/>
              <w:left w:type="dxa" w:w="100"/>
              <w:bottom w:type="dxa" w:w="80"/>
              <w:right w:type="dxa" w:w="100"/>
            </w:tcMar>
            <w:vAlign w:val="center"/>
          </w:tcPr>
          <w:p>
            <w:pPr>
              <w:spacing w:line="276"/>
              <w:jc w:val="left"/>
            </w:pPr>
            <w:r>
              <w:rPr>
                <w:rFonts w:ascii="Times New Roman" w:cs="Times New Roman" w:eastAsia="Times New Roman" w:hAnsi="Times New Roman"/>
                <w:b/>
                <w:bCs/>
                <w:sz w:val="20"/>
                <w:szCs w:val="20"/>
              </w:rPr>
              <w:t xml:space="preserve">Unidad</w:t>
            </w:r>
          </w:p>
        </w:tc>
      </w:tr>
      <w:tr>
        <w:tc>
          <w:tcPr>
            <w:tcW w:type="dxa" w:w="3600"/>
            <w:tcMar>
              <w:top w:type="dxa" w:w="80"/>
              <w:left w:type="dxa" w:w="100"/>
              <w:bottom w:type="dxa" w:w="80"/>
              <w:right w:type="dxa" w:w="100"/>
            </w:tcMar>
            <w:vAlign w:val="center"/>
          </w:tcPr>
          <w:p>
            <w:pPr>
              <w:spacing w:line="276"/>
              <w:jc w:val="left"/>
            </w:pPr>
            <w:r>
              <w:rPr>
                <w:rFonts w:ascii="Times New Roman" w:cs="Times New Roman" w:eastAsia="Times New Roman" w:hAnsi="Times New Roman"/>
                <w:sz w:val="20"/>
                <w:szCs w:val="20"/>
              </w:rPr>
              <w:t xml:space="preserve">Tasa de emisión vehicular</w:t>
            </w:r>
          </w:p>
        </w:tc>
        <w:tc>
          <w:tcPr>
            <w:tcW w:type="dxa" w:w="2800"/>
            <w:tcMar>
              <w:top w:type="dxa" w:w="80"/>
              <w:left w:type="dxa" w:w="100"/>
              <w:bottom w:type="dxa" w:w="80"/>
              <w:right w:type="dxa" w:w="100"/>
            </w:tcMar>
            <w:vAlign w:val="center"/>
          </w:tcPr>
          <w:p>
            <w:pPr>
              <w:spacing w:line="276"/>
              <w:jc w:val="left"/>
            </w:pPr>
            <w:r>
              <w:rPr>
                <w:rFonts w:ascii="Times New Roman" w:cs="Times New Roman" w:eastAsia="Times New Roman" w:hAnsi="Times New Roman"/>
                <w:sz w:val="20"/>
                <w:szCs w:val="20"/>
              </w:rPr>
              <w:t xml:space="preserve">0.00473</w:t>
            </w:r>
          </w:p>
        </w:tc>
        <w:tc>
          <w:tcPr>
            <w:tcW w:type="dxa" w:w="2960"/>
            <w:tcMar>
              <w:top w:type="dxa" w:w="80"/>
              <w:left w:type="dxa" w:w="100"/>
              <w:bottom w:type="dxa" w:w="80"/>
              <w:right w:type="dxa" w:w="100"/>
            </w:tcMar>
            <w:vAlign w:val="center"/>
          </w:tcPr>
          <w:p>
            <w:pPr>
              <w:spacing w:line="276"/>
              <w:jc w:val="left"/>
            </w:pPr>
            <w:r>
              <w:rPr>
                <w:rFonts w:ascii="Times New Roman" w:cs="Times New Roman" w:eastAsia="Times New Roman" w:hAnsi="Times New Roman"/>
                <w:sz w:val="20"/>
                <w:szCs w:val="20"/>
              </w:rPr>
              <w:t xml:space="preserve">µg/m³ por vehículo</w:t>
            </w:r>
          </w:p>
        </w:tc>
      </w:tr>
      <w:tr>
        <w:tc>
          <w:tcPr>
            <w:tcW w:type="dxa" w:w="3600"/>
            <w:tcMar>
              <w:top w:type="dxa" w:w="80"/>
              <w:left w:type="dxa" w:w="100"/>
              <w:bottom w:type="dxa" w:w="80"/>
              <w:right w:type="dxa" w:w="100"/>
            </w:tcMar>
            <w:vAlign w:val="center"/>
          </w:tcPr>
          <w:p>
            <w:pPr>
              <w:spacing w:line="276"/>
              <w:jc w:val="left"/>
            </w:pPr>
            <w:r>
              <w:rPr>
                <w:rFonts w:ascii="Times New Roman" w:cs="Times New Roman" w:eastAsia="Times New Roman" w:hAnsi="Times New Roman"/>
                <w:sz w:val="20"/>
                <w:szCs w:val="20"/>
              </w:rPr>
              <w:t xml:space="preserve">Capacidad de dispersión natural</w:t>
            </w:r>
          </w:p>
        </w:tc>
        <w:tc>
          <w:tcPr>
            <w:tcW w:type="dxa" w:w="2800"/>
            <w:tcMar>
              <w:top w:type="dxa" w:w="80"/>
              <w:left w:type="dxa" w:w="100"/>
              <w:bottom w:type="dxa" w:w="80"/>
              <w:right w:type="dxa" w:w="100"/>
            </w:tcMar>
            <w:vAlign w:val="center"/>
          </w:tcPr>
          <w:p>
            <w:pPr>
              <w:spacing w:line="276"/>
              <w:jc w:val="left"/>
            </w:pPr>
            <w:r>
              <w:rPr>
                <w:rFonts w:ascii="Times New Roman" w:cs="Times New Roman" w:eastAsia="Times New Roman" w:hAnsi="Times New Roman"/>
                <w:sz w:val="20"/>
                <w:szCs w:val="20"/>
              </w:rPr>
              <w:t xml:space="preserve">0.01425</w:t>
            </w:r>
          </w:p>
        </w:tc>
        <w:tc>
          <w:tcPr>
            <w:tcW w:type="dxa" w:w="2960"/>
            <w:tcMar>
              <w:top w:type="dxa" w:w="80"/>
              <w:left w:type="dxa" w:w="100"/>
              <w:bottom w:type="dxa" w:w="80"/>
              <w:right w:type="dxa" w:w="100"/>
            </w:tcMar>
            <w:vAlign w:val="center"/>
          </w:tcPr>
          <w:p>
            <w:pPr>
              <w:spacing w:line="276"/>
              <w:jc w:val="left"/>
            </w:pPr>
            <w:r>
              <w:rPr>
                <w:rFonts w:ascii="Times New Roman" w:cs="Times New Roman" w:eastAsia="Times New Roman" w:hAnsi="Times New Roman"/>
                <w:sz w:val="20"/>
                <w:szCs w:val="20"/>
              </w:rPr>
              <w:t xml:space="preserve">1/mes (corregido; antes expresado en unidad compuesta)</w:t>
            </w:r>
          </w:p>
        </w:tc>
      </w:tr>
      <w:tr>
        <w:tc>
          <w:tcPr>
            <w:tcW w:type="dxa" w:w="3600"/>
            <w:tcMar>
              <w:top w:type="dxa" w:w="80"/>
              <w:left w:type="dxa" w:w="100"/>
              <w:bottom w:type="dxa" w:w="80"/>
              <w:right w:type="dxa" w:w="100"/>
            </w:tcMar>
            <w:vAlign w:val="center"/>
          </w:tcPr>
          <w:p>
            <w:pPr>
              <w:spacing w:line="276"/>
              <w:jc w:val="left"/>
            </w:pPr>
            <w:r>
              <w:rPr>
                <w:rFonts w:ascii="Times New Roman" w:cs="Times New Roman" w:eastAsia="Times New Roman" w:hAnsi="Times New Roman"/>
                <w:sz w:val="20"/>
                <w:szCs w:val="20"/>
              </w:rPr>
              <w:t xml:space="preserve">Densidad vehicular de referencia (DV_base)</w:t>
            </w:r>
          </w:p>
        </w:tc>
        <w:tc>
          <w:tcPr>
            <w:tcW w:type="dxa" w:w="2800"/>
            <w:tcMar>
              <w:top w:type="dxa" w:w="80"/>
              <w:left w:type="dxa" w:w="100"/>
              <w:bottom w:type="dxa" w:w="80"/>
              <w:right w:type="dxa" w:w="100"/>
            </w:tcMar>
            <w:vAlign w:val="center"/>
          </w:tcPr>
          <w:p>
            <w:pPr>
              <w:spacing w:line="276"/>
              <w:jc w:val="left"/>
            </w:pPr>
            <w:r>
              <w:rPr>
                <w:rFonts w:ascii="Times New Roman" w:cs="Times New Roman" w:eastAsia="Times New Roman" w:hAnsi="Times New Roman"/>
                <w:sz w:val="20"/>
                <w:szCs w:val="20"/>
              </w:rPr>
              <w:t xml:space="preserve">700</w:t>
            </w:r>
          </w:p>
        </w:tc>
        <w:tc>
          <w:tcPr>
            <w:tcW w:type="dxa" w:w="2960"/>
            <w:tcMar>
              <w:top w:type="dxa" w:w="80"/>
              <w:left w:type="dxa" w:w="100"/>
              <w:bottom w:type="dxa" w:w="80"/>
              <w:right w:type="dxa" w:w="100"/>
            </w:tcMar>
            <w:vAlign w:val="center"/>
          </w:tcPr>
          <w:p>
            <w:pPr>
              <w:spacing w:line="276"/>
              <w:jc w:val="left"/>
            </w:pPr>
            <w:r>
              <w:rPr>
                <w:rFonts w:ascii="Times New Roman" w:cs="Times New Roman" w:eastAsia="Times New Roman" w:hAnsi="Times New Roman"/>
                <w:sz w:val="20"/>
                <w:szCs w:val="20"/>
              </w:rPr>
              <w:t xml:space="preserve">vehículos/km²</w:t>
            </w:r>
          </w:p>
        </w:tc>
      </w:tr>
      <w:tr>
        <w:tc>
          <w:tcPr>
            <w:tcW w:type="dxa" w:w="3600"/>
            <w:tcMar>
              <w:top w:type="dxa" w:w="80"/>
              <w:left w:type="dxa" w:w="100"/>
              <w:bottom w:type="dxa" w:w="80"/>
              <w:right w:type="dxa" w:w="100"/>
            </w:tcMar>
            <w:vAlign w:val="center"/>
          </w:tcPr>
          <w:p>
            <w:pPr>
              <w:spacing w:line="276"/>
              <w:jc w:val="left"/>
            </w:pPr>
            <w:r>
              <w:rPr>
                <w:rFonts w:ascii="Times New Roman" w:cs="Times New Roman" w:eastAsia="Times New Roman" w:hAnsi="Times New Roman"/>
                <w:sz w:val="20"/>
                <w:szCs w:val="20"/>
              </w:rPr>
              <w:t xml:space="preserve">Condición inicial C(0)</w:t>
            </w:r>
          </w:p>
        </w:tc>
        <w:tc>
          <w:tcPr>
            <w:tcW w:type="dxa" w:w="2800"/>
            <w:tcMar>
              <w:top w:type="dxa" w:w="80"/>
              <w:left w:type="dxa" w:w="100"/>
              <w:bottom w:type="dxa" w:w="80"/>
              <w:right w:type="dxa" w:w="100"/>
            </w:tcMar>
            <w:vAlign w:val="center"/>
          </w:tcPr>
          <w:p>
            <w:pPr>
              <w:spacing w:line="276"/>
              <w:jc w:val="left"/>
            </w:pPr>
            <w:r>
              <w:rPr>
                <w:rFonts w:ascii="Times New Roman" w:cs="Times New Roman" w:eastAsia="Times New Roman" w:hAnsi="Times New Roman"/>
                <w:sz w:val="20"/>
                <w:szCs w:val="20"/>
              </w:rPr>
              <w:t xml:space="preserve">13.4</w:t>
            </w:r>
          </w:p>
        </w:tc>
        <w:tc>
          <w:tcPr>
            <w:tcW w:type="dxa" w:w="2960"/>
            <w:tcMar>
              <w:top w:type="dxa" w:w="80"/>
              <w:left w:type="dxa" w:w="100"/>
              <w:bottom w:type="dxa" w:w="80"/>
              <w:right w:type="dxa" w:w="100"/>
            </w:tcMar>
            <w:vAlign w:val="center"/>
          </w:tcPr>
          <w:p>
            <w:pPr>
              <w:spacing w:line="276"/>
              <w:jc w:val="left"/>
            </w:pPr>
            <w:r>
              <w:rPr>
                <w:rFonts w:ascii="Times New Roman" w:cs="Times New Roman" w:eastAsia="Times New Roman" w:hAnsi="Times New Roman"/>
                <w:sz w:val="20"/>
                <w:szCs w:val="20"/>
              </w:rPr>
              <w:t xml:space="preserve">µg/m³ (mar. 2020, primer valor disponible)</w:t>
            </w:r>
          </w:p>
        </w:tc>
      </w:tr>
    </w:tbl>
    <w:p>
      <w:pPr>
        <w:pStyle w:val="Heading1"/>
        <w:spacing w:after="200" w:before="400" w:line="480"/>
        <w:jc w:val="center"/>
      </w:pPr>
      <w:r>
        <w:rPr>
          <w:rFonts w:ascii="Times New Roman" w:cs="Times New Roman" w:eastAsia="Times New Roman" w:hAnsi="Times New Roman"/>
          <w:b/>
          <w:bCs/>
          <w:color w:val="000000"/>
          <w:sz w:val="24"/>
          <w:szCs w:val="24"/>
        </w:rPr>
        <w:t xml:space="preserve">Supuestos y limitaciones</w:t>
      </w:r>
    </w:p>
    <w:p>
      <w:pPr>
        <w:pStyle w:val="Heading2"/>
        <w:spacing w:after="150" w:before="300" w:line="480"/>
        <w:jc w:val="left"/>
      </w:pPr>
      <w:r>
        <w:rPr>
          <w:rFonts w:ascii="Times New Roman" w:cs="Times New Roman" w:eastAsia="Times New Roman" w:hAnsi="Times New Roman"/>
          <w:b/>
          <w:bCs/>
          <w:color w:val="000000"/>
          <w:sz w:val="24"/>
          <w:szCs w:val="24"/>
        </w:rPr>
        <w:t xml:space="preserve">Sobre la densidad vehicular (proxy)</w:t>
      </w:r>
    </w:p>
    <w:p>
      <w:pPr>
        <w:spacing w:after="200" w:before="0" w:line="480"/>
        <w:jc w:val="both"/>
      </w:pPr>
      <w:r>
        <w:rPr>
          <w:rFonts w:ascii="Times New Roman" w:cs="Times New Roman" w:eastAsia="Times New Roman" w:hAnsi="Times New Roman"/>
          <w:sz w:val="24"/>
          <w:szCs w:val="24"/>
        </w:rPr>
        <w:t xml:space="preserve">El dataset real de SENAMHI utilizado no incluye conteos de tráfico vehicular, y la columna NO2 no tiene registros para la estación de San Juan de Lurigancho en el periodo 2020-2022. Por ello, la densidad vehicular se construye como un proxy con dos componentes verificables: (1) un valor base de referencia (~700 vehículos/km²), derivado de la tasa nacional de tenencia vehicular (~88 vehículos por cada 1,000 habitantes; AAP, 2025) aplicada a la población de SJL (1,038,495 habitantes, censo INEI 2017) y su superficie (131.25 km², INEI, 2024); y (2) un índice de movilidad mensual (0.20-1.10) que refleja las fases documentadas de la pandemia en Lima. Esta serie es una estimación, no un conteo oficial en tiempo real.</w:t>
      </w:r>
    </w:p>
    <w:p>
      <w:pPr>
        <w:pStyle w:val="Heading2"/>
        <w:spacing w:after="150" w:before="300" w:line="480"/>
        <w:jc w:val="left"/>
      </w:pPr>
      <w:r>
        <w:rPr>
          <w:rFonts w:ascii="Times New Roman" w:cs="Times New Roman" w:eastAsia="Times New Roman" w:hAnsi="Times New Roman"/>
          <w:b/>
          <w:bCs/>
          <w:color w:val="000000"/>
          <w:sz w:val="24"/>
          <w:szCs w:val="24"/>
        </w:rPr>
        <w:t xml:space="preserve">Sobre el viento y la precipitación</w:t>
      </w:r>
    </w:p>
    <w:p>
      <w:pPr>
        <w:spacing w:after="200" w:before="0" w:line="480"/>
        <w:jc w:val="both"/>
      </w:pPr>
      <w:r>
        <w:rPr>
          <w:rFonts w:ascii="Times New Roman" w:cs="Times New Roman" w:eastAsia="Times New Roman" w:hAnsi="Times New Roman"/>
          <w:sz w:val="24"/>
          <w:szCs w:val="24"/>
        </w:rPr>
        <w:t xml:space="preserve">El dataset de calidad de aire de SENAMHI no incluye variables meteorológicas horarias. Se utiliza una climatología mensual aproximada, consistente con el clima desértico costero de Lima. Estos valores son referenciales y no provienen de una estación meteorológica específica de SJL; a partir de la Sección 15, se expresan además como índices normalizados para garantizar consistencia dimensional en la ecuación de dispersión.</w:t>
      </w:r>
    </w:p>
    <w:p>
      <w:pPr>
        <w:pStyle w:val="Heading2"/>
        <w:spacing w:after="150" w:before="300" w:line="480"/>
        <w:jc w:val="left"/>
      </w:pPr>
      <w:r>
        <w:rPr>
          <w:rFonts w:ascii="Times New Roman" w:cs="Times New Roman" w:eastAsia="Times New Roman" w:hAnsi="Times New Roman"/>
          <w:b/>
          <w:bCs/>
          <w:color w:val="000000"/>
          <w:sz w:val="24"/>
          <w:szCs w:val="24"/>
        </w:rPr>
        <w:t xml:space="preserve">Sobre la estructura del modelo</w:t>
      </w:r>
    </w:p>
    <w:p>
      <w:pPr>
        <w:pStyle w:val="ListParagraph"/>
        <w:numPr>
          <w:ilvl w:val="0"/>
          <w:numId w:val="1"/>
        </w:numPr>
        <w:spacing w:after="100" w:line="480"/>
        <w:ind w:left="360"/>
      </w:pPr>
      <w:r>
        <w:rPr>
          <w:rFonts w:ascii="Times New Roman" w:cs="Times New Roman" w:eastAsia="Times New Roman" w:hAnsi="Times New Roman"/>
          <w:sz w:val="24"/>
          <w:szCs w:val="24"/>
        </w:rPr>
        <w:t xml:space="preserve">La dispersión se modela como salida de primer orden proporcional al stock, una simplificación respecto a la dinámica atmosférica real, pero necesaria para evitar concentraciones negativas y capturar la caída real de 2020.</w:t>
      </w:r>
    </w:p>
    <w:p>
      <w:pPr>
        <w:pStyle w:val="ListParagraph"/>
        <w:numPr>
          <w:ilvl w:val="0"/>
          <w:numId w:val="1"/>
        </w:numPr>
        <w:spacing w:after="100" w:line="480"/>
        <w:ind w:left="360"/>
      </w:pPr>
      <w:r>
        <w:rPr>
          <w:rFonts w:ascii="Times New Roman" w:cs="Times New Roman" w:eastAsia="Times New Roman" w:hAnsi="Times New Roman"/>
          <w:sz w:val="24"/>
          <w:szCs w:val="24"/>
        </w:rPr>
        <w:t xml:space="preserve">No se modelan por separado las emisiones industriales; la densidad vehicular actúa como proxy agregado del conjunto de fuentes de emisión dentro de la frontera del sistema.</w:t>
      </w:r>
    </w:p>
    <w:p>
      <w:pPr>
        <w:pStyle w:val="ListParagraph"/>
        <w:numPr>
          <w:ilvl w:val="0"/>
          <w:numId w:val="1"/>
        </w:numPr>
        <w:spacing w:after="100" w:line="480"/>
        <w:ind w:left="360"/>
      </w:pPr>
      <w:r>
        <w:rPr>
          <w:rFonts w:ascii="Times New Roman" w:cs="Times New Roman" w:eastAsia="Times New Roman" w:hAnsi="Times New Roman"/>
          <w:sz w:val="24"/>
          <w:szCs w:val="24"/>
        </w:rPr>
        <w:t xml:space="preserve">El Índice de calidad del aire se calcula sobre el promedio mensual simulado, mientras que los estándares oficiales (EPA/INCA) están definidos para promedios de 24 horas; esto es una simplificación explícita.</w:t>
      </w:r>
    </w:p>
    <w:p>
      <w:pPr>
        <w:pStyle w:val="ListParagraph"/>
        <w:numPr>
          <w:ilvl w:val="0"/>
          <w:numId w:val="1"/>
        </w:numPr>
        <w:spacing w:after="100" w:line="480"/>
        <w:ind w:left="360"/>
      </w:pPr>
      <w:r>
        <w:rPr>
          <w:rFonts w:ascii="Times New Roman" w:cs="Times New Roman" w:eastAsia="Times New Roman" w:hAnsi="Times New Roman"/>
          <w:sz w:val="24"/>
          <w:szCs w:val="24"/>
        </w:rPr>
        <w:t xml:space="preserve">El horizonte de calibración (2020-2022) incluye un evento atípico y no recurrente (cuarentena COVID-19), lo que puede sobre/subestimar la sensibilidad de largo plazo frente a un periodo sin choques externos.</w:t>
      </w:r>
    </w:p>
    <w:p>
      <w:pPr>
        <w:pStyle w:val="ListParagraph"/>
        <w:numPr>
          <w:ilvl w:val="0"/>
          <w:numId w:val="1"/>
        </w:numPr>
        <w:spacing w:after="100" w:line="480"/>
        <w:ind w:left="360"/>
      </w:pPr>
      <w:r>
        <w:rPr>
          <w:rFonts w:ascii="Times New Roman" w:cs="Times New Roman" w:eastAsia="Times New Roman" w:hAnsi="Times New Roman"/>
          <w:sz w:val="24"/>
          <w:szCs w:val="24"/>
        </w:rPr>
        <w:t xml:space="preserve">El modelo no captura variabilidad de alta frecuencia (diaria/semanal) ni eventos puntuales (incendios, quema de residuos, obras viales); solo el comportamiento agregado mensual.</w:t>
      </w:r>
    </w:p>
    <w:p>
      <w:pPr>
        <w:pStyle w:val="Heading1"/>
        <w:spacing w:after="200" w:before="400" w:line="480"/>
        <w:jc w:val="center"/>
      </w:pPr>
      <w:r>
        <w:rPr>
          <w:rFonts w:ascii="Times New Roman" w:cs="Times New Roman" w:eastAsia="Times New Roman" w:hAnsi="Times New Roman"/>
          <w:b/>
          <w:bCs/>
          <w:color w:val="000000"/>
          <w:sz w:val="24"/>
          <w:szCs w:val="24"/>
        </w:rPr>
        <w:t xml:space="preserve">Simulación del escenario base</w:t>
      </w:r>
    </w:p>
    <w:p>
      <w:pPr>
        <w:spacing w:after="200" w:before="0" w:line="480"/>
        <w:jc w:val="both"/>
      </w:pPr>
      <w:r>
        <w:rPr>
          <w:rFonts w:ascii="Times New Roman" w:cs="Times New Roman" w:eastAsia="Times New Roman" w:hAnsi="Times New Roman"/>
          <w:sz w:val="24"/>
          <w:szCs w:val="24"/>
        </w:rPr>
        <w:t xml:space="preserve">Se simula el escenario base para el horizonte completo (36 meses, paso mensual, enero 2020 - diciembre 2022), con los parámetros calibrados minimizando el error cuadrático entre la serie simulada y la serie real de SENAMHI.</w:t>
      </w:r>
    </w:p>
    <w:p>
      <w:pPr>
        <w:spacing w:after="100" w:before="200"/>
        <w:jc w:val="center"/>
      </w:pPr>
      <w:r>
        <w:drawing>
          <wp:inline distT="0" distB="0" distL="0" distR="0">
            <wp:extent cx="4953000" cy="2314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953000" cy="2314575"/>
                    </a:xfrm>
                    <a:prstGeom prst="rect">
                      <a:avLst/>
                    </a:prstGeom>
                  </pic:spPr>
                </pic:pic>
              </a:graphicData>
            </a:graphic>
          </wp:inline>
        </w:drawing>
      </w:r>
    </w:p>
    <w:p>
      <w:pPr>
        <w:spacing w:after="300"/>
        <w:jc w:val="center"/>
      </w:pPr>
      <w:r>
        <w:rPr>
          <w:rFonts w:ascii="Times New Roman" w:cs="Times New Roman" w:eastAsia="Times New Roman" w:hAnsi="Times New Roman"/>
          <w:i/>
          <w:iCs/>
          <w:sz w:val="20"/>
          <w:szCs w:val="20"/>
        </w:rPr>
        <w:t xml:space="preserve">Figura 6. Escenario base simulado vs. serie real de SENAMHI, San Juan de Lurigancho (2020-2022).</w:t>
      </w:r>
    </w:p>
    <w:p>
      <w:pPr>
        <w:spacing w:after="100" w:before="200"/>
        <w:jc w:val="center"/>
      </w:pPr>
      <w:r>
        <w:drawing>
          <wp:inline distT="0" distB="0" distL="0" distR="0">
            <wp:extent cx="4762500" cy="2114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762500" cy="2114550"/>
                    </a:xfrm>
                    <a:prstGeom prst="rect">
                      <a:avLst/>
                    </a:prstGeom>
                  </pic:spPr>
                </pic:pic>
              </a:graphicData>
            </a:graphic>
          </wp:inline>
        </w:drawing>
      </w:r>
    </w:p>
    <w:p>
      <w:pPr>
        <w:spacing w:after="300"/>
        <w:jc w:val="center"/>
      </w:pPr>
      <w:r>
        <w:rPr>
          <w:rFonts w:ascii="Times New Roman" w:cs="Times New Roman" w:eastAsia="Times New Roman" w:hAnsi="Times New Roman"/>
          <w:i/>
          <w:iCs/>
          <w:sz w:val="20"/>
          <w:szCs w:val="20"/>
        </w:rPr>
        <w:t xml:space="preserve">Figura 7. Flujos del modelo: emisiones (entrada) vs. dispersión/depósito (salida).</w:t>
      </w:r>
    </w:p>
    <w:p>
      <w:pPr>
        <w:spacing w:after="100" w:before="200"/>
        <w:jc w:val="center"/>
      </w:pPr>
      <w:r>
        <w:drawing>
          <wp:inline distT="0" distB="0" distL="0" distR="0">
            <wp:extent cx="4762500" cy="2114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762500" cy="2114550"/>
                    </a:xfrm>
                    <a:prstGeom prst="rect">
                      <a:avLst/>
                    </a:prstGeom>
                  </pic:spPr>
                </pic:pic>
              </a:graphicData>
            </a:graphic>
          </wp:inline>
        </w:drawing>
      </w:r>
    </w:p>
    <w:p>
      <w:pPr>
        <w:spacing w:after="300"/>
        <w:jc w:val="center"/>
      </w:pPr>
      <w:r>
        <w:rPr>
          <w:rFonts w:ascii="Times New Roman" w:cs="Times New Roman" w:eastAsia="Times New Roman" w:hAnsi="Times New Roman"/>
          <w:i/>
          <w:iCs/>
          <w:sz w:val="20"/>
          <w:szCs w:val="20"/>
        </w:rPr>
        <w:t xml:space="preserve">Figura 8. Densidad vehicular (proxy de movilidad), insumo calibrado del flujo de emisiones.</w:t>
      </w:r>
    </w:p>
    <w:p>
      <w:pPr>
        <w:pStyle w:val="Heading2"/>
        <w:spacing w:after="150" w:before="300" w:line="480"/>
        <w:jc w:val="left"/>
      </w:pPr>
      <w:r>
        <w:rPr>
          <w:rFonts w:ascii="Times New Roman" w:cs="Times New Roman" w:eastAsia="Times New Roman" w:hAnsi="Times New Roman"/>
          <w:b/>
          <w:bCs/>
          <w:color w:val="000000"/>
          <w:sz w:val="24"/>
          <w:szCs w:val="24"/>
        </w:rPr>
        <w:t xml:space="preserve">Comparación de promedios anuales (real vs. simulado)</w:t>
      </w:r>
    </w:p>
    <w:p>
      <w:pPr>
        <w:spacing w:after="200" w:before="0" w:line="480"/>
        <w:jc w:val="both"/>
      </w:pPr>
      <w:r>
        <w:rPr>
          <w:rFonts w:ascii="Times New Roman" w:cs="Times New Roman" w:eastAsia="Times New Roman" w:hAnsi="Times New Roman"/>
          <w:sz w:val="24"/>
          <w:szCs w:val="24"/>
        </w:rPr>
        <w:t xml:space="preserve">Nota de corrección: el valor real de 2020 fue verificado ejecutando el notebook real de calibración (Sección 15) contra el dataset oficial de SENAMHI, reemplazando la cifra reportada previamente (21.0 µg/m³) por el valor correcto de 22.6 µg/m³, consistente con la metodología del propio notebook (promedio simple de los promedios mensuales). Los valores de 2021 y 2022 se mantienen, al coincidir exactamente con la ejecución real del notebook.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shd w:fill="D9D9D9" w:val="clear"/>
            <w:tcMar>
              <w:top w:type="dxa" w:w="80"/>
              <w:left w:type="dxa" w:w="100"/>
              <w:bottom w:type="dxa" w:w="80"/>
              <w:right w:type="dxa" w:w="100"/>
            </w:tcMar>
            <w:vAlign w:val="center"/>
          </w:tcPr>
          <w:p>
            <w:pPr>
              <w:spacing w:line="276"/>
              <w:jc w:val="left"/>
            </w:pPr>
            <w:r>
              <w:rPr>
                <w:rFonts w:ascii="Times New Roman" w:cs="Times New Roman" w:eastAsia="Times New Roman" w:hAnsi="Times New Roman"/>
                <w:b/>
                <w:bCs/>
                <w:sz w:val="20"/>
                <w:szCs w:val="20"/>
              </w:rPr>
              <w:t xml:space="preserve">Año</w:t>
            </w:r>
          </w:p>
        </w:tc>
        <w:tc>
          <w:tcPr>
            <w:tcW w:type="dxa" w:w="3120"/>
            <w:shd w:fill="D9D9D9" w:val="clear"/>
            <w:tcMar>
              <w:top w:type="dxa" w:w="80"/>
              <w:left w:type="dxa" w:w="100"/>
              <w:bottom w:type="dxa" w:w="80"/>
              <w:right w:type="dxa" w:w="100"/>
            </w:tcMar>
            <w:vAlign w:val="center"/>
          </w:tcPr>
          <w:p>
            <w:pPr>
              <w:spacing w:line="276"/>
              <w:jc w:val="left"/>
            </w:pPr>
            <w:r>
              <w:rPr>
                <w:rFonts w:ascii="Times New Roman" w:cs="Times New Roman" w:eastAsia="Times New Roman" w:hAnsi="Times New Roman"/>
                <w:b/>
                <w:bCs/>
                <w:sz w:val="20"/>
                <w:szCs w:val="20"/>
              </w:rPr>
              <w:t xml:space="preserve">PM2.5 real (µg/m³)</w:t>
            </w:r>
          </w:p>
        </w:tc>
        <w:tc>
          <w:tcPr>
            <w:tcW w:type="dxa" w:w="3120"/>
            <w:shd w:fill="D9D9D9" w:val="clear"/>
            <w:tcMar>
              <w:top w:type="dxa" w:w="80"/>
              <w:left w:type="dxa" w:w="100"/>
              <w:bottom w:type="dxa" w:w="80"/>
              <w:right w:type="dxa" w:w="100"/>
            </w:tcMar>
            <w:vAlign w:val="center"/>
          </w:tcPr>
          <w:p>
            <w:pPr>
              <w:spacing w:line="276"/>
              <w:jc w:val="left"/>
            </w:pPr>
            <w:r>
              <w:rPr>
                <w:rFonts w:ascii="Times New Roman" w:cs="Times New Roman" w:eastAsia="Times New Roman" w:hAnsi="Times New Roman"/>
                <w:b/>
                <w:bCs/>
                <w:sz w:val="20"/>
                <w:szCs w:val="20"/>
              </w:rPr>
              <w:t xml:space="preserve">PM2.5 simulado (µg/m³)</w:t>
            </w:r>
          </w:p>
        </w:tc>
      </w:tr>
      <w:tr>
        <w:tc>
          <w:tcPr>
            <w:tcW w:type="dxa" w:w="3120"/>
            <w:tcMar>
              <w:top w:type="dxa" w:w="80"/>
              <w:left w:type="dxa" w:w="100"/>
              <w:bottom w:type="dxa" w:w="80"/>
              <w:right w:type="dxa" w:w="100"/>
            </w:tcMar>
            <w:vAlign w:val="center"/>
          </w:tcPr>
          <w:p>
            <w:pPr>
              <w:spacing w:line="276"/>
              <w:jc w:val="left"/>
            </w:pPr>
            <w:r>
              <w:rPr>
                <w:rFonts w:ascii="Times New Roman" w:cs="Times New Roman" w:eastAsia="Times New Roman" w:hAnsi="Times New Roman"/>
                <w:sz w:val="20"/>
                <w:szCs w:val="20"/>
              </w:rPr>
              <w:t xml:space="preserve">2020</w:t>
            </w:r>
          </w:p>
        </w:tc>
        <w:tc>
          <w:tcPr>
            <w:tcW w:type="dxa" w:w="3120"/>
            <w:tcMar>
              <w:top w:type="dxa" w:w="80"/>
              <w:left w:type="dxa" w:w="100"/>
              <w:bottom w:type="dxa" w:w="80"/>
              <w:right w:type="dxa" w:w="100"/>
            </w:tcMar>
            <w:vAlign w:val="center"/>
          </w:tcPr>
          <w:p>
            <w:pPr>
              <w:spacing w:line="276"/>
              <w:jc w:val="left"/>
            </w:pPr>
            <w:r>
              <w:rPr>
                <w:rFonts w:ascii="Times New Roman" w:cs="Times New Roman" w:eastAsia="Times New Roman" w:hAnsi="Times New Roman"/>
                <w:sz w:val="20"/>
                <w:szCs w:val="20"/>
              </w:rPr>
              <w:t xml:space="preserve">22.6</w:t>
            </w:r>
          </w:p>
        </w:tc>
        <w:tc>
          <w:tcPr>
            <w:tcW w:type="dxa" w:w="3120"/>
            <w:tcMar>
              <w:top w:type="dxa" w:w="80"/>
              <w:left w:type="dxa" w:w="100"/>
              <w:bottom w:type="dxa" w:w="80"/>
              <w:right w:type="dxa" w:w="100"/>
            </w:tcMar>
            <w:vAlign w:val="center"/>
          </w:tcPr>
          <w:p>
            <w:pPr>
              <w:spacing w:line="276"/>
              <w:jc w:val="left"/>
            </w:pPr>
            <w:r>
              <w:rPr>
                <w:rFonts w:ascii="Times New Roman" w:cs="Times New Roman" w:eastAsia="Times New Roman" w:hAnsi="Times New Roman"/>
                <w:sz w:val="20"/>
                <w:szCs w:val="20"/>
              </w:rPr>
              <w:t xml:space="preserve">19.0</w:t>
            </w:r>
          </w:p>
        </w:tc>
      </w:tr>
      <w:tr>
        <w:tc>
          <w:tcPr>
            <w:tcW w:type="dxa" w:w="3120"/>
            <w:tcMar>
              <w:top w:type="dxa" w:w="80"/>
              <w:left w:type="dxa" w:w="100"/>
              <w:bottom w:type="dxa" w:w="80"/>
              <w:right w:type="dxa" w:w="100"/>
            </w:tcMar>
            <w:vAlign w:val="center"/>
          </w:tcPr>
          <w:p>
            <w:pPr>
              <w:spacing w:line="276"/>
              <w:jc w:val="left"/>
            </w:pPr>
            <w:r>
              <w:rPr>
                <w:rFonts w:ascii="Times New Roman" w:cs="Times New Roman" w:eastAsia="Times New Roman" w:hAnsi="Times New Roman"/>
                <w:sz w:val="20"/>
                <w:szCs w:val="20"/>
              </w:rPr>
              <w:t xml:space="preserve">2021</w:t>
            </w:r>
          </w:p>
        </w:tc>
        <w:tc>
          <w:tcPr>
            <w:tcW w:type="dxa" w:w="3120"/>
            <w:tcMar>
              <w:top w:type="dxa" w:w="80"/>
              <w:left w:type="dxa" w:w="100"/>
              <w:bottom w:type="dxa" w:w="80"/>
              <w:right w:type="dxa" w:w="100"/>
            </w:tcMar>
            <w:vAlign w:val="center"/>
          </w:tcPr>
          <w:p>
            <w:pPr>
              <w:spacing w:line="276"/>
              <w:jc w:val="left"/>
            </w:pPr>
            <w:r>
              <w:rPr>
                <w:rFonts w:ascii="Times New Roman" w:cs="Times New Roman" w:eastAsia="Times New Roman" w:hAnsi="Times New Roman"/>
                <w:sz w:val="20"/>
                <w:szCs w:val="20"/>
              </w:rPr>
              <w:t xml:space="preserve">30.8</w:t>
            </w:r>
          </w:p>
        </w:tc>
        <w:tc>
          <w:tcPr>
            <w:tcW w:type="dxa" w:w="3120"/>
            <w:tcMar>
              <w:top w:type="dxa" w:w="80"/>
              <w:left w:type="dxa" w:w="100"/>
              <w:bottom w:type="dxa" w:w="80"/>
              <w:right w:type="dxa" w:w="100"/>
            </w:tcMar>
            <w:vAlign w:val="center"/>
          </w:tcPr>
          <w:p>
            <w:pPr>
              <w:spacing w:line="276"/>
              <w:jc w:val="left"/>
            </w:pPr>
            <w:r>
              <w:rPr>
                <w:rFonts w:ascii="Times New Roman" w:cs="Times New Roman" w:eastAsia="Times New Roman" w:hAnsi="Times New Roman"/>
                <w:sz w:val="20"/>
                <w:szCs w:val="20"/>
              </w:rPr>
              <w:t xml:space="preserve">30.2</w:t>
            </w:r>
          </w:p>
        </w:tc>
      </w:tr>
      <w:tr>
        <w:tc>
          <w:tcPr>
            <w:tcW w:type="dxa" w:w="3120"/>
            <w:tcMar>
              <w:top w:type="dxa" w:w="80"/>
              <w:left w:type="dxa" w:w="100"/>
              <w:bottom w:type="dxa" w:w="80"/>
              <w:right w:type="dxa" w:w="100"/>
            </w:tcMar>
            <w:vAlign w:val="center"/>
          </w:tcPr>
          <w:p>
            <w:pPr>
              <w:spacing w:line="276"/>
              <w:jc w:val="left"/>
            </w:pPr>
            <w:r>
              <w:rPr>
                <w:rFonts w:ascii="Times New Roman" w:cs="Times New Roman" w:eastAsia="Times New Roman" w:hAnsi="Times New Roman"/>
                <w:sz w:val="20"/>
                <w:szCs w:val="20"/>
              </w:rPr>
              <w:t xml:space="preserve">2022</w:t>
            </w:r>
          </w:p>
        </w:tc>
        <w:tc>
          <w:tcPr>
            <w:tcW w:type="dxa" w:w="3120"/>
            <w:tcMar>
              <w:top w:type="dxa" w:w="80"/>
              <w:left w:type="dxa" w:w="100"/>
              <w:bottom w:type="dxa" w:w="80"/>
              <w:right w:type="dxa" w:w="100"/>
            </w:tcMar>
            <w:vAlign w:val="center"/>
          </w:tcPr>
          <w:p>
            <w:pPr>
              <w:spacing w:line="276"/>
              <w:jc w:val="left"/>
            </w:pPr>
            <w:r>
              <w:rPr>
                <w:rFonts w:ascii="Times New Roman" w:cs="Times New Roman" w:eastAsia="Times New Roman" w:hAnsi="Times New Roman"/>
                <w:sz w:val="20"/>
                <w:szCs w:val="20"/>
              </w:rPr>
              <w:t xml:space="preserve">41.1</w:t>
            </w:r>
          </w:p>
        </w:tc>
        <w:tc>
          <w:tcPr>
            <w:tcW w:type="dxa" w:w="3120"/>
            <w:tcMar>
              <w:top w:type="dxa" w:w="80"/>
              <w:left w:type="dxa" w:w="100"/>
              <w:bottom w:type="dxa" w:w="80"/>
              <w:right w:type="dxa" w:w="100"/>
            </w:tcMar>
            <w:vAlign w:val="center"/>
          </w:tcPr>
          <w:p>
            <w:pPr>
              <w:spacing w:line="276"/>
              <w:jc w:val="left"/>
            </w:pPr>
            <w:r>
              <w:rPr>
                <w:rFonts w:ascii="Times New Roman" w:cs="Times New Roman" w:eastAsia="Times New Roman" w:hAnsi="Times New Roman"/>
                <w:sz w:val="20"/>
                <w:szCs w:val="20"/>
              </w:rPr>
              <w:t xml:space="preserve">42.8</w:t>
            </w:r>
          </w:p>
        </w:tc>
      </w:tr>
    </w:tbl>
    <w:p>
      <w:pPr>
        <w:pStyle w:val="Heading1"/>
        <w:spacing w:after="200" w:before="400" w:line="480"/>
        <w:jc w:val="center"/>
      </w:pPr>
      <w:r>
        <w:rPr>
          <w:rFonts w:ascii="Times New Roman" w:cs="Times New Roman" w:eastAsia="Times New Roman" w:hAnsi="Times New Roman"/>
          <w:b/>
          <w:bCs/>
          <w:color w:val="000000"/>
          <w:sz w:val="24"/>
          <w:szCs w:val="24"/>
        </w:rPr>
        <w:t xml:space="preserve">Validación del modelo</w:t>
      </w:r>
    </w:p>
    <w:p>
      <w:pPr>
        <w:pStyle w:val="Heading2"/>
        <w:spacing w:after="150" w:before="300" w:line="480"/>
        <w:jc w:val="left"/>
      </w:pPr>
      <w:r>
        <w:rPr>
          <w:rFonts w:ascii="Times New Roman" w:cs="Times New Roman" w:eastAsia="Times New Roman" w:hAnsi="Times New Roman"/>
          <w:b/>
          <w:bCs/>
          <w:color w:val="000000"/>
          <w:sz w:val="24"/>
          <w:szCs w:val="24"/>
        </w:rPr>
        <w:t xml:space="preserve">Validación estructural</w:t>
      </w:r>
    </w:p>
    <w:p>
      <w:pPr>
        <w:spacing w:after="200" w:before="0" w:line="480"/>
        <w:jc w:val="both"/>
      </w:pPr>
      <w:r>
        <w:rPr>
          <w:rFonts w:ascii="Times New Roman" w:cs="Times New Roman" w:eastAsia="Times New Roman" w:hAnsi="Times New Roman"/>
          <w:sz w:val="24"/>
          <w:szCs w:val="24"/>
        </w:rPr>
        <w:t xml:space="preserve">El stock (Concentración de PM2.5) solo cambia a través de sus dos flujos (Emisiones y Dispersión); no existen atajos causales que modifiquen el stock directamente. La dispersión se define proporcional al stock vigente, lo que impide estructuralmente concentraciones negativas.</w:t>
      </w:r>
    </w:p>
    <w:p>
      <w:pPr>
        <w:pStyle w:val="Heading2"/>
        <w:spacing w:after="150" w:before="300" w:line="480"/>
        <w:jc w:val="left"/>
      </w:pPr>
      <w:r>
        <w:rPr>
          <w:rFonts w:ascii="Times New Roman" w:cs="Times New Roman" w:eastAsia="Times New Roman" w:hAnsi="Times New Roman"/>
          <w:b/>
          <w:bCs/>
          <w:color w:val="000000"/>
          <w:sz w:val="24"/>
          <w:szCs w:val="24"/>
        </w:rPr>
        <w:t xml:space="preserve">Validación dimensional (corregida)</w:t>
      </w:r>
    </w:p>
    <w:p>
      <w:pPr>
        <w:spacing w:after="200" w:before="0" w:line="480"/>
        <w:jc w:val="both"/>
      </w:pPr>
      <w:r>
        <w:rPr>
          <w:rFonts w:ascii="Times New Roman" w:cs="Times New Roman" w:eastAsia="Times New Roman" w:hAnsi="Times New Roman"/>
          <w:sz w:val="24"/>
          <w:szCs w:val="24"/>
        </w:rPr>
        <w:t xml:space="preserve">Emisiones: [vehículos/km²] × [µg/m³ por vehículo] = [µg/m³ por mes]. Dispersión: [1/mes] × [adimensional + adimensional] × [µg/m³] = [µg/m³ por mes]. Ambos flujos comparten la unidad del stock por unidad de tiempo, consistente con la ecuación de nivel; la corrección de la Sección 15 elimina la suma directa de unidades físicamente distintas (m/s + mm/mes) que presentaba la versión previa del modelo.</w:t>
      </w:r>
    </w:p>
    <w:p>
      <w:pPr>
        <w:pStyle w:val="Heading2"/>
        <w:spacing w:after="150" w:before="300" w:line="480"/>
        <w:jc w:val="left"/>
      </w:pPr>
      <w:r>
        <w:rPr>
          <w:rFonts w:ascii="Times New Roman" w:cs="Times New Roman" w:eastAsia="Times New Roman" w:hAnsi="Times New Roman"/>
          <w:b/>
          <w:bCs/>
          <w:color w:val="000000"/>
          <w:sz w:val="24"/>
          <w:szCs w:val="24"/>
        </w:rPr>
        <w:t xml:space="preserve">Validación de comportamiento</w:t>
      </w:r>
    </w:p>
    <w:p>
      <w:pPr>
        <w:spacing w:after="200" w:before="0" w:line="480"/>
        <w:jc w:val="both"/>
      </w:pPr>
      <w:r>
        <w:rPr>
          <w:rFonts w:ascii="Times New Roman" w:cs="Times New Roman" w:eastAsia="Times New Roman" w:hAnsi="Times New Roman"/>
          <w:sz w:val="24"/>
          <w:szCs w:val="24"/>
        </w:rPr>
        <w:t xml:space="preserve">El modelo reproduce razonablemente bien el comportamiento agregado real: RMSE = 7.66 µg/m³, MAE = 6.43 µg/m³, R² = 0.61 y MAPE = 24.0% a nivel mensual. A nivel de promedio anual el ajuste es cercano (ver tabla de la Sección 17, con el valor de 2020 ya corregido): el modelo captura correctamente la caída durante la cuarentena de 2020, la recuperación de 2021 y el máximo de 2022 que supera los niveles prepandemia. La dispersión mes a mes refleja que los insumos de densidad vehicular y clima son proxies suavizados, una limitación reconocida en la Sección 16.</w:t>
      </w:r>
    </w:p>
    <w:p>
      <w:pPr>
        <w:spacing w:after="100" w:before="200"/>
        <w:jc w:val="center"/>
      </w:pPr>
      <w:r>
        <w:drawing>
          <wp:inline distT="0" distB="0" distL="0" distR="0">
            <wp:extent cx="4762500" cy="2114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762500" cy="2114550"/>
                    </a:xfrm>
                    <a:prstGeom prst="rect">
                      <a:avLst/>
                    </a:prstGeom>
                  </pic:spPr>
                </pic:pic>
              </a:graphicData>
            </a:graphic>
          </wp:inline>
        </w:drawing>
      </w:r>
    </w:p>
    <w:p>
      <w:pPr>
        <w:spacing w:after="300"/>
        <w:jc w:val="center"/>
      </w:pPr>
      <w:r>
        <w:rPr>
          <w:rFonts w:ascii="Times New Roman" w:cs="Times New Roman" w:eastAsia="Times New Roman" w:hAnsi="Times New Roman"/>
          <w:i/>
          <w:iCs/>
          <w:sz w:val="20"/>
          <w:szCs w:val="20"/>
        </w:rPr>
        <w:t xml:space="preserve">Figura 9. Dispersión real vs. simulado (línea punteada = ajuste perfecto).</w:t>
      </w:r>
    </w:p>
    <w:p>
      <w:pPr>
        <w:pStyle w:val="Heading2"/>
        <w:spacing w:after="150" w:before="300" w:line="480"/>
        <w:jc w:val="left"/>
      </w:pPr>
      <w:r>
        <w:rPr>
          <w:rFonts w:ascii="Times New Roman" w:cs="Times New Roman" w:eastAsia="Times New Roman" w:hAnsi="Times New Roman"/>
          <w:b/>
          <w:bCs/>
          <w:color w:val="000000"/>
          <w:sz w:val="24"/>
          <w:szCs w:val="24"/>
        </w:rPr>
        <w:t xml:space="preserve">Pruebas extremas</w:t>
      </w:r>
    </w:p>
    <w:p>
      <w:pPr>
        <w:pStyle w:val="ListParagraph"/>
        <w:numPr>
          <w:ilvl w:val="0"/>
          <w:numId w:val="1"/>
        </w:numPr>
        <w:spacing w:after="100" w:line="480"/>
        <w:ind w:left="360"/>
      </w:pPr>
      <w:r>
        <w:rPr>
          <w:rFonts w:ascii="Times New Roman" w:cs="Times New Roman" w:eastAsia="Times New Roman" w:hAnsi="Times New Roman"/>
          <w:sz w:val="24"/>
          <w:szCs w:val="24"/>
        </w:rPr>
        <w:t xml:space="preserve">Densidad vehicular = 0 durante todo el horizonte: la concentración decae monótonamente hacia valores bajos y nunca es negativa.</w:t>
      </w:r>
    </w:p>
    <w:p>
      <w:pPr>
        <w:pStyle w:val="ListParagraph"/>
        <w:numPr>
          <w:ilvl w:val="0"/>
          <w:numId w:val="1"/>
        </w:numPr>
        <w:spacing w:after="100" w:line="480"/>
        <w:ind w:left="360"/>
      </w:pPr>
      <w:r>
        <w:rPr>
          <w:rFonts w:ascii="Times New Roman" w:cs="Times New Roman" w:eastAsia="Times New Roman" w:hAnsi="Times New Roman"/>
          <w:sz w:val="24"/>
          <w:szCs w:val="24"/>
        </w:rPr>
        <w:t xml:space="preserve">Capacidad de dispersión natural = 0: la concentración crece monótonamente y nunca decrece.</w:t>
      </w:r>
    </w:p>
    <w:p>
      <w:pPr>
        <w:pStyle w:val="ListParagraph"/>
        <w:numPr>
          <w:ilvl w:val="0"/>
          <w:numId w:val="1"/>
        </w:numPr>
        <w:spacing w:after="100" w:line="480"/>
        <w:ind w:left="360"/>
      </w:pPr>
      <w:r>
        <w:rPr>
          <w:rFonts w:ascii="Times New Roman" w:cs="Times New Roman" w:eastAsia="Times New Roman" w:hAnsi="Times New Roman"/>
          <w:sz w:val="24"/>
          <w:szCs w:val="24"/>
        </w:rPr>
        <w:t xml:space="preserve">Viento y precipitación multiplicados por 20 (evento extremo): la concentración cae fuertemente hacia valores cercanos a cero, sin volverse negativa en ningún momento.</w:t>
      </w:r>
    </w:p>
    <w:p>
      <w:pPr>
        <w:spacing w:after="100" w:before="200"/>
        <w:jc w:val="center"/>
      </w:pPr>
      <w:r>
        <w:drawing>
          <wp:inline distT="0" distB="0" distL="0" distR="0">
            <wp:extent cx="4762500" cy="2114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762500" cy="2114550"/>
                    </a:xfrm>
                    <a:prstGeom prst="rect">
                      <a:avLst/>
                    </a:prstGeom>
                  </pic:spPr>
                </pic:pic>
              </a:graphicData>
            </a:graphic>
          </wp:inline>
        </w:drawing>
      </w:r>
    </w:p>
    <w:p>
      <w:pPr>
        <w:spacing w:after="300"/>
        <w:jc w:val="center"/>
      </w:pPr>
      <w:r>
        <w:rPr>
          <w:rFonts w:ascii="Times New Roman" w:cs="Times New Roman" w:eastAsia="Times New Roman" w:hAnsi="Times New Roman"/>
          <w:i/>
          <w:iCs/>
          <w:sz w:val="20"/>
          <w:szCs w:val="20"/>
        </w:rPr>
        <w:t xml:space="preserve">Figura 10. Comportamiento del modelo ante los dos escenarios extremos estructurales.</w:t>
      </w:r>
    </w:p>
    <w:p>
      <w:pPr>
        <w:pStyle w:val="Heading1"/>
        <w:spacing w:after="200" w:before="400" w:line="480"/>
        <w:jc w:val="center"/>
      </w:pPr>
      <w:r>
        <w:rPr>
          <w:rFonts w:ascii="Times New Roman" w:cs="Times New Roman" w:eastAsia="Times New Roman" w:hAnsi="Times New Roman"/>
          <w:b/>
          <w:bCs/>
          <w:color w:val="000000"/>
          <w:sz w:val="24"/>
          <w:szCs w:val="24"/>
        </w:rPr>
        <w:t xml:space="preserve">Análisis de sensibilidad</w:t>
      </w:r>
    </w:p>
    <w:p>
      <w:pPr>
        <w:spacing w:after="200" w:before="0" w:line="480"/>
        <w:jc w:val="both"/>
      </w:pPr>
      <w:r>
        <w:rPr>
          <w:rFonts w:ascii="Times New Roman" w:cs="Times New Roman" w:eastAsia="Times New Roman" w:hAnsi="Times New Roman"/>
          <w:sz w:val="24"/>
          <w:szCs w:val="24"/>
        </w:rPr>
        <w:t xml:space="preserve">Se modifica cada variable ±30% respecto a su valor calibrado y se mide el impacto sobre la concentración promedio simulada de PM2.5 en los 36 meses (valor base del escenario calibrado: 30.7 µg/m³).</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2200"/>
        <w:gridCol w:w="2360"/>
      </w:tblGrid>
      <w:tr>
        <w:tc>
          <w:tcPr>
            <w:tcW w:type="dxa" w:w="2600"/>
            <w:shd w:fill="D9D9D9" w:val="clear"/>
            <w:tcMar>
              <w:top w:type="dxa" w:w="80"/>
              <w:left w:type="dxa" w:w="100"/>
              <w:bottom w:type="dxa" w:w="80"/>
              <w:right w:type="dxa" w:w="100"/>
            </w:tcMar>
            <w:vAlign w:val="center"/>
          </w:tcPr>
          <w:p>
            <w:pPr>
              <w:spacing w:line="276"/>
              <w:jc w:val="left"/>
            </w:pPr>
            <w:r>
              <w:rPr>
                <w:rFonts w:ascii="Times New Roman" w:cs="Times New Roman" w:eastAsia="Times New Roman" w:hAnsi="Times New Roman"/>
                <w:b/>
                <w:bCs/>
                <w:sz w:val="20"/>
                <w:szCs w:val="20"/>
              </w:rPr>
              <w:t xml:space="preserve">Variable modificada</w:t>
            </w:r>
          </w:p>
        </w:tc>
        <w:tc>
          <w:tcPr>
            <w:tcW w:type="dxa" w:w="2200"/>
            <w:shd w:fill="D9D9D9" w:val="clear"/>
            <w:tcMar>
              <w:top w:type="dxa" w:w="80"/>
              <w:left w:type="dxa" w:w="100"/>
              <w:bottom w:type="dxa" w:w="80"/>
              <w:right w:type="dxa" w:w="100"/>
            </w:tcMar>
            <w:vAlign w:val="center"/>
          </w:tcPr>
          <w:p>
            <w:pPr>
              <w:spacing w:line="276"/>
              <w:jc w:val="left"/>
            </w:pPr>
            <w:r>
              <w:rPr>
                <w:rFonts w:ascii="Times New Roman" w:cs="Times New Roman" w:eastAsia="Times New Roman" w:hAnsi="Times New Roman"/>
                <w:b/>
                <w:bCs/>
                <w:sz w:val="20"/>
                <w:szCs w:val="20"/>
              </w:rPr>
              <w:t xml:space="preserve">Valor base</w:t>
            </w:r>
          </w:p>
        </w:tc>
        <w:tc>
          <w:tcPr>
            <w:tcW w:type="dxa" w:w="2200"/>
            <w:shd w:fill="D9D9D9" w:val="clear"/>
            <w:tcMar>
              <w:top w:type="dxa" w:w="80"/>
              <w:left w:type="dxa" w:w="100"/>
              <w:bottom w:type="dxa" w:w="80"/>
              <w:right w:type="dxa" w:w="100"/>
            </w:tcMar>
            <w:vAlign w:val="center"/>
          </w:tcPr>
          <w:p>
            <w:pPr>
              <w:spacing w:line="276"/>
              <w:jc w:val="left"/>
            </w:pPr>
            <w:r>
              <w:rPr>
                <w:rFonts w:ascii="Times New Roman" w:cs="Times New Roman" w:eastAsia="Times New Roman" w:hAnsi="Times New Roman"/>
                <w:b/>
                <w:bCs/>
                <w:sz w:val="20"/>
                <w:szCs w:val="20"/>
              </w:rPr>
              <w:t xml:space="preserve">Valor alternativo</w:t>
            </w:r>
          </w:p>
        </w:tc>
        <w:tc>
          <w:tcPr>
            <w:tcW w:type="dxa" w:w="2360"/>
            <w:shd w:fill="D9D9D9" w:val="clear"/>
            <w:tcMar>
              <w:top w:type="dxa" w:w="80"/>
              <w:left w:type="dxa" w:w="100"/>
              <w:bottom w:type="dxa" w:w="80"/>
              <w:right w:type="dxa" w:w="100"/>
            </w:tcMar>
            <w:vAlign w:val="center"/>
          </w:tcPr>
          <w:p>
            <w:pPr>
              <w:spacing w:line="276"/>
              <w:jc w:val="left"/>
            </w:pPr>
            <w:r>
              <w:rPr>
                <w:rFonts w:ascii="Times New Roman" w:cs="Times New Roman" w:eastAsia="Times New Roman" w:hAnsi="Times New Roman"/>
                <w:b/>
                <w:bCs/>
                <w:sz w:val="20"/>
                <w:szCs w:val="20"/>
              </w:rPr>
              <w:t xml:space="preserve">Impacto observado</w:t>
            </w:r>
          </w:p>
        </w:tc>
      </w:tr>
      <w:tr>
        <w:tc>
          <w:tcPr>
            <w:tcW w:type="dxa" w:w="2600"/>
            <w:tcMar>
              <w:top w:type="dxa" w:w="80"/>
              <w:left w:type="dxa" w:w="100"/>
              <w:bottom w:type="dxa" w:w="80"/>
              <w:right w:type="dxa" w:w="100"/>
            </w:tcMar>
            <w:vAlign w:val="center"/>
          </w:tcPr>
          <w:p>
            <w:pPr>
              <w:spacing w:line="276"/>
              <w:jc w:val="left"/>
            </w:pPr>
            <w:r>
              <w:rPr>
                <w:rFonts w:ascii="Times New Roman" w:cs="Times New Roman" w:eastAsia="Times New Roman" w:hAnsi="Times New Roman"/>
                <w:sz w:val="20"/>
                <w:szCs w:val="20"/>
              </w:rPr>
              <w:t xml:space="preserve">Densidad vehicular</w:t>
            </w:r>
          </w:p>
        </w:tc>
        <w:tc>
          <w:tcPr>
            <w:tcW w:type="dxa" w:w="2200"/>
            <w:tcMar>
              <w:top w:type="dxa" w:w="80"/>
              <w:left w:type="dxa" w:w="100"/>
              <w:bottom w:type="dxa" w:w="80"/>
              <w:right w:type="dxa" w:w="100"/>
            </w:tcMar>
            <w:vAlign w:val="center"/>
          </w:tcPr>
          <w:p>
            <w:pPr>
              <w:spacing w:line="276"/>
              <w:jc w:val="left"/>
            </w:pPr>
            <w:r>
              <w:rPr>
                <w:rFonts w:ascii="Times New Roman" w:cs="Times New Roman" w:eastAsia="Times New Roman" w:hAnsi="Times New Roman"/>
                <w:sz w:val="20"/>
                <w:szCs w:val="20"/>
              </w:rPr>
              <w:t xml:space="preserve">700 veh/km²</w:t>
            </w:r>
          </w:p>
        </w:tc>
        <w:tc>
          <w:tcPr>
            <w:tcW w:type="dxa" w:w="2200"/>
            <w:tcMar>
              <w:top w:type="dxa" w:w="80"/>
              <w:left w:type="dxa" w:w="100"/>
              <w:bottom w:type="dxa" w:w="80"/>
              <w:right w:type="dxa" w:w="100"/>
            </w:tcMar>
            <w:vAlign w:val="center"/>
          </w:tcPr>
          <w:p>
            <w:pPr>
              <w:spacing w:line="276"/>
              <w:jc w:val="left"/>
            </w:pPr>
            <w:r>
              <w:rPr>
                <w:rFonts w:ascii="Times New Roman" w:cs="Times New Roman" w:eastAsia="Times New Roman" w:hAnsi="Times New Roman"/>
                <w:sz w:val="20"/>
                <w:szCs w:val="20"/>
              </w:rPr>
              <w:t xml:space="preserve">490 veh/km² (-30%)</w:t>
            </w:r>
          </w:p>
        </w:tc>
        <w:tc>
          <w:tcPr>
            <w:tcW w:type="dxa" w:w="2360"/>
            <w:tcMar>
              <w:top w:type="dxa" w:w="80"/>
              <w:left w:type="dxa" w:w="100"/>
              <w:bottom w:type="dxa" w:w="80"/>
              <w:right w:type="dxa" w:w="100"/>
            </w:tcMar>
            <w:vAlign w:val="center"/>
          </w:tcPr>
          <w:p>
            <w:pPr>
              <w:spacing w:line="276"/>
              <w:jc w:val="left"/>
            </w:pPr>
            <w:r>
              <w:rPr>
                <w:rFonts w:ascii="Times New Roman" w:cs="Times New Roman" w:eastAsia="Times New Roman" w:hAnsi="Times New Roman"/>
                <w:sz w:val="20"/>
                <w:szCs w:val="20"/>
              </w:rPr>
              <w:t xml:space="preserve">30.7 → 23.1 µg/m³ (-24.5%)</w:t>
            </w:r>
          </w:p>
        </w:tc>
      </w:tr>
      <w:tr>
        <w:tc>
          <w:tcPr>
            <w:tcW w:type="dxa" w:w="2600"/>
            <w:tcMar>
              <w:top w:type="dxa" w:w="80"/>
              <w:left w:type="dxa" w:w="100"/>
              <w:bottom w:type="dxa" w:w="80"/>
              <w:right w:type="dxa" w:w="100"/>
            </w:tcMar>
            <w:vAlign w:val="center"/>
          </w:tcPr>
          <w:p>
            <w:pPr>
              <w:spacing w:line="276"/>
              <w:jc w:val="left"/>
            </w:pPr>
            <w:r>
              <w:rPr>
                <w:rFonts w:ascii="Times New Roman" w:cs="Times New Roman" w:eastAsia="Times New Roman" w:hAnsi="Times New Roman"/>
                <w:sz w:val="20"/>
                <w:szCs w:val="20"/>
              </w:rPr>
              <w:t xml:space="preserve">Densidad vehicular</w:t>
            </w:r>
          </w:p>
        </w:tc>
        <w:tc>
          <w:tcPr>
            <w:tcW w:type="dxa" w:w="2200"/>
            <w:tcMar>
              <w:top w:type="dxa" w:w="80"/>
              <w:left w:type="dxa" w:w="100"/>
              <w:bottom w:type="dxa" w:w="80"/>
              <w:right w:type="dxa" w:w="100"/>
            </w:tcMar>
            <w:vAlign w:val="center"/>
          </w:tcPr>
          <w:p>
            <w:pPr>
              <w:spacing w:line="276"/>
              <w:jc w:val="left"/>
            </w:pPr>
            <w:r>
              <w:rPr>
                <w:rFonts w:ascii="Times New Roman" w:cs="Times New Roman" w:eastAsia="Times New Roman" w:hAnsi="Times New Roman"/>
                <w:sz w:val="20"/>
                <w:szCs w:val="20"/>
              </w:rPr>
              <w:t xml:space="preserve">700 veh/km²</w:t>
            </w:r>
          </w:p>
        </w:tc>
        <w:tc>
          <w:tcPr>
            <w:tcW w:type="dxa" w:w="2200"/>
            <w:tcMar>
              <w:top w:type="dxa" w:w="80"/>
              <w:left w:type="dxa" w:w="100"/>
              <w:bottom w:type="dxa" w:w="80"/>
              <w:right w:type="dxa" w:w="100"/>
            </w:tcMar>
            <w:vAlign w:val="center"/>
          </w:tcPr>
          <w:p>
            <w:pPr>
              <w:spacing w:line="276"/>
              <w:jc w:val="left"/>
            </w:pPr>
            <w:r>
              <w:rPr>
                <w:rFonts w:ascii="Times New Roman" w:cs="Times New Roman" w:eastAsia="Times New Roman" w:hAnsi="Times New Roman"/>
                <w:sz w:val="20"/>
                <w:szCs w:val="20"/>
              </w:rPr>
              <w:t xml:space="preserve">910 veh/km² (+30%)</w:t>
            </w:r>
          </w:p>
        </w:tc>
        <w:tc>
          <w:tcPr>
            <w:tcW w:type="dxa" w:w="2360"/>
            <w:tcMar>
              <w:top w:type="dxa" w:w="80"/>
              <w:left w:type="dxa" w:w="100"/>
              <w:bottom w:type="dxa" w:w="80"/>
              <w:right w:type="dxa" w:w="100"/>
            </w:tcMar>
            <w:vAlign w:val="center"/>
          </w:tcPr>
          <w:p>
            <w:pPr>
              <w:spacing w:line="276"/>
              <w:jc w:val="left"/>
            </w:pPr>
            <w:r>
              <w:rPr>
                <w:rFonts w:ascii="Times New Roman" w:cs="Times New Roman" w:eastAsia="Times New Roman" w:hAnsi="Times New Roman"/>
                <w:sz w:val="20"/>
                <w:szCs w:val="20"/>
              </w:rPr>
              <w:t xml:space="preserve">30.7 → 38.2 µg/m³ (+24.5%)</w:t>
            </w:r>
          </w:p>
        </w:tc>
      </w:tr>
      <w:tr>
        <w:tc>
          <w:tcPr>
            <w:tcW w:type="dxa" w:w="2600"/>
            <w:tcMar>
              <w:top w:type="dxa" w:w="80"/>
              <w:left w:type="dxa" w:w="100"/>
              <w:bottom w:type="dxa" w:w="80"/>
              <w:right w:type="dxa" w:w="100"/>
            </w:tcMar>
            <w:vAlign w:val="center"/>
          </w:tcPr>
          <w:p>
            <w:pPr>
              <w:spacing w:line="276"/>
              <w:jc w:val="left"/>
            </w:pPr>
            <w:r>
              <w:rPr>
                <w:rFonts w:ascii="Times New Roman" w:cs="Times New Roman" w:eastAsia="Times New Roman" w:hAnsi="Times New Roman"/>
                <w:sz w:val="20"/>
                <w:szCs w:val="20"/>
              </w:rPr>
              <w:t xml:space="preserve">Capacidad de dispersión</w:t>
            </w:r>
          </w:p>
        </w:tc>
        <w:tc>
          <w:tcPr>
            <w:tcW w:type="dxa" w:w="2200"/>
            <w:tcMar>
              <w:top w:type="dxa" w:w="80"/>
              <w:left w:type="dxa" w:w="100"/>
              <w:bottom w:type="dxa" w:w="80"/>
              <w:right w:type="dxa" w:w="100"/>
            </w:tcMar>
            <w:vAlign w:val="center"/>
          </w:tcPr>
          <w:p>
            <w:pPr>
              <w:spacing w:line="276"/>
              <w:jc w:val="left"/>
            </w:pPr>
            <w:r>
              <w:rPr>
                <w:rFonts w:ascii="Times New Roman" w:cs="Times New Roman" w:eastAsia="Times New Roman" w:hAnsi="Times New Roman"/>
                <w:sz w:val="20"/>
                <w:szCs w:val="20"/>
              </w:rPr>
              <w:t xml:space="preserve">0.0143</w:t>
            </w:r>
          </w:p>
        </w:tc>
        <w:tc>
          <w:tcPr>
            <w:tcW w:type="dxa" w:w="2200"/>
            <w:tcMar>
              <w:top w:type="dxa" w:w="80"/>
              <w:left w:type="dxa" w:w="100"/>
              <w:bottom w:type="dxa" w:w="80"/>
              <w:right w:type="dxa" w:w="100"/>
            </w:tcMar>
            <w:vAlign w:val="center"/>
          </w:tcPr>
          <w:p>
            <w:pPr>
              <w:spacing w:line="276"/>
              <w:jc w:val="left"/>
            </w:pPr>
            <w:r>
              <w:rPr>
                <w:rFonts w:ascii="Times New Roman" w:cs="Times New Roman" w:eastAsia="Times New Roman" w:hAnsi="Times New Roman"/>
                <w:sz w:val="20"/>
                <w:szCs w:val="20"/>
              </w:rPr>
              <w:t xml:space="preserve">0.0100 (-30%)</w:t>
            </w:r>
          </w:p>
        </w:tc>
        <w:tc>
          <w:tcPr>
            <w:tcW w:type="dxa" w:w="2360"/>
            <w:tcMar>
              <w:top w:type="dxa" w:w="80"/>
              <w:left w:type="dxa" w:w="100"/>
              <w:bottom w:type="dxa" w:w="80"/>
              <w:right w:type="dxa" w:w="100"/>
            </w:tcMar>
            <w:vAlign w:val="center"/>
          </w:tcPr>
          <w:p>
            <w:pPr>
              <w:spacing w:line="276"/>
              <w:jc w:val="left"/>
            </w:pPr>
            <w:r>
              <w:rPr>
                <w:rFonts w:ascii="Times New Roman" w:cs="Times New Roman" w:eastAsia="Times New Roman" w:hAnsi="Times New Roman"/>
                <w:sz w:val="20"/>
                <w:szCs w:val="20"/>
              </w:rPr>
              <w:t xml:space="preserve">30.7 → 36.0 µg/m³ (+17.4%)</w:t>
            </w:r>
          </w:p>
        </w:tc>
      </w:tr>
      <w:tr>
        <w:tc>
          <w:tcPr>
            <w:tcW w:type="dxa" w:w="2600"/>
            <w:tcMar>
              <w:top w:type="dxa" w:w="80"/>
              <w:left w:type="dxa" w:w="100"/>
              <w:bottom w:type="dxa" w:w="80"/>
              <w:right w:type="dxa" w:w="100"/>
            </w:tcMar>
            <w:vAlign w:val="center"/>
          </w:tcPr>
          <w:p>
            <w:pPr>
              <w:spacing w:line="276"/>
              <w:jc w:val="left"/>
            </w:pPr>
            <w:r>
              <w:rPr>
                <w:rFonts w:ascii="Times New Roman" w:cs="Times New Roman" w:eastAsia="Times New Roman" w:hAnsi="Times New Roman"/>
                <w:sz w:val="20"/>
                <w:szCs w:val="20"/>
              </w:rPr>
              <w:t xml:space="preserve">Capacidad de dispersión</w:t>
            </w:r>
          </w:p>
        </w:tc>
        <w:tc>
          <w:tcPr>
            <w:tcW w:type="dxa" w:w="2200"/>
            <w:tcMar>
              <w:top w:type="dxa" w:w="80"/>
              <w:left w:type="dxa" w:w="100"/>
              <w:bottom w:type="dxa" w:w="80"/>
              <w:right w:type="dxa" w:w="100"/>
            </w:tcMar>
            <w:vAlign w:val="center"/>
          </w:tcPr>
          <w:p>
            <w:pPr>
              <w:spacing w:line="276"/>
              <w:jc w:val="left"/>
            </w:pPr>
            <w:r>
              <w:rPr>
                <w:rFonts w:ascii="Times New Roman" w:cs="Times New Roman" w:eastAsia="Times New Roman" w:hAnsi="Times New Roman"/>
                <w:sz w:val="20"/>
                <w:szCs w:val="20"/>
              </w:rPr>
              <w:t xml:space="preserve">0.0143</w:t>
            </w:r>
          </w:p>
        </w:tc>
        <w:tc>
          <w:tcPr>
            <w:tcW w:type="dxa" w:w="2200"/>
            <w:tcMar>
              <w:top w:type="dxa" w:w="80"/>
              <w:left w:type="dxa" w:w="100"/>
              <w:bottom w:type="dxa" w:w="80"/>
              <w:right w:type="dxa" w:w="100"/>
            </w:tcMar>
            <w:vAlign w:val="center"/>
          </w:tcPr>
          <w:p>
            <w:pPr>
              <w:spacing w:line="276"/>
              <w:jc w:val="left"/>
            </w:pPr>
            <w:r>
              <w:rPr>
                <w:rFonts w:ascii="Times New Roman" w:cs="Times New Roman" w:eastAsia="Times New Roman" w:hAnsi="Times New Roman"/>
                <w:sz w:val="20"/>
                <w:szCs w:val="20"/>
              </w:rPr>
              <w:t xml:space="preserve">0.0185 (+30%)</w:t>
            </w:r>
          </w:p>
        </w:tc>
        <w:tc>
          <w:tcPr>
            <w:tcW w:type="dxa" w:w="2360"/>
            <w:tcMar>
              <w:top w:type="dxa" w:w="80"/>
              <w:left w:type="dxa" w:w="100"/>
              <w:bottom w:type="dxa" w:w="80"/>
              <w:right w:type="dxa" w:w="100"/>
            </w:tcMar>
            <w:vAlign w:val="center"/>
          </w:tcPr>
          <w:p>
            <w:pPr>
              <w:spacing w:line="276"/>
              <w:jc w:val="left"/>
            </w:pPr>
            <w:r>
              <w:rPr>
                <w:rFonts w:ascii="Times New Roman" w:cs="Times New Roman" w:eastAsia="Times New Roman" w:hAnsi="Times New Roman"/>
                <w:sz w:val="20"/>
                <w:szCs w:val="20"/>
              </w:rPr>
              <w:t xml:space="preserve">30.7 → 26.6 µg/m³ (-13.4%)</w:t>
            </w:r>
          </w:p>
        </w:tc>
      </w:tr>
      <w:tr>
        <w:tc>
          <w:tcPr>
            <w:tcW w:type="dxa" w:w="2600"/>
            <w:tcMar>
              <w:top w:type="dxa" w:w="80"/>
              <w:left w:type="dxa" w:w="100"/>
              <w:bottom w:type="dxa" w:w="80"/>
              <w:right w:type="dxa" w:w="100"/>
            </w:tcMar>
            <w:vAlign w:val="center"/>
          </w:tcPr>
          <w:p>
            <w:pPr>
              <w:spacing w:line="276"/>
              <w:jc w:val="left"/>
            </w:pPr>
            <w:r>
              <w:rPr>
                <w:rFonts w:ascii="Times New Roman" w:cs="Times New Roman" w:eastAsia="Times New Roman" w:hAnsi="Times New Roman"/>
                <w:sz w:val="20"/>
                <w:szCs w:val="20"/>
              </w:rPr>
              <w:t xml:space="preserve">Tasa de emisión vehicular</w:t>
            </w:r>
          </w:p>
        </w:tc>
        <w:tc>
          <w:tcPr>
            <w:tcW w:type="dxa" w:w="2200"/>
            <w:tcMar>
              <w:top w:type="dxa" w:w="80"/>
              <w:left w:type="dxa" w:w="100"/>
              <w:bottom w:type="dxa" w:w="80"/>
              <w:right w:type="dxa" w:w="100"/>
            </w:tcMar>
            <w:vAlign w:val="center"/>
          </w:tcPr>
          <w:p>
            <w:pPr>
              <w:spacing w:line="276"/>
              <w:jc w:val="left"/>
            </w:pPr>
            <w:r>
              <w:rPr>
                <w:rFonts w:ascii="Times New Roman" w:cs="Times New Roman" w:eastAsia="Times New Roman" w:hAnsi="Times New Roman"/>
                <w:sz w:val="20"/>
                <w:szCs w:val="20"/>
              </w:rPr>
              <w:t xml:space="preserve">0.00473</w:t>
            </w:r>
          </w:p>
        </w:tc>
        <w:tc>
          <w:tcPr>
            <w:tcW w:type="dxa" w:w="2200"/>
            <w:tcMar>
              <w:top w:type="dxa" w:w="80"/>
              <w:left w:type="dxa" w:w="100"/>
              <w:bottom w:type="dxa" w:w="80"/>
              <w:right w:type="dxa" w:w="100"/>
            </w:tcMar>
            <w:vAlign w:val="center"/>
          </w:tcPr>
          <w:p>
            <w:pPr>
              <w:spacing w:line="276"/>
              <w:jc w:val="left"/>
            </w:pPr>
            <w:r>
              <w:rPr>
                <w:rFonts w:ascii="Times New Roman" w:cs="Times New Roman" w:eastAsia="Times New Roman" w:hAnsi="Times New Roman"/>
                <w:sz w:val="20"/>
                <w:szCs w:val="20"/>
              </w:rPr>
              <w:t xml:space="preserve">0.00331 (-30%)</w:t>
            </w:r>
          </w:p>
        </w:tc>
        <w:tc>
          <w:tcPr>
            <w:tcW w:type="dxa" w:w="2360"/>
            <w:tcMar>
              <w:top w:type="dxa" w:w="80"/>
              <w:left w:type="dxa" w:w="100"/>
              <w:bottom w:type="dxa" w:w="80"/>
              <w:right w:type="dxa" w:w="100"/>
            </w:tcMar>
            <w:vAlign w:val="center"/>
          </w:tcPr>
          <w:p>
            <w:pPr>
              <w:spacing w:line="276"/>
              <w:jc w:val="left"/>
            </w:pPr>
            <w:r>
              <w:rPr>
                <w:rFonts w:ascii="Times New Roman" w:cs="Times New Roman" w:eastAsia="Times New Roman" w:hAnsi="Times New Roman"/>
                <w:sz w:val="20"/>
                <w:szCs w:val="20"/>
              </w:rPr>
              <w:t xml:space="preserve">30.7 → 23.1 µg/m³ (-24.5%)</w:t>
            </w:r>
          </w:p>
        </w:tc>
      </w:tr>
      <w:tr>
        <w:tc>
          <w:tcPr>
            <w:tcW w:type="dxa" w:w="2600"/>
            <w:tcMar>
              <w:top w:type="dxa" w:w="80"/>
              <w:left w:type="dxa" w:w="100"/>
              <w:bottom w:type="dxa" w:w="80"/>
              <w:right w:type="dxa" w:w="100"/>
            </w:tcMar>
            <w:vAlign w:val="center"/>
          </w:tcPr>
          <w:p>
            <w:pPr>
              <w:spacing w:line="276"/>
              <w:jc w:val="left"/>
            </w:pPr>
            <w:r>
              <w:rPr>
                <w:rFonts w:ascii="Times New Roman" w:cs="Times New Roman" w:eastAsia="Times New Roman" w:hAnsi="Times New Roman"/>
                <w:sz w:val="20"/>
                <w:szCs w:val="20"/>
              </w:rPr>
              <w:t xml:space="preserve">Tasa de emisión vehicular</w:t>
            </w:r>
          </w:p>
        </w:tc>
        <w:tc>
          <w:tcPr>
            <w:tcW w:type="dxa" w:w="2200"/>
            <w:tcMar>
              <w:top w:type="dxa" w:w="80"/>
              <w:left w:type="dxa" w:w="100"/>
              <w:bottom w:type="dxa" w:w="80"/>
              <w:right w:type="dxa" w:w="100"/>
            </w:tcMar>
            <w:vAlign w:val="center"/>
          </w:tcPr>
          <w:p>
            <w:pPr>
              <w:spacing w:line="276"/>
              <w:jc w:val="left"/>
            </w:pPr>
            <w:r>
              <w:rPr>
                <w:rFonts w:ascii="Times New Roman" w:cs="Times New Roman" w:eastAsia="Times New Roman" w:hAnsi="Times New Roman"/>
                <w:sz w:val="20"/>
                <w:szCs w:val="20"/>
              </w:rPr>
              <w:t xml:space="preserve">0.00473</w:t>
            </w:r>
          </w:p>
        </w:tc>
        <w:tc>
          <w:tcPr>
            <w:tcW w:type="dxa" w:w="2200"/>
            <w:tcMar>
              <w:top w:type="dxa" w:w="80"/>
              <w:left w:type="dxa" w:w="100"/>
              <w:bottom w:type="dxa" w:w="80"/>
              <w:right w:type="dxa" w:w="100"/>
            </w:tcMar>
            <w:vAlign w:val="center"/>
          </w:tcPr>
          <w:p>
            <w:pPr>
              <w:spacing w:line="276"/>
              <w:jc w:val="left"/>
            </w:pPr>
            <w:r>
              <w:rPr>
                <w:rFonts w:ascii="Times New Roman" w:cs="Times New Roman" w:eastAsia="Times New Roman" w:hAnsi="Times New Roman"/>
                <w:sz w:val="20"/>
                <w:szCs w:val="20"/>
              </w:rPr>
              <w:t xml:space="preserve">0.00615 (+30%)</w:t>
            </w:r>
          </w:p>
        </w:tc>
        <w:tc>
          <w:tcPr>
            <w:tcW w:type="dxa" w:w="2360"/>
            <w:tcMar>
              <w:top w:type="dxa" w:w="80"/>
              <w:left w:type="dxa" w:w="100"/>
              <w:bottom w:type="dxa" w:w="80"/>
              <w:right w:type="dxa" w:w="100"/>
            </w:tcMar>
            <w:vAlign w:val="center"/>
          </w:tcPr>
          <w:p>
            <w:pPr>
              <w:spacing w:line="276"/>
              <w:jc w:val="left"/>
            </w:pPr>
            <w:r>
              <w:rPr>
                <w:rFonts w:ascii="Times New Roman" w:cs="Times New Roman" w:eastAsia="Times New Roman" w:hAnsi="Times New Roman"/>
                <w:sz w:val="20"/>
                <w:szCs w:val="20"/>
              </w:rPr>
              <w:t xml:space="preserve">30.7 → 38.2 µg/m³ (+24.5%)</w:t>
            </w:r>
          </w:p>
        </w:tc>
      </w:tr>
      <w:tr>
        <w:tc>
          <w:tcPr>
            <w:tcW w:type="dxa" w:w="2600"/>
            <w:tcMar>
              <w:top w:type="dxa" w:w="80"/>
              <w:left w:type="dxa" w:w="100"/>
              <w:bottom w:type="dxa" w:w="80"/>
              <w:right w:type="dxa" w:w="100"/>
            </w:tcMar>
            <w:vAlign w:val="center"/>
          </w:tcPr>
          <w:p>
            <w:pPr>
              <w:spacing w:line="276"/>
              <w:jc w:val="left"/>
            </w:pPr>
            <w:r>
              <w:rPr>
                <w:rFonts w:ascii="Times New Roman" w:cs="Times New Roman" w:eastAsia="Times New Roman" w:hAnsi="Times New Roman"/>
                <w:sz w:val="20"/>
                <w:szCs w:val="20"/>
              </w:rPr>
              <w:t xml:space="preserve">Velocidad del viento (estacional)</w:t>
            </w:r>
          </w:p>
        </w:tc>
        <w:tc>
          <w:tcPr>
            <w:tcW w:type="dxa" w:w="2200"/>
            <w:tcMar>
              <w:top w:type="dxa" w:w="80"/>
              <w:left w:type="dxa" w:w="100"/>
              <w:bottom w:type="dxa" w:w="80"/>
              <w:right w:type="dxa" w:w="100"/>
            </w:tcMar>
            <w:vAlign w:val="center"/>
          </w:tcPr>
          <w:p>
            <w:pPr>
              <w:spacing w:line="276"/>
              <w:jc w:val="left"/>
            </w:pPr>
            <w:r>
              <w:rPr>
                <w:rFonts w:ascii="Times New Roman" w:cs="Times New Roman" w:eastAsia="Times New Roman" w:hAnsi="Times New Roman"/>
                <w:sz w:val="20"/>
                <w:szCs w:val="20"/>
              </w:rPr>
              <w:t xml:space="preserve">climatología base</w:t>
            </w:r>
          </w:p>
        </w:tc>
        <w:tc>
          <w:tcPr>
            <w:tcW w:type="dxa" w:w="2200"/>
            <w:tcMar>
              <w:top w:type="dxa" w:w="80"/>
              <w:left w:type="dxa" w:w="100"/>
              <w:bottom w:type="dxa" w:w="80"/>
              <w:right w:type="dxa" w:w="100"/>
            </w:tcMar>
            <w:vAlign w:val="center"/>
          </w:tcPr>
          <w:p>
            <w:pPr>
              <w:spacing w:line="276"/>
              <w:jc w:val="left"/>
            </w:pPr>
            <w:r>
              <w:rPr>
                <w:rFonts w:ascii="Times New Roman" w:cs="Times New Roman" w:eastAsia="Times New Roman" w:hAnsi="Times New Roman"/>
                <w:sz w:val="20"/>
                <w:szCs w:val="20"/>
              </w:rPr>
              <w:t xml:space="preserve">×0.7 (-30%)</w:t>
            </w:r>
          </w:p>
        </w:tc>
        <w:tc>
          <w:tcPr>
            <w:tcW w:type="dxa" w:w="2360"/>
            <w:tcMar>
              <w:top w:type="dxa" w:w="80"/>
              <w:left w:type="dxa" w:w="100"/>
              <w:bottom w:type="dxa" w:w="80"/>
              <w:right w:type="dxa" w:w="100"/>
            </w:tcMar>
            <w:vAlign w:val="center"/>
          </w:tcPr>
          <w:p>
            <w:pPr>
              <w:spacing w:line="276"/>
              <w:jc w:val="left"/>
            </w:pPr>
            <w:r>
              <w:rPr>
                <w:rFonts w:ascii="Times New Roman" w:cs="Times New Roman" w:eastAsia="Times New Roman" w:hAnsi="Times New Roman"/>
                <w:sz w:val="20"/>
                <w:szCs w:val="20"/>
              </w:rPr>
              <w:t xml:space="preserve">30.7 → 34.1 µg/m³ (+11.2%)</w:t>
            </w:r>
          </w:p>
        </w:tc>
      </w:tr>
      <w:tr>
        <w:tc>
          <w:tcPr>
            <w:tcW w:type="dxa" w:w="2600"/>
            <w:tcMar>
              <w:top w:type="dxa" w:w="80"/>
              <w:left w:type="dxa" w:w="100"/>
              <w:bottom w:type="dxa" w:w="80"/>
              <w:right w:type="dxa" w:w="100"/>
            </w:tcMar>
            <w:vAlign w:val="center"/>
          </w:tcPr>
          <w:p>
            <w:pPr>
              <w:spacing w:line="276"/>
              <w:jc w:val="left"/>
            </w:pPr>
            <w:r>
              <w:rPr>
                <w:rFonts w:ascii="Times New Roman" w:cs="Times New Roman" w:eastAsia="Times New Roman" w:hAnsi="Times New Roman"/>
                <w:sz w:val="20"/>
                <w:szCs w:val="20"/>
              </w:rPr>
              <w:t xml:space="preserve">Velocidad del viento (estacional)</w:t>
            </w:r>
          </w:p>
        </w:tc>
        <w:tc>
          <w:tcPr>
            <w:tcW w:type="dxa" w:w="2200"/>
            <w:tcMar>
              <w:top w:type="dxa" w:w="80"/>
              <w:left w:type="dxa" w:w="100"/>
              <w:bottom w:type="dxa" w:w="80"/>
              <w:right w:type="dxa" w:w="100"/>
            </w:tcMar>
            <w:vAlign w:val="center"/>
          </w:tcPr>
          <w:p>
            <w:pPr>
              <w:spacing w:line="276"/>
              <w:jc w:val="left"/>
            </w:pPr>
            <w:r>
              <w:rPr>
                <w:rFonts w:ascii="Times New Roman" w:cs="Times New Roman" w:eastAsia="Times New Roman" w:hAnsi="Times New Roman"/>
                <w:sz w:val="20"/>
                <w:szCs w:val="20"/>
              </w:rPr>
              <w:t xml:space="preserve">climatología base</w:t>
            </w:r>
          </w:p>
        </w:tc>
        <w:tc>
          <w:tcPr>
            <w:tcW w:type="dxa" w:w="2200"/>
            <w:tcMar>
              <w:top w:type="dxa" w:w="80"/>
              <w:left w:type="dxa" w:w="100"/>
              <w:bottom w:type="dxa" w:w="80"/>
              <w:right w:type="dxa" w:w="100"/>
            </w:tcMar>
            <w:vAlign w:val="center"/>
          </w:tcPr>
          <w:p>
            <w:pPr>
              <w:spacing w:line="276"/>
              <w:jc w:val="left"/>
            </w:pPr>
            <w:r>
              <w:rPr>
                <w:rFonts w:ascii="Times New Roman" w:cs="Times New Roman" w:eastAsia="Times New Roman" w:hAnsi="Times New Roman"/>
                <w:sz w:val="20"/>
                <w:szCs w:val="20"/>
              </w:rPr>
              <w:t xml:space="preserve">×1.3 (+30%)</w:t>
            </w:r>
          </w:p>
        </w:tc>
        <w:tc>
          <w:tcPr>
            <w:tcW w:type="dxa" w:w="2360"/>
            <w:tcMar>
              <w:top w:type="dxa" w:w="80"/>
              <w:left w:type="dxa" w:w="100"/>
              <w:bottom w:type="dxa" w:w="80"/>
              <w:right w:type="dxa" w:w="100"/>
            </w:tcMar>
            <w:vAlign w:val="center"/>
          </w:tcPr>
          <w:p>
            <w:pPr>
              <w:spacing w:line="276"/>
              <w:jc w:val="left"/>
            </w:pPr>
            <w:r>
              <w:rPr>
                <w:rFonts w:ascii="Times New Roman" w:cs="Times New Roman" w:eastAsia="Times New Roman" w:hAnsi="Times New Roman"/>
                <w:sz w:val="20"/>
                <w:szCs w:val="20"/>
              </w:rPr>
              <w:t xml:space="preserve">30.7 → 27.8 µg/m³ (-9.4%)</w:t>
            </w:r>
          </w:p>
        </w:tc>
      </w:tr>
    </w:tbl>
    <w:p>
      <w:pPr>
        <w:pStyle w:val="Heading2"/>
        <w:spacing w:after="150" w:before="300" w:line="480"/>
        <w:jc w:val="left"/>
      </w:pPr>
      <w:r>
        <w:rPr>
          <w:rFonts w:ascii="Times New Roman" w:cs="Times New Roman" w:eastAsia="Times New Roman" w:hAnsi="Times New Roman"/>
          <w:b/>
          <w:bCs/>
          <w:color w:val="000000"/>
          <w:sz w:val="24"/>
          <w:szCs w:val="24"/>
        </w:rPr>
        <w:t xml:space="preserve">Lectura de resultados</w:t>
      </w:r>
    </w:p>
    <w:p>
      <w:pPr>
        <w:spacing w:after="200" w:before="0" w:line="480"/>
        <w:jc w:val="both"/>
      </w:pPr>
      <w:r>
        <w:rPr>
          <w:rFonts w:ascii="Times New Roman" w:cs="Times New Roman" w:eastAsia="Times New Roman" w:hAnsi="Times New Roman"/>
          <w:sz w:val="24"/>
          <w:szCs w:val="24"/>
        </w:rPr>
        <w:t xml:space="preserve">La densidad vehicular y la tasa de emisión vehicular son, en conjunto, la palanca más sensible del sistema (±30% de entrada produce ±24.5% en la concentración promedio), lo que confirma cuantitativamente el bucle de refuerzo R1. La capacidad de dispersión natural y la velocidad del viento tienen un efecto amortiguador significativo pero algo menor, consistente con el bucle de balance natural B2. Estos resultados orientan directamente el punto de apalancamiento que la Parte 3 desarrolla como política de intervención.</w:t>
      </w:r>
    </w:p>
    <w:p>
      <w:pPr>
        <w:pStyle w:val="Heading1"/>
        <w:spacing w:after="200" w:before="400" w:line="480"/>
        <w:jc w:val="center"/>
      </w:pPr>
      <w:r>
        <w:rPr>
          <w:rFonts w:ascii="Times New Roman" w:cs="Times New Roman" w:eastAsia="Times New Roman" w:hAnsi="Times New Roman"/>
          <w:b/>
          <w:bCs/>
          <w:color w:val="000000"/>
          <w:sz w:val="24"/>
          <w:szCs w:val="24"/>
        </w:rPr>
        <w:t xml:space="preserve">Escenarios simulados</w:t>
      </w:r>
    </w:p>
    <w:p>
      <w:pPr>
        <w:spacing w:after="200" w:before="0" w:line="480"/>
        <w:jc w:val="both"/>
      </w:pPr>
      <w:r>
        <w:rPr>
          <w:rFonts w:ascii="Times New Roman" w:cs="Times New Roman" w:eastAsia="Times New Roman" w:hAnsi="Times New Roman"/>
          <w:sz w:val="24"/>
          <w:szCs w:val="24"/>
        </w:rPr>
        <w:t xml:space="preserve">Los cuatro escenarios se proyectan 36 meses hacia adelante (enero 2023 - diciembre 2025), heredando sin modificación los parámetros estructurales calibrados en la Sección 15 (tasa de emisión vehicular = 0.00473 µg/m³ por vehículo; capacidad de dispersión natural = 0.01425 1/mes). La condición inicial de la proyección es el último dato real observado por SENAMHI (diciembre 2022, PM2.5 = 30.95 µg/m³), no el punto simulado por el modelo, para no arrastrar hacia el futuro el error de ajuste mensual del modelo (R² ≈ 0.61).</w:t>
      </w:r>
    </w:p>
    <w:p>
      <w:pPr>
        <w:pStyle w:val="Heading2"/>
        <w:spacing w:after="150" w:before="300" w:line="480"/>
        <w:jc w:val="left"/>
      </w:pPr>
      <w:r>
        <w:rPr>
          <w:rFonts w:ascii="Times New Roman" w:cs="Times New Roman" w:eastAsia="Times New Roman" w:hAnsi="Times New Roman"/>
          <w:b/>
          <w:bCs/>
          <w:color w:val="000000"/>
          <w:sz w:val="24"/>
          <w:szCs w:val="24"/>
        </w:rPr>
        <w:t xml:space="preserve">Definición de los escenarios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700"/>
        <w:gridCol w:w="2400"/>
        <w:gridCol w:w="3660"/>
      </w:tblGrid>
      <w:tr>
        <w:tc>
          <w:tcPr>
            <w:tcW w:type="dxa" w:w="1600"/>
            <w:shd w:fill="D9D9D9" w:val="clear"/>
            <w:tcMar>
              <w:top w:type="dxa" w:w="80"/>
              <w:left w:type="dxa" w:w="100"/>
              <w:bottom w:type="dxa" w:w="80"/>
              <w:right w:type="dxa" w:w="100"/>
            </w:tcMar>
            <w:vAlign w:val="center"/>
          </w:tcPr>
          <w:p>
            <w:pPr>
              <w:spacing w:line="276"/>
              <w:jc w:val="left"/>
            </w:pPr>
            <w:r>
              <w:rPr>
                <w:rFonts w:ascii="Times New Roman" w:cs="Times New Roman" w:eastAsia="Times New Roman" w:hAnsi="Times New Roman"/>
                <w:b/>
                <w:bCs/>
                <w:sz w:val="20"/>
                <w:szCs w:val="20"/>
              </w:rPr>
              <w:t xml:space="preserve">Escenario</w:t>
            </w:r>
          </w:p>
        </w:tc>
        <w:tc>
          <w:tcPr>
            <w:tcW w:type="dxa" w:w="1700"/>
            <w:shd w:fill="D9D9D9" w:val="clear"/>
            <w:tcMar>
              <w:top w:type="dxa" w:w="80"/>
              <w:left w:type="dxa" w:w="100"/>
              <w:bottom w:type="dxa" w:w="80"/>
              <w:right w:type="dxa" w:w="100"/>
            </w:tcMar>
            <w:vAlign w:val="center"/>
          </w:tcPr>
          <w:p>
            <w:pPr>
              <w:spacing w:line="276"/>
              <w:jc w:val="left"/>
            </w:pPr>
            <w:r>
              <w:rPr>
                <w:rFonts w:ascii="Times New Roman" w:cs="Times New Roman" w:eastAsia="Times New Roman" w:hAnsi="Times New Roman"/>
                <w:b/>
                <w:bCs/>
                <w:sz w:val="20"/>
                <w:szCs w:val="20"/>
              </w:rPr>
              <w:t xml:space="preserve">Densidad vehicular</w:t>
            </w:r>
          </w:p>
        </w:tc>
        <w:tc>
          <w:tcPr>
            <w:tcW w:type="dxa" w:w="2400"/>
            <w:shd w:fill="D9D9D9" w:val="clear"/>
            <w:tcMar>
              <w:top w:type="dxa" w:w="80"/>
              <w:left w:type="dxa" w:w="100"/>
              <w:bottom w:type="dxa" w:w="80"/>
              <w:right w:type="dxa" w:w="100"/>
            </w:tcMar>
            <w:vAlign w:val="center"/>
          </w:tcPr>
          <w:p>
            <w:pPr>
              <w:spacing w:line="276"/>
              <w:jc w:val="left"/>
            </w:pPr>
            <w:r>
              <w:rPr>
                <w:rFonts w:ascii="Times New Roman" w:cs="Times New Roman" w:eastAsia="Times New Roman" w:hAnsi="Times New Roman"/>
                <w:b/>
                <w:bCs/>
                <w:sz w:val="20"/>
                <w:szCs w:val="20"/>
              </w:rPr>
              <w:t xml:space="preserve">Tasa de emisión efectiva</w:t>
            </w:r>
          </w:p>
        </w:tc>
        <w:tc>
          <w:tcPr>
            <w:tcW w:type="dxa" w:w="3660"/>
            <w:shd w:fill="D9D9D9" w:val="clear"/>
            <w:tcMar>
              <w:top w:type="dxa" w:w="80"/>
              <w:left w:type="dxa" w:w="100"/>
              <w:bottom w:type="dxa" w:w="80"/>
              <w:right w:type="dxa" w:w="100"/>
            </w:tcMar>
            <w:vAlign w:val="center"/>
          </w:tcPr>
          <w:p>
            <w:pPr>
              <w:spacing w:line="276"/>
              <w:jc w:val="left"/>
            </w:pPr>
            <w:r>
              <w:rPr>
                <w:rFonts w:ascii="Times New Roman" w:cs="Times New Roman" w:eastAsia="Times New Roman" w:hAnsi="Times New Roman"/>
                <w:b/>
                <w:bCs/>
                <w:sz w:val="20"/>
                <w:szCs w:val="20"/>
              </w:rPr>
              <w:t xml:space="preserve">Supuesto narrativo</w:t>
            </w:r>
          </w:p>
        </w:tc>
      </w:tr>
      <w:tr>
        <w:tc>
          <w:tcPr>
            <w:tcW w:type="dxa" w:w="1600"/>
            <w:tcMar>
              <w:top w:type="dxa" w:w="80"/>
              <w:left w:type="dxa" w:w="100"/>
              <w:bottom w:type="dxa" w:w="80"/>
              <w:right w:type="dxa" w:w="100"/>
            </w:tcMar>
            <w:vAlign w:val="center"/>
          </w:tcPr>
          <w:p>
            <w:pPr>
              <w:spacing w:line="276"/>
              <w:jc w:val="left"/>
            </w:pPr>
            <w:r>
              <w:rPr>
                <w:rFonts w:ascii="Times New Roman" w:cs="Times New Roman" w:eastAsia="Times New Roman" w:hAnsi="Times New Roman"/>
                <w:sz w:val="20"/>
                <w:szCs w:val="20"/>
              </w:rPr>
              <w:t xml:space="preserve">Base</w:t>
            </w:r>
          </w:p>
        </w:tc>
        <w:tc>
          <w:tcPr>
            <w:tcW w:type="dxa" w:w="1700"/>
            <w:tcMar>
              <w:top w:type="dxa" w:w="80"/>
              <w:left w:type="dxa" w:w="100"/>
              <w:bottom w:type="dxa" w:w="80"/>
              <w:right w:type="dxa" w:w="100"/>
            </w:tcMar>
            <w:vAlign w:val="center"/>
          </w:tcPr>
          <w:p>
            <w:pPr>
              <w:spacing w:line="276"/>
              <w:jc w:val="left"/>
            </w:pPr>
            <w:r>
              <w:rPr>
                <w:rFonts w:ascii="Times New Roman" w:cs="Times New Roman" w:eastAsia="Times New Roman" w:hAnsi="Times New Roman"/>
                <w:sz w:val="20"/>
                <w:szCs w:val="20"/>
              </w:rPr>
              <w:t xml:space="preserve">+3%/año</w:t>
            </w:r>
          </w:p>
        </w:tc>
        <w:tc>
          <w:tcPr>
            <w:tcW w:type="dxa" w:w="2400"/>
            <w:tcMar>
              <w:top w:type="dxa" w:w="80"/>
              <w:left w:type="dxa" w:w="100"/>
              <w:bottom w:type="dxa" w:w="80"/>
              <w:right w:type="dxa" w:w="100"/>
            </w:tcMar>
            <w:vAlign w:val="center"/>
          </w:tcPr>
          <w:p>
            <w:pPr>
              <w:spacing w:line="276"/>
              <w:jc w:val="left"/>
            </w:pPr>
            <w:r>
              <w:rPr>
                <w:rFonts w:ascii="Times New Roman" w:cs="Times New Roman" w:eastAsia="Times New Roman" w:hAnsi="Times New Roman"/>
                <w:sz w:val="20"/>
                <w:szCs w:val="20"/>
              </w:rPr>
              <w:t xml:space="preserve">Sin cambio</w:t>
            </w:r>
          </w:p>
        </w:tc>
        <w:tc>
          <w:tcPr>
            <w:tcW w:type="dxa" w:w="3660"/>
            <w:tcMar>
              <w:top w:type="dxa" w:w="80"/>
              <w:left w:type="dxa" w:w="100"/>
              <w:bottom w:type="dxa" w:w="80"/>
              <w:right w:type="dxa" w:w="100"/>
            </w:tcMar>
            <w:vAlign w:val="center"/>
          </w:tcPr>
          <w:p>
            <w:pPr>
              <w:spacing w:line="276"/>
              <w:jc w:val="left"/>
            </w:pPr>
            <w:r>
              <w:rPr>
                <w:rFonts w:ascii="Times New Roman" w:cs="Times New Roman" w:eastAsia="Times New Roman" w:hAnsi="Times New Roman"/>
                <w:sz w:val="20"/>
                <w:szCs w:val="20"/>
              </w:rPr>
              <w:t xml:space="preserve">Continuación de la tendencia actual, sin nueva política pública.</w:t>
            </w:r>
          </w:p>
        </w:tc>
      </w:tr>
      <w:tr>
        <w:tc>
          <w:tcPr>
            <w:tcW w:type="dxa" w:w="1600"/>
            <w:tcMar>
              <w:top w:type="dxa" w:w="80"/>
              <w:left w:type="dxa" w:w="100"/>
              <w:bottom w:type="dxa" w:w="80"/>
              <w:right w:type="dxa" w:w="100"/>
            </w:tcMar>
            <w:vAlign w:val="center"/>
          </w:tcPr>
          <w:p>
            <w:pPr>
              <w:spacing w:line="276"/>
              <w:jc w:val="left"/>
            </w:pPr>
            <w:r>
              <w:rPr>
                <w:rFonts w:ascii="Times New Roman" w:cs="Times New Roman" w:eastAsia="Times New Roman" w:hAnsi="Times New Roman"/>
                <w:sz w:val="20"/>
                <w:szCs w:val="20"/>
              </w:rPr>
              <w:t xml:space="preserve">Pesimista</w:t>
            </w:r>
          </w:p>
        </w:tc>
        <w:tc>
          <w:tcPr>
            <w:tcW w:type="dxa" w:w="1700"/>
            <w:tcMar>
              <w:top w:type="dxa" w:w="80"/>
              <w:left w:type="dxa" w:w="100"/>
              <w:bottom w:type="dxa" w:w="80"/>
              <w:right w:type="dxa" w:w="100"/>
            </w:tcMar>
            <w:vAlign w:val="center"/>
          </w:tcPr>
          <w:p>
            <w:pPr>
              <w:spacing w:line="276"/>
              <w:jc w:val="left"/>
            </w:pPr>
            <w:r>
              <w:rPr>
                <w:rFonts w:ascii="Times New Roman" w:cs="Times New Roman" w:eastAsia="Times New Roman" w:hAnsi="Times New Roman"/>
                <w:sz w:val="20"/>
                <w:szCs w:val="20"/>
              </w:rPr>
              <w:t xml:space="preserve">+8%/año</w:t>
            </w:r>
          </w:p>
        </w:tc>
        <w:tc>
          <w:tcPr>
            <w:tcW w:type="dxa" w:w="2400"/>
            <w:tcMar>
              <w:top w:type="dxa" w:w="80"/>
              <w:left w:type="dxa" w:w="100"/>
              <w:bottom w:type="dxa" w:w="80"/>
              <w:right w:type="dxa" w:w="100"/>
            </w:tcMar>
            <w:vAlign w:val="center"/>
          </w:tcPr>
          <w:p>
            <w:pPr>
              <w:spacing w:line="276"/>
              <w:jc w:val="left"/>
            </w:pPr>
            <w:r>
              <w:rPr>
                <w:rFonts w:ascii="Times New Roman" w:cs="Times New Roman" w:eastAsia="Times New Roman" w:hAnsi="Times New Roman"/>
                <w:sz w:val="20"/>
                <w:szCs w:val="20"/>
              </w:rPr>
              <w:t xml:space="preserve">Sin cambio</w:t>
            </w:r>
          </w:p>
        </w:tc>
        <w:tc>
          <w:tcPr>
            <w:tcW w:type="dxa" w:w="3660"/>
            <w:tcMar>
              <w:top w:type="dxa" w:w="80"/>
              <w:left w:type="dxa" w:w="100"/>
              <w:bottom w:type="dxa" w:w="80"/>
              <w:right w:type="dxa" w:w="100"/>
            </w:tcMar>
            <w:vAlign w:val="center"/>
          </w:tcPr>
          <w:p>
            <w:pPr>
              <w:spacing w:line="276"/>
              <w:jc w:val="left"/>
            </w:pPr>
            <w:r>
              <w:rPr>
                <w:rFonts w:ascii="Times New Roman" w:cs="Times New Roman" w:eastAsia="Times New Roman" w:hAnsi="Times New Roman"/>
                <w:sz w:val="20"/>
                <w:szCs w:val="20"/>
              </w:rPr>
              <w:t xml:space="preserve">Crecimiento del parque automotor sin ningún control ni fiscalización.</w:t>
            </w:r>
          </w:p>
        </w:tc>
      </w:tr>
      <w:tr>
        <w:tc>
          <w:tcPr>
            <w:tcW w:type="dxa" w:w="1600"/>
            <w:tcMar>
              <w:top w:type="dxa" w:w="80"/>
              <w:left w:type="dxa" w:w="100"/>
              <w:bottom w:type="dxa" w:w="80"/>
              <w:right w:type="dxa" w:w="100"/>
            </w:tcMar>
            <w:vAlign w:val="center"/>
          </w:tcPr>
          <w:p>
            <w:pPr>
              <w:spacing w:line="276"/>
              <w:jc w:val="left"/>
            </w:pPr>
            <w:r>
              <w:rPr>
                <w:rFonts w:ascii="Times New Roman" w:cs="Times New Roman" w:eastAsia="Times New Roman" w:hAnsi="Times New Roman"/>
                <w:sz w:val="20"/>
                <w:szCs w:val="20"/>
              </w:rPr>
              <w:t xml:space="preserve">Optimista</w:t>
            </w:r>
          </w:p>
        </w:tc>
        <w:tc>
          <w:tcPr>
            <w:tcW w:type="dxa" w:w="1700"/>
            <w:tcMar>
              <w:top w:type="dxa" w:w="80"/>
              <w:left w:type="dxa" w:w="100"/>
              <w:bottom w:type="dxa" w:w="80"/>
              <w:right w:type="dxa" w:w="100"/>
            </w:tcMar>
            <w:vAlign w:val="center"/>
          </w:tcPr>
          <w:p>
            <w:pPr>
              <w:spacing w:line="276"/>
              <w:jc w:val="left"/>
            </w:pPr>
            <w:r>
              <w:rPr>
                <w:rFonts w:ascii="Times New Roman" w:cs="Times New Roman" w:eastAsia="Times New Roman" w:hAnsi="Times New Roman"/>
                <w:sz w:val="20"/>
                <w:szCs w:val="20"/>
              </w:rPr>
              <w:t xml:space="preserve">+1%/año</w:t>
            </w:r>
          </w:p>
        </w:tc>
        <w:tc>
          <w:tcPr>
            <w:tcW w:type="dxa" w:w="2400"/>
            <w:tcMar>
              <w:top w:type="dxa" w:w="80"/>
              <w:left w:type="dxa" w:w="100"/>
              <w:bottom w:type="dxa" w:w="80"/>
              <w:right w:type="dxa" w:w="100"/>
            </w:tcMar>
            <w:vAlign w:val="center"/>
          </w:tcPr>
          <w:p>
            <w:pPr>
              <w:spacing w:line="276"/>
              <w:jc w:val="left"/>
            </w:pPr>
            <w:r>
              <w:rPr>
                <w:rFonts w:ascii="Times New Roman" w:cs="Times New Roman" w:eastAsia="Times New Roman" w:hAnsi="Times New Roman"/>
                <w:sz w:val="20"/>
                <w:szCs w:val="20"/>
              </w:rPr>
              <w:t xml:space="preserve">−30% en 24 meses, sin retardo</w:t>
            </w:r>
          </w:p>
        </w:tc>
        <w:tc>
          <w:tcPr>
            <w:tcW w:type="dxa" w:w="3660"/>
            <w:tcMar>
              <w:top w:type="dxa" w:w="80"/>
              <w:left w:type="dxa" w:w="100"/>
              <w:bottom w:type="dxa" w:w="80"/>
              <w:right w:type="dxa" w:w="100"/>
            </w:tcMar>
            <w:vAlign w:val="center"/>
          </w:tcPr>
          <w:p>
            <w:pPr>
              <w:spacing w:line="276"/>
              <w:jc w:val="left"/>
            </w:pPr>
            <w:r>
              <w:rPr>
                <w:rFonts w:ascii="Times New Roman" w:cs="Times New Roman" w:eastAsia="Times New Roman" w:hAnsi="Times New Roman"/>
                <w:sz w:val="20"/>
                <w:szCs w:val="20"/>
              </w:rPr>
              <w:t xml:space="preserve">Restricción estricta e inmediata + renovación acelerada de flota.</w:t>
            </w:r>
          </w:p>
        </w:tc>
      </w:tr>
      <w:tr>
        <w:tc>
          <w:tcPr>
            <w:tcW w:type="dxa" w:w="1600"/>
            <w:tcMar>
              <w:top w:type="dxa" w:w="80"/>
              <w:left w:type="dxa" w:w="100"/>
              <w:bottom w:type="dxa" w:w="80"/>
              <w:right w:type="dxa" w:w="100"/>
            </w:tcMar>
            <w:vAlign w:val="center"/>
          </w:tcPr>
          <w:p>
            <w:pPr>
              <w:spacing w:line="276"/>
              <w:jc w:val="left"/>
            </w:pPr>
            <w:r>
              <w:rPr>
                <w:rFonts w:ascii="Times New Roman" w:cs="Times New Roman" w:eastAsia="Times New Roman" w:hAnsi="Times New Roman"/>
                <w:sz w:val="20"/>
                <w:szCs w:val="20"/>
              </w:rPr>
              <w:t xml:space="preserve">Con intervención</w:t>
            </w:r>
          </w:p>
        </w:tc>
        <w:tc>
          <w:tcPr>
            <w:tcW w:type="dxa" w:w="1700"/>
            <w:tcMar>
              <w:top w:type="dxa" w:w="80"/>
              <w:left w:type="dxa" w:w="100"/>
              <w:bottom w:type="dxa" w:w="80"/>
              <w:right w:type="dxa" w:w="100"/>
            </w:tcMar>
            <w:vAlign w:val="center"/>
          </w:tcPr>
          <w:p>
            <w:pPr>
              <w:spacing w:line="276"/>
              <w:jc w:val="left"/>
            </w:pPr>
            <w:r>
              <w:rPr>
                <w:rFonts w:ascii="Times New Roman" w:cs="Times New Roman" w:eastAsia="Times New Roman" w:hAnsi="Times New Roman"/>
                <w:sz w:val="20"/>
                <w:szCs w:val="20"/>
              </w:rPr>
              <w:t xml:space="preserve">+1.5%/año</w:t>
            </w:r>
          </w:p>
        </w:tc>
        <w:tc>
          <w:tcPr>
            <w:tcW w:type="dxa" w:w="2400"/>
            <w:tcMar>
              <w:top w:type="dxa" w:w="80"/>
              <w:left w:type="dxa" w:w="100"/>
              <w:bottom w:type="dxa" w:w="80"/>
              <w:right w:type="dxa" w:w="100"/>
            </w:tcMar>
            <w:vAlign w:val="center"/>
          </w:tcPr>
          <w:p>
            <w:pPr>
              <w:spacing w:line="276"/>
              <w:jc w:val="left"/>
            </w:pPr>
            <w:r>
              <w:rPr>
                <w:rFonts w:ascii="Times New Roman" w:cs="Times New Roman" w:eastAsia="Times New Roman" w:hAnsi="Times New Roman"/>
                <w:sz w:val="20"/>
                <w:szCs w:val="20"/>
              </w:rPr>
              <w:t xml:space="preserve">−20% en 18 meses, con 6 meses de retardo</w:t>
            </w:r>
          </w:p>
        </w:tc>
        <w:tc>
          <w:tcPr>
            <w:tcW w:type="dxa" w:w="3660"/>
            <w:tcMar>
              <w:top w:type="dxa" w:w="80"/>
              <w:left w:type="dxa" w:w="100"/>
              <w:bottom w:type="dxa" w:w="80"/>
              <w:right w:type="dxa" w:w="100"/>
            </w:tcMar>
            <w:vAlign w:val="center"/>
          </w:tcPr>
          <w:p>
            <w:pPr>
              <w:spacing w:line="276"/>
              <w:jc w:val="left"/>
            </w:pPr>
            <w:r>
              <w:rPr>
                <w:rFonts w:ascii="Times New Roman" w:cs="Times New Roman" w:eastAsia="Times New Roman" w:hAnsi="Times New Roman"/>
                <w:sz w:val="20"/>
                <w:szCs w:val="20"/>
              </w:rPr>
              <w:t xml:space="preserve">Restricción parcial tipo "pico y placa" + incentivos de renovación, con el retardo del bucle B1.</w:t>
            </w:r>
          </w:p>
        </w:tc>
      </w:tr>
    </w:tbl>
    <w:p>
      <w:pPr>
        <w:pStyle w:val="Heading2"/>
        <w:spacing w:after="150" w:before="300" w:line="480"/>
        <w:jc w:val="left"/>
      </w:pPr>
      <w:r>
        <w:rPr>
          <w:rFonts w:ascii="Times New Roman" w:cs="Times New Roman" w:eastAsia="Times New Roman" w:hAnsi="Times New Roman"/>
          <w:b/>
          <w:bCs/>
          <w:color w:val="000000"/>
          <w:sz w:val="24"/>
          <w:szCs w:val="24"/>
        </w:rPr>
        <w:t xml:space="preserve">Comparación gráfica</w:t>
      </w:r>
    </w:p>
    <w:p>
      <w:pPr>
        <w:spacing w:after="100" w:before="200"/>
        <w:jc w:val="center"/>
      </w:pPr>
      <w:r>
        <w:drawing>
          <wp:inline distT="0" distB="0" distL="0" distR="0">
            <wp:extent cx="5143500" cy="2571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143500" cy="2571750"/>
                    </a:xfrm>
                    <a:prstGeom prst="rect">
                      <a:avLst/>
                    </a:prstGeom>
                  </pic:spPr>
                </pic:pic>
              </a:graphicData>
            </a:graphic>
          </wp:inline>
        </w:drawing>
      </w:r>
    </w:p>
    <w:p>
      <w:pPr>
        <w:spacing w:after="300"/>
        <w:jc w:val="center"/>
      </w:pPr>
      <w:r>
        <w:rPr>
          <w:rFonts w:ascii="Times New Roman" w:cs="Times New Roman" w:eastAsia="Times New Roman" w:hAnsi="Times New Roman"/>
          <w:i/>
          <w:iCs/>
          <w:sz w:val="20"/>
          <w:szCs w:val="20"/>
        </w:rPr>
        <w:t xml:space="preserve">Figura 11. Escenarios comparados de PM2.5 en San Juan de Lurigancho, 2023-2025, frente al ECA-aire (25 µg/m³) y a la serie real 2020-2022.</w:t>
      </w:r>
    </w:p>
    <w:p>
      <w:pPr>
        <w:pStyle w:val="Heading2"/>
        <w:spacing w:after="150" w:before="300" w:line="480"/>
        <w:jc w:val="left"/>
      </w:pPr>
      <w:r>
        <w:rPr>
          <w:rFonts w:ascii="Times New Roman" w:cs="Times New Roman" w:eastAsia="Times New Roman" w:hAnsi="Times New Roman"/>
          <w:b/>
          <w:bCs/>
          <w:color w:val="000000"/>
          <w:sz w:val="24"/>
          <w:szCs w:val="24"/>
        </w:rPr>
        <w:t xml:space="preserve">Promedios anuales por escenario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940"/>
        <w:gridCol w:w="1960"/>
        <w:gridCol w:w="1960"/>
        <w:gridCol w:w="1940"/>
      </w:tblGrid>
      <w:tr>
        <w:tc>
          <w:tcPr>
            <w:tcW w:type="dxa" w:w="1560"/>
            <w:shd w:fill="D9D9D9" w:val="clear"/>
            <w:tcMar>
              <w:top w:type="dxa" w:w="80"/>
              <w:left w:type="dxa" w:w="100"/>
              <w:bottom w:type="dxa" w:w="80"/>
              <w:right w:type="dxa" w:w="100"/>
            </w:tcMar>
            <w:vAlign w:val="center"/>
          </w:tcPr>
          <w:p>
            <w:pPr>
              <w:spacing w:line="276"/>
              <w:jc w:val="left"/>
            </w:pPr>
            <w:r>
              <w:rPr>
                <w:rFonts w:ascii="Times New Roman" w:cs="Times New Roman" w:eastAsia="Times New Roman" w:hAnsi="Times New Roman"/>
                <w:b/>
                <w:bCs/>
                <w:sz w:val="20"/>
                <w:szCs w:val="20"/>
              </w:rPr>
              <w:t xml:space="preserve">Año</w:t>
            </w:r>
          </w:p>
        </w:tc>
        <w:tc>
          <w:tcPr>
            <w:tcW w:type="dxa" w:w="1940"/>
            <w:shd w:fill="D9D9D9" w:val="clear"/>
            <w:tcMar>
              <w:top w:type="dxa" w:w="80"/>
              <w:left w:type="dxa" w:w="100"/>
              <w:bottom w:type="dxa" w:w="80"/>
              <w:right w:type="dxa" w:w="100"/>
            </w:tcMar>
            <w:vAlign w:val="center"/>
          </w:tcPr>
          <w:p>
            <w:pPr>
              <w:spacing w:line="276"/>
              <w:jc w:val="left"/>
            </w:pPr>
            <w:r>
              <w:rPr>
                <w:rFonts w:ascii="Times New Roman" w:cs="Times New Roman" w:eastAsia="Times New Roman" w:hAnsi="Times New Roman"/>
                <w:b/>
                <w:bCs/>
                <w:sz w:val="20"/>
                <w:szCs w:val="20"/>
              </w:rPr>
              <w:t xml:space="preserve">Base (µg/m³)</w:t>
            </w:r>
          </w:p>
        </w:tc>
        <w:tc>
          <w:tcPr>
            <w:tcW w:type="dxa" w:w="1960"/>
            <w:shd w:fill="D9D9D9" w:val="clear"/>
            <w:tcMar>
              <w:top w:type="dxa" w:w="80"/>
              <w:left w:type="dxa" w:w="100"/>
              <w:bottom w:type="dxa" w:w="80"/>
              <w:right w:type="dxa" w:w="100"/>
            </w:tcMar>
            <w:vAlign w:val="center"/>
          </w:tcPr>
          <w:p>
            <w:pPr>
              <w:spacing w:line="276"/>
              <w:jc w:val="left"/>
            </w:pPr>
            <w:r>
              <w:rPr>
                <w:rFonts w:ascii="Times New Roman" w:cs="Times New Roman" w:eastAsia="Times New Roman" w:hAnsi="Times New Roman"/>
                <w:b/>
                <w:bCs/>
                <w:sz w:val="20"/>
                <w:szCs w:val="20"/>
              </w:rPr>
              <w:t xml:space="preserve">Pesimista (µg/m³)</w:t>
            </w:r>
          </w:p>
        </w:tc>
        <w:tc>
          <w:tcPr>
            <w:tcW w:type="dxa" w:w="1960"/>
            <w:shd w:fill="D9D9D9" w:val="clear"/>
            <w:tcMar>
              <w:top w:type="dxa" w:w="80"/>
              <w:left w:type="dxa" w:w="100"/>
              <w:bottom w:type="dxa" w:w="80"/>
              <w:right w:type="dxa" w:w="100"/>
            </w:tcMar>
            <w:vAlign w:val="center"/>
          </w:tcPr>
          <w:p>
            <w:pPr>
              <w:spacing w:line="276"/>
              <w:jc w:val="left"/>
            </w:pPr>
            <w:r>
              <w:rPr>
                <w:rFonts w:ascii="Times New Roman" w:cs="Times New Roman" w:eastAsia="Times New Roman" w:hAnsi="Times New Roman"/>
                <w:b/>
                <w:bCs/>
                <w:sz w:val="20"/>
                <w:szCs w:val="20"/>
              </w:rPr>
              <w:t xml:space="preserve">Optimista (µg/m³)</w:t>
            </w:r>
          </w:p>
        </w:tc>
        <w:tc>
          <w:tcPr>
            <w:tcW w:type="dxa" w:w="1940"/>
            <w:shd w:fill="D9D9D9" w:val="clear"/>
            <w:tcMar>
              <w:top w:type="dxa" w:w="80"/>
              <w:left w:type="dxa" w:w="100"/>
              <w:bottom w:type="dxa" w:w="80"/>
              <w:right w:type="dxa" w:w="100"/>
            </w:tcMar>
            <w:vAlign w:val="center"/>
          </w:tcPr>
          <w:p>
            <w:pPr>
              <w:spacing w:line="276"/>
              <w:jc w:val="left"/>
            </w:pPr>
            <w:r>
              <w:rPr>
                <w:rFonts w:ascii="Times New Roman" w:cs="Times New Roman" w:eastAsia="Times New Roman" w:hAnsi="Times New Roman"/>
                <w:b/>
                <w:bCs/>
                <w:sz w:val="20"/>
                <w:szCs w:val="20"/>
              </w:rPr>
              <w:t xml:space="preserve">Con intervención (µg/m³)</w:t>
            </w:r>
          </w:p>
        </w:tc>
      </w:tr>
      <w:tr>
        <w:tc>
          <w:tcPr>
            <w:tcW w:type="dxa" w:w="1560"/>
            <w:tcMar>
              <w:top w:type="dxa" w:w="80"/>
              <w:left w:type="dxa" w:w="100"/>
              <w:bottom w:type="dxa" w:w="80"/>
              <w:right w:type="dxa" w:w="100"/>
            </w:tcMar>
            <w:vAlign w:val="center"/>
          </w:tcPr>
          <w:p>
            <w:pPr>
              <w:spacing w:line="276"/>
              <w:jc w:val="left"/>
            </w:pPr>
            <w:r>
              <w:rPr>
                <w:rFonts w:ascii="Times New Roman" w:cs="Times New Roman" w:eastAsia="Times New Roman" w:hAnsi="Times New Roman"/>
                <w:sz w:val="20"/>
                <w:szCs w:val="20"/>
              </w:rPr>
              <w:t xml:space="preserve">2023</w:t>
            </w:r>
          </w:p>
        </w:tc>
        <w:tc>
          <w:tcPr>
            <w:tcW w:type="dxa" w:w="1940"/>
            <w:tcMar>
              <w:top w:type="dxa" w:w="80"/>
              <w:left w:type="dxa" w:w="100"/>
              <w:bottom w:type="dxa" w:w="80"/>
              <w:right w:type="dxa" w:w="100"/>
            </w:tcMar>
            <w:vAlign w:val="center"/>
          </w:tcPr>
          <w:p>
            <w:pPr>
              <w:spacing w:line="276"/>
              <w:jc w:val="left"/>
            </w:pPr>
            <w:r>
              <w:rPr>
                <w:rFonts w:ascii="Times New Roman" w:cs="Times New Roman" w:eastAsia="Times New Roman" w:hAnsi="Times New Roman"/>
                <w:sz w:val="20"/>
                <w:szCs w:val="20"/>
              </w:rPr>
              <w:t xml:space="preserve">38.8</w:t>
            </w:r>
          </w:p>
        </w:tc>
        <w:tc>
          <w:tcPr>
            <w:tcW w:type="dxa" w:w="1960"/>
            <w:tcMar>
              <w:top w:type="dxa" w:w="80"/>
              <w:left w:type="dxa" w:w="100"/>
              <w:bottom w:type="dxa" w:w="80"/>
              <w:right w:type="dxa" w:w="100"/>
            </w:tcMar>
            <w:vAlign w:val="center"/>
          </w:tcPr>
          <w:p>
            <w:pPr>
              <w:spacing w:line="276"/>
              <w:jc w:val="left"/>
            </w:pPr>
            <w:r>
              <w:rPr>
                <w:rFonts w:ascii="Times New Roman" w:cs="Times New Roman" w:eastAsia="Times New Roman" w:hAnsi="Times New Roman"/>
                <w:sz w:val="20"/>
                <w:szCs w:val="20"/>
              </w:rPr>
              <w:t xml:space="preserve">39.1</w:t>
            </w:r>
          </w:p>
        </w:tc>
        <w:tc>
          <w:tcPr>
            <w:tcW w:type="dxa" w:w="1960"/>
            <w:tcMar>
              <w:top w:type="dxa" w:w="80"/>
              <w:left w:type="dxa" w:w="100"/>
              <w:bottom w:type="dxa" w:w="80"/>
              <w:right w:type="dxa" w:w="100"/>
            </w:tcMar>
            <w:vAlign w:val="center"/>
          </w:tcPr>
          <w:p>
            <w:pPr>
              <w:spacing w:line="276"/>
              <w:jc w:val="left"/>
            </w:pPr>
            <w:r>
              <w:rPr>
                <w:rFonts w:ascii="Times New Roman" w:cs="Times New Roman" w:eastAsia="Times New Roman" w:hAnsi="Times New Roman"/>
                <w:sz w:val="20"/>
                <w:szCs w:val="20"/>
              </w:rPr>
              <w:t xml:space="preserve">38.0</w:t>
            </w:r>
          </w:p>
        </w:tc>
        <w:tc>
          <w:tcPr>
            <w:tcW w:type="dxa" w:w="1940"/>
            <w:tcMar>
              <w:top w:type="dxa" w:w="80"/>
              <w:left w:type="dxa" w:w="100"/>
              <w:bottom w:type="dxa" w:w="80"/>
              <w:right w:type="dxa" w:w="100"/>
            </w:tcMar>
            <w:vAlign w:val="center"/>
          </w:tcPr>
          <w:p>
            <w:pPr>
              <w:spacing w:line="276"/>
              <w:jc w:val="left"/>
            </w:pPr>
            <w:r>
              <w:rPr>
                <w:rFonts w:ascii="Times New Roman" w:cs="Times New Roman" w:eastAsia="Times New Roman" w:hAnsi="Times New Roman"/>
                <w:sz w:val="20"/>
                <w:szCs w:val="20"/>
              </w:rPr>
              <w:t xml:space="preserve">38.7</w:t>
            </w:r>
          </w:p>
        </w:tc>
      </w:tr>
      <w:tr>
        <w:tc>
          <w:tcPr>
            <w:tcW w:type="dxa" w:w="1560"/>
            <w:tcMar>
              <w:top w:type="dxa" w:w="80"/>
              <w:left w:type="dxa" w:w="100"/>
              <w:bottom w:type="dxa" w:w="80"/>
              <w:right w:type="dxa" w:w="100"/>
            </w:tcMar>
            <w:vAlign w:val="center"/>
          </w:tcPr>
          <w:p>
            <w:pPr>
              <w:spacing w:line="276"/>
              <w:jc w:val="left"/>
            </w:pPr>
            <w:r>
              <w:rPr>
                <w:rFonts w:ascii="Times New Roman" w:cs="Times New Roman" w:eastAsia="Times New Roman" w:hAnsi="Times New Roman"/>
                <w:sz w:val="20"/>
                <w:szCs w:val="20"/>
              </w:rPr>
              <w:t xml:space="preserve">2024</w:t>
            </w:r>
          </w:p>
        </w:tc>
        <w:tc>
          <w:tcPr>
            <w:tcW w:type="dxa" w:w="1940"/>
            <w:tcMar>
              <w:top w:type="dxa" w:w="80"/>
              <w:left w:type="dxa" w:w="100"/>
              <w:bottom w:type="dxa" w:w="80"/>
              <w:right w:type="dxa" w:w="100"/>
            </w:tcMar>
            <w:vAlign w:val="center"/>
          </w:tcPr>
          <w:p>
            <w:pPr>
              <w:spacing w:line="276"/>
              <w:jc w:val="left"/>
            </w:pPr>
            <w:r>
              <w:rPr>
                <w:rFonts w:ascii="Times New Roman" w:cs="Times New Roman" w:eastAsia="Times New Roman" w:hAnsi="Times New Roman"/>
                <w:sz w:val="20"/>
                <w:szCs w:val="20"/>
              </w:rPr>
              <w:t xml:space="preserve">50.5</w:t>
            </w:r>
          </w:p>
        </w:tc>
        <w:tc>
          <w:tcPr>
            <w:tcW w:type="dxa" w:w="1960"/>
            <w:tcMar>
              <w:top w:type="dxa" w:w="80"/>
              <w:left w:type="dxa" w:w="100"/>
              <w:bottom w:type="dxa" w:w="80"/>
              <w:right w:type="dxa" w:w="100"/>
            </w:tcMar>
            <w:vAlign w:val="center"/>
          </w:tcPr>
          <w:p>
            <w:pPr>
              <w:spacing w:line="276"/>
              <w:jc w:val="left"/>
            </w:pPr>
            <w:r>
              <w:rPr>
                <w:rFonts w:ascii="Times New Roman" w:cs="Times New Roman" w:eastAsia="Times New Roman" w:hAnsi="Times New Roman"/>
                <w:sz w:val="20"/>
                <w:szCs w:val="20"/>
              </w:rPr>
              <w:t xml:space="preserve">52.2</w:t>
            </w:r>
          </w:p>
        </w:tc>
        <w:tc>
          <w:tcPr>
            <w:tcW w:type="dxa" w:w="1960"/>
            <w:tcMar>
              <w:top w:type="dxa" w:w="80"/>
              <w:left w:type="dxa" w:w="100"/>
              <w:bottom w:type="dxa" w:w="80"/>
              <w:right w:type="dxa" w:w="100"/>
            </w:tcMar>
            <w:vAlign w:val="center"/>
          </w:tcPr>
          <w:p>
            <w:pPr>
              <w:spacing w:line="276"/>
              <w:jc w:val="left"/>
            </w:pPr>
            <w:r>
              <w:rPr>
                <w:rFonts w:ascii="Times New Roman" w:cs="Times New Roman" w:eastAsia="Times New Roman" w:hAnsi="Times New Roman"/>
                <w:sz w:val="20"/>
                <w:szCs w:val="20"/>
              </w:rPr>
              <w:t xml:space="preserve">44.9</w:t>
            </w:r>
          </w:p>
        </w:tc>
        <w:tc>
          <w:tcPr>
            <w:tcW w:type="dxa" w:w="1940"/>
            <w:tcMar>
              <w:top w:type="dxa" w:w="80"/>
              <w:left w:type="dxa" w:w="100"/>
              <w:bottom w:type="dxa" w:w="80"/>
              <w:right w:type="dxa" w:w="100"/>
            </w:tcMar>
            <w:vAlign w:val="center"/>
          </w:tcPr>
          <w:p>
            <w:pPr>
              <w:spacing w:line="276"/>
              <w:jc w:val="left"/>
            </w:pPr>
            <w:r>
              <w:rPr>
                <w:rFonts w:ascii="Times New Roman" w:cs="Times New Roman" w:eastAsia="Times New Roman" w:hAnsi="Times New Roman"/>
                <w:sz w:val="20"/>
                <w:szCs w:val="20"/>
              </w:rPr>
              <w:t xml:space="preserve">47.9</w:t>
            </w:r>
          </w:p>
        </w:tc>
      </w:tr>
      <w:tr>
        <w:tc>
          <w:tcPr>
            <w:tcW w:type="dxa" w:w="1560"/>
            <w:tcMar>
              <w:top w:type="dxa" w:w="80"/>
              <w:left w:type="dxa" w:w="100"/>
              <w:bottom w:type="dxa" w:w="80"/>
              <w:right w:type="dxa" w:w="100"/>
            </w:tcMar>
            <w:vAlign w:val="center"/>
          </w:tcPr>
          <w:p>
            <w:pPr>
              <w:spacing w:line="276"/>
              <w:jc w:val="left"/>
            </w:pPr>
            <w:r>
              <w:rPr>
                <w:rFonts w:ascii="Times New Roman" w:cs="Times New Roman" w:eastAsia="Times New Roman" w:hAnsi="Times New Roman"/>
                <w:sz w:val="20"/>
                <w:szCs w:val="20"/>
              </w:rPr>
              <w:t xml:space="preserve">2025</w:t>
            </w:r>
          </w:p>
        </w:tc>
        <w:tc>
          <w:tcPr>
            <w:tcW w:type="dxa" w:w="1940"/>
            <w:tcMar>
              <w:top w:type="dxa" w:w="80"/>
              <w:left w:type="dxa" w:w="100"/>
              <w:bottom w:type="dxa" w:w="80"/>
              <w:right w:type="dxa" w:w="100"/>
            </w:tcMar>
            <w:vAlign w:val="center"/>
          </w:tcPr>
          <w:p>
            <w:pPr>
              <w:spacing w:line="276"/>
              <w:jc w:val="left"/>
            </w:pPr>
            <w:r>
              <w:rPr>
                <w:rFonts w:ascii="Times New Roman" w:cs="Times New Roman" w:eastAsia="Times New Roman" w:hAnsi="Times New Roman"/>
                <w:sz w:val="20"/>
                <w:szCs w:val="20"/>
              </w:rPr>
              <w:t xml:space="preserve">57.1</w:t>
            </w:r>
          </w:p>
        </w:tc>
        <w:tc>
          <w:tcPr>
            <w:tcW w:type="dxa" w:w="1960"/>
            <w:tcMar>
              <w:top w:type="dxa" w:w="80"/>
              <w:left w:type="dxa" w:w="100"/>
              <w:bottom w:type="dxa" w:w="80"/>
              <w:right w:type="dxa" w:w="100"/>
            </w:tcMar>
            <w:vAlign w:val="center"/>
          </w:tcPr>
          <w:p>
            <w:pPr>
              <w:spacing w:line="276"/>
              <w:jc w:val="left"/>
            </w:pPr>
            <w:r>
              <w:rPr>
                <w:rFonts w:ascii="Times New Roman" w:cs="Times New Roman" w:eastAsia="Times New Roman" w:hAnsi="Times New Roman"/>
                <w:sz w:val="20"/>
                <w:szCs w:val="20"/>
              </w:rPr>
              <w:t xml:space="preserve">61.1</w:t>
            </w:r>
          </w:p>
        </w:tc>
        <w:tc>
          <w:tcPr>
            <w:tcW w:type="dxa" w:w="1960"/>
            <w:tcMar>
              <w:top w:type="dxa" w:w="80"/>
              <w:left w:type="dxa" w:w="100"/>
              <w:bottom w:type="dxa" w:w="80"/>
              <w:right w:type="dxa" w:w="100"/>
            </w:tcMar>
            <w:vAlign w:val="center"/>
          </w:tcPr>
          <w:p>
            <w:pPr>
              <w:spacing w:line="276"/>
              <w:jc w:val="left"/>
            </w:pPr>
            <w:r>
              <w:rPr>
                <w:rFonts w:ascii="Times New Roman" w:cs="Times New Roman" w:eastAsia="Times New Roman" w:hAnsi="Times New Roman"/>
                <w:sz w:val="20"/>
                <w:szCs w:val="20"/>
              </w:rPr>
              <w:t xml:space="preserve">44.4</w:t>
            </w:r>
          </w:p>
        </w:tc>
        <w:tc>
          <w:tcPr>
            <w:tcW w:type="dxa" w:w="1940"/>
            <w:tcMar>
              <w:top w:type="dxa" w:w="80"/>
              <w:left w:type="dxa" w:w="100"/>
              <w:bottom w:type="dxa" w:w="80"/>
              <w:right w:type="dxa" w:w="100"/>
            </w:tcMar>
            <w:vAlign w:val="center"/>
          </w:tcPr>
          <w:p>
            <w:pPr>
              <w:spacing w:line="276"/>
              <w:jc w:val="left"/>
            </w:pPr>
            <w:r>
              <w:rPr>
                <w:rFonts w:ascii="Times New Roman" w:cs="Times New Roman" w:eastAsia="Times New Roman" w:hAnsi="Times New Roman"/>
                <w:sz w:val="20"/>
                <w:szCs w:val="20"/>
              </w:rPr>
              <w:t xml:space="preserve">49.2</w:t>
            </w:r>
          </w:p>
        </w:tc>
      </w:tr>
    </w:tbl>
    <w:p>
      <w:pPr>
        <w:pStyle w:val="Heading2"/>
        <w:spacing w:after="150" w:before="300" w:line="480"/>
        <w:jc w:val="left"/>
      </w:pPr>
      <w:r>
        <w:rPr>
          <w:rFonts w:ascii="Times New Roman" w:cs="Times New Roman" w:eastAsia="Times New Roman" w:hAnsi="Times New Roman"/>
          <w:b/>
          <w:bCs/>
          <w:color w:val="000000"/>
          <w:sz w:val="24"/>
          <w:szCs w:val="24"/>
        </w:rPr>
        <w:t xml:space="preserve">Indicadores de política</w:t>
      </w:r>
    </w:p>
    <w:p>
      <w:pPr>
        <w:spacing w:after="200" w:before="0" w:line="480"/>
        <w:jc w:val="both"/>
      </w:pPr>
      <w:r>
        <w:rPr>
          <w:rFonts w:ascii="Times New Roman" w:cs="Times New Roman" w:eastAsia="Times New Roman" w:hAnsi="Times New Roman"/>
          <w:sz w:val="24"/>
          <w:szCs w:val="24"/>
        </w:rPr>
        <w:t xml:space="preserve">Se calcula un indicador acumulado adicional: el exceso acumulado sobre el ECA-aire, definido como la suma de max(C(t) − 25, 0) en los 36 meses proyectados (µg/m³·mes).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1560"/>
        <w:gridCol w:w="1560"/>
        <w:gridCol w:w="1560"/>
        <w:gridCol w:w="1560"/>
        <w:gridCol w:w="1560"/>
      </w:tblGrid>
      <w:tr>
        <w:tc>
          <w:tcPr>
            <w:tcW w:type="dxa" w:w="2160"/>
            <w:shd w:fill="D9D9D9" w:val="clear"/>
            <w:tcMar>
              <w:top w:type="dxa" w:w="80"/>
              <w:left w:type="dxa" w:w="100"/>
              <w:bottom w:type="dxa" w:w="80"/>
              <w:right w:type="dxa" w:w="100"/>
            </w:tcMar>
            <w:vAlign w:val="center"/>
          </w:tcPr>
          <w:p>
            <w:pPr>
              <w:spacing w:line="276"/>
              <w:jc w:val="left"/>
            </w:pPr>
            <w:r>
              <w:rPr>
                <w:rFonts w:ascii="Times New Roman" w:cs="Times New Roman" w:eastAsia="Times New Roman" w:hAnsi="Times New Roman"/>
                <w:b/>
                <w:bCs/>
                <w:sz w:val="20"/>
                <w:szCs w:val="20"/>
              </w:rPr>
              <w:t xml:space="preserve">Escenario</w:t>
            </w:r>
          </w:p>
        </w:tc>
        <w:tc>
          <w:tcPr>
            <w:tcW w:type="dxa" w:w="1560"/>
            <w:shd w:fill="D9D9D9" w:val="clear"/>
            <w:tcMar>
              <w:top w:type="dxa" w:w="80"/>
              <w:left w:type="dxa" w:w="100"/>
              <w:bottom w:type="dxa" w:w="80"/>
              <w:right w:type="dxa" w:w="100"/>
            </w:tcMar>
            <w:vAlign w:val="center"/>
          </w:tcPr>
          <w:p>
            <w:pPr>
              <w:spacing w:line="276"/>
              <w:jc w:val="left"/>
            </w:pPr>
            <w:r>
              <w:rPr>
                <w:rFonts w:ascii="Times New Roman" w:cs="Times New Roman" w:eastAsia="Times New Roman" w:hAnsi="Times New Roman"/>
                <w:b/>
                <w:bCs/>
                <w:sz w:val="20"/>
                <w:szCs w:val="20"/>
              </w:rPr>
              <w:t xml:space="preserve">Promedio 36m</w:t>
            </w:r>
          </w:p>
        </w:tc>
        <w:tc>
          <w:tcPr>
            <w:tcW w:type="dxa" w:w="1560"/>
            <w:shd w:fill="D9D9D9" w:val="clear"/>
            <w:tcMar>
              <w:top w:type="dxa" w:w="80"/>
              <w:left w:type="dxa" w:w="100"/>
              <w:bottom w:type="dxa" w:w="80"/>
              <w:right w:type="dxa" w:w="100"/>
            </w:tcMar>
            <w:vAlign w:val="center"/>
          </w:tcPr>
          <w:p>
            <w:pPr>
              <w:spacing w:line="276"/>
              <w:jc w:val="left"/>
            </w:pPr>
            <w:r>
              <w:rPr>
                <w:rFonts w:ascii="Times New Roman" w:cs="Times New Roman" w:eastAsia="Times New Roman" w:hAnsi="Times New Roman"/>
                <w:b/>
                <w:bCs/>
                <w:sz w:val="20"/>
                <w:szCs w:val="20"/>
              </w:rPr>
              <w:t xml:space="preserve">Pico (µg/m³)</w:t>
            </w:r>
          </w:p>
        </w:tc>
        <w:tc>
          <w:tcPr>
            <w:tcW w:type="dxa" w:w="1560"/>
            <w:shd w:fill="D9D9D9" w:val="clear"/>
            <w:tcMar>
              <w:top w:type="dxa" w:w="80"/>
              <w:left w:type="dxa" w:w="100"/>
              <w:bottom w:type="dxa" w:w="80"/>
              <w:right w:type="dxa" w:w="100"/>
            </w:tcMar>
            <w:vAlign w:val="center"/>
          </w:tcPr>
          <w:p>
            <w:pPr>
              <w:spacing w:line="276"/>
              <w:jc w:val="left"/>
            </w:pPr>
            <w:r>
              <w:rPr>
                <w:rFonts w:ascii="Times New Roman" w:cs="Times New Roman" w:eastAsia="Times New Roman" w:hAnsi="Times New Roman"/>
                <w:b/>
                <w:bCs/>
                <w:sz w:val="20"/>
                <w:szCs w:val="20"/>
              </w:rPr>
              <w:t xml:space="preserve">Mes del pico</w:t>
            </w:r>
          </w:p>
        </w:tc>
        <w:tc>
          <w:tcPr>
            <w:tcW w:type="dxa" w:w="1560"/>
            <w:shd w:fill="D9D9D9" w:val="clear"/>
            <w:tcMar>
              <w:top w:type="dxa" w:w="80"/>
              <w:left w:type="dxa" w:w="100"/>
              <w:bottom w:type="dxa" w:w="80"/>
              <w:right w:type="dxa" w:w="100"/>
            </w:tcMar>
            <w:vAlign w:val="center"/>
          </w:tcPr>
          <w:p>
            <w:pPr>
              <w:spacing w:line="276"/>
              <w:jc w:val="left"/>
            </w:pPr>
            <w:r>
              <w:rPr>
                <w:rFonts w:ascii="Times New Roman" w:cs="Times New Roman" w:eastAsia="Times New Roman" w:hAnsi="Times New Roman"/>
                <w:b/>
                <w:bCs/>
                <w:sz w:val="20"/>
                <w:szCs w:val="20"/>
              </w:rPr>
              <w:t xml:space="preserve">Exceso acum. sobre ECA</w:t>
            </w:r>
          </w:p>
        </w:tc>
        <w:tc>
          <w:tcPr>
            <w:tcW w:type="dxa" w:w="1560"/>
            <w:shd w:fill="D9D9D9" w:val="clear"/>
            <w:tcMar>
              <w:top w:type="dxa" w:w="80"/>
              <w:left w:type="dxa" w:w="100"/>
              <w:bottom w:type="dxa" w:w="80"/>
              <w:right w:type="dxa" w:w="100"/>
            </w:tcMar>
            <w:vAlign w:val="center"/>
          </w:tcPr>
          <w:p>
            <w:pPr>
              <w:spacing w:line="276"/>
              <w:jc w:val="left"/>
            </w:pPr>
            <w:r>
              <w:rPr>
                <w:rFonts w:ascii="Times New Roman" w:cs="Times New Roman" w:eastAsia="Times New Roman" w:hAnsi="Times New Roman"/>
                <w:b/>
                <w:bCs/>
                <w:sz w:val="20"/>
                <w:szCs w:val="20"/>
              </w:rPr>
              <w:t xml:space="preserve">vs. Base</w:t>
            </w:r>
          </w:p>
        </w:tc>
      </w:tr>
      <w:tr>
        <w:tc>
          <w:tcPr>
            <w:tcW w:type="dxa" w:w="2160"/>
            <w:tcMar>
              <w:top w:type="dxa" w:w="80"/>
              <w:left w:type="dxa" w:w="100"/>
              <w:bottom w:type="dxa" w:w="80"/>
              <w:right w:type="dxa" w:w="100"/>
            </w:tcMar>
            <w:vAlign w:val="center"/>
          </w:tcPr>
          <w:p>
            <w:pPr>
              <w:spacing w:line="276"/>
              <w:jc w:val="left"/>
            </w:pPr>
            <w:r>
              <w:rPr>
                <w:rFonts w:ascii="Times New Roman" w:cs="Times New Roman" w:eastAsia="Times New Roman" w:hAnsi="Times New Roman"/>
                <w:sz w:val="20"/>
                <w:szCs w:val="20"/>
              </w:rPr>
              <w:t xml:space="preserve">Base</w:t>
            </w:r>
          </w:p>
        </w:tc>
        <w:tc>
          <w:tcPr>
            <w:tcW w:type="dxa" w:w="1560"/>
            <w:tcMar>
              <w:top w:type="dxa" w:w="80"/>
              <w:left w:type="dxa" w:w="100"/>
              <w:bottom w:type="dxa" w:w="80"/>
              <w:right w:type="dxa" w:w="100"/>
            </w:tcMar>
            <w:vAlign w:val="center"/>
          </w:tcPr>
          <w:p>
            <w:pPr>
              <w:spacing w:line="276"/>
              <w:jc w:val="left"/>
            </w:pPr>
            <w:r>
              <w:rPr>
                <w:rFonts w:ascii="Times New Roman" w:cs="Times New Roman" w:eastAsia="Times New Roman" w:hAnsi="Times New Roman"/>
                <w:sz w:val="20"/>
                <w:szCs w:val="20"/>
              </w:rPr>
              <w:t xml:space="preserve">48.8</w:t>
            </w:r>
          </w:p>
        </w:tc>
        <w:tc>
          <w:tcPr>
            <w:tcW w:type="dxa" w:w="1560"/>
            <w:tcMar>
              <w:top w:type="dxa" w:w="80"/>
              <w:left w:type="dxa" w:w="100"/>
              <w:bottom w:type="dxa" w:w="80"/>
              <w:right w:type="dxa" w:w="100"/>
            </w:tcMar>
            <w:vAlign w:val="center"/>
          </w:tcPr>
          <w:p>
            <w:pPr>
              <w:spacing w:line="276"/>
              <w:jc w:val="left"/>
            </w:pPr>
            <w:r>
              <w:rPr>
                <w:rFonts w:ascii="Times New Roman" w:cs="Times New Roman" w:eastAsia="Times New Roman" w:hAnsi="Times New Roman"/>
                <w:sz w:val="20"/>
                <w:szCs w:val="20"/>
              </w:rPr>
              <w:t xml:space="preserve">59.3</w:t>
            </w:r>
          </w:p>
        </w:tc>
        <w:tc>
          <w:tcPr>
            <w:tcW w:type="dxa" w:w="1560"/>
            <w:tcMar>
              <w:top w:type="dxa" w:w="80"/>
              <w:left w:type="dxa" w:w="100"/>
              <w:bottom w:type="dxa" w:w="80"/>
              <w:right w:type="dxa" w:w="100"/>
            </w:tcMar>
            <w:vAlign w:val="center"/>
          </w:tcPr>
          <w:p>
            <w:pPr>
              <w:spacing w:line="276"/>
              <w:jc w:val="left"/>
            </w:pPr>
            <w:r>
              <w:rPr>
                <w:rFonts w:ascii="Times New Roman" w:cs="Times New Roman" w:eastAsia="Times New Roman" w:hAnsi="Times New Roman"/>
                <w:sz w:val="20"/>
                <w:szCs w:val="20"/>
              </w:rPr>
              <w:t xml:space="preserve">jun-2025</w:t>
            </w:r>
          </w:p>
        </w:tc>
        <w:tc>
          <w:tcPr>
            <w:tcW w:type="dxa" w:w="1560"/>
            <w:tcMar>
              <w:top w:type="dxa" w:w="80"/>
              <w:left w:type="dxa" w:w="100"/>
              <w:bottom w:type="dxa" w:w="80"/>
              <w:right w:type="dxa" w:w="100"/>
            </w:tcMar>
            <w:vAlign w:val="center"/>
          </w:tcPr>
          <w:p>
            <w:pPr>
              <w:spacing w:line="276"/>
              <w:jc w:val="left"/>
            </w:pPr>
            <w:r>
              <w:rPr>
                <w:rFonts w:ascii="Times New Roman" w:cs="Times New Roman" w:eastAsia="Times New Roman" w:hAnsi="Times New Roman"/>
                <w:sz w:val="20"/>
                <w:szCs w:val="20"/>
              </w:rPr>
              <w:t xml:space="preserve">857.5</w:t>
            </w:r>
          </w:p>
        </w:tc>
        <w:tc>
          <w:tcPr>
            <w:tcW w:type="dxa" w:w="1560"/>
            <w:tcMar>
              <w:top w:type="dxa" w:w="80"/>
              <w:left w:type="dxa" w:w="100"/>
              <w:bottom w:type="dxa" w:w="80"/>
              <w:right w:type="dxa" w:w="100"/>
            </w:tcMar>
            <w:vAlign w:val="center"/>
          </w:tcPr>
          <w:p>
            <w:pPr>
              <w:spacing w:line="276"/>
              <w:jc w:val="left"/>
            </w:pPr>
            <w:r>
              <w:rPr>
                <w:rFonts w:ascii="Times New Roman" w:cs="Times New Roman" w:eastAsia="Times New Roman" w:hAnsi="Times New Roman"/>
                <w:sz w:val="20"/>
                <w:szCs w:val="20"/>
              </w:rPr>
              <w:t xml:space="preserve">—</w:t>
            </w:r>
          </w:p>
        </w:tc>
      </w:tr>
      <w:tr>
        <w:tc>
          <w:tcPr>
            <w:tcW w:type="dxa" w:w="2160"/>
            <w:tcMar>
              <w:top w:type="dxa" w:w="80"/>
              <w:left w:type="dxa" w:w="100"/>
              <w:bottom w:type="dxa" w:w="80"/>
              <w:right w:type="dxa" w:w="100"/>
            </w:tcMar>
            <w:vAlign w:val="center"/>
          </w:tcPr>
          <w:p>
            <w:pPr>
              <w:spacing w:line="276"/>
              <w:jc w:val="left"/>
            </w:pPr>
            <w:r>
              <w:rPr>
                <w:rFonts w:ascii="Times New Roman" w:cs="Times New Roman" w:eastAsia="Times New Roman" w:hAnsi="Times New Roman"/>
                <w:sz w:val="20"/>
                <w:szCs w:val="20"/>
              </w:rPr>
              <w:t xml:space="preserve">Pesimista</w:t>
            </w:r>
          </w:p>
        </w:tc>
        <w:tc>
          <w:tcPr>
            <w:tcW w:type="dxa" w:w="1560"/>
            <w:tcMar>
              <w:top w:type="dxa" w:w="80"/>
              <w:left w:type="dxa" w:w="100"/>
              <w:bottom w:type="dxa" w:w="80"/>
              <w:right w:type="dxa" w:w="100"/>
            </w:tcMar>
            <w:vAlign w:val="center"/>
          </w:tcPr>
          <w:p>
            <w:pPr>
              <w:spacing w:line="276"/>
              <w:jc w:val="left"/>
            </w:pPr>
            <w:r>
              <w:rPr>
                <w:rFonts w:ascii="Times New Roman" w:cs="Times New Roman" w:eastAsia="Times New Roman" w:hAnsi="Times New Roman"/>
                <w:sz w:val="20"/>
                <w:szCs w:val="20"/>
              </w:rPr>
              <w:t xml:space="preserve">50.8</w:t>
            </w:r>
          </w:p>
        </w:tc>
        <w:tc>
          <w:tcPr>
            <w:tcW w:type="dxa" w:w="1560"/>
            <w:tcMar>
              <w:top w:type="dxa" w:w="80"/>
              <w:left w:type="dxa" w:w="100"/>
              <w:bottom w:type="dxa" w:w="80"/>
              <w:right w:type="dxa" w:w="100"/>
            </w:tcMar>
            <w:vAlign w:val="center"/>
          </w:tcPr>
          <w:p>
            <w:pPr>
              <w:spacing w:line="276"/>
              <w:jc w:val="left"/>
            </w:pPr>
            <w:r>
              <w:rPr>
                <w:rFonts w:ascii="Times New Roman" w:cs="Times New Roman" w:eastAsia="Times New Roman" w:hAnsi="Times New Roman"/>
                <w:sz w:val="20"/>
                <w:szCs w:val="20"/>
              </w:rPr>
              <w:t xml:space="preserve">63.6</w:t>
            </w:r>
          </w:p>
        </w:tc>
        <w:tc>
          <w:tcPr>
            <w:tcW w:type="dxa" w:w="1560"/>
            <w:tcMar>
              <w:top w:type="dxa" w:w="80"/>
              <w:left w:type="dxa" w:w="100"/>
              <w:bottom w:type="dxa" w:w="80"/>
              <w:right w:type="dxa" w:w="100"/>
            </w:tcMar>
            <w:vAlign w:val="center"/>
          </w:tcPr>
          <w:p>
            <w:pPr>
              <w:spacing w:line="276"/>
              <w:jc w:val="left"/>
            </w:pPr>
            <w:r>
              <w:rPr>
                <w:rFonts w:ascii="Times New Roman" w:cs="Times New Roman" w:eastAsia="Times New Roman" w:hAnsi="Times New Roman"/>
                <w:sz w:val="20"/>
                <w:szCs w:val="20"/>
              </w:rPr>
              <w:t xml:space="preserve">dic-2025</w:t>
            </w:r>
          </w:p>
        </w:tc>
        <w:tc>
          <w:tcPr>
            <w:tcW w:type="dxa" w:w="1560"/>
            <w:tcMar>
              <w:top w:type="dxa" w:w="80"/>
              <w:left w:type="dxa" w:w="100"/>
              <w:bottom w:type="dxa" w:w="80"/>
              <w:right w:type="dxa" w:w="100"/>
            </w:tcMar>
            <w:vAlign w:val="center"/>
          </w:tcPr>
          <w:p>
            <w:pPr>
              <w:spacing w:line="276"/>
              <w:jc w:val="left"/>
            </w:pPr>
            <w:r>
              <w:rPr>
                <w:rFonts w:ascii="Times New Roman" w:cs="Times New Roman" w:eastAsia="Times New Roman" w:hAnsi="Times New Roman"/>
                <w:sz w:val="20"/>
                <w:szCs w:val="20"/>
              </w:rPr>
              <w:t xml:space="preserve">928.3</w:t>
            </w:r>
          </w:p>
        </w:tc>
        <w:tc>
          <w:tcPr>
            <w:tcW w:type="dxa" w:w="1560"/>
            <w:tcMar>
              <w:top w:type="dxa" w:w="80"/>
              <w:left w:type="dxa" w:w="100"/>
              <w:bottom w:type="dxa" w:w="80"/>
              <w:right w:type="dxa" w:w="100"/>
            </w:tcMar>
            <w:vAlign w:val="center"/>
          </w:tcPr>
          <w:p>
            <w:pPr>
              <w:spacing w:line="276"/>
              <w:jc w:val="left"/>
            </w:pPr>
            <w:r>
              <w:rPr>
                <w:rFonts w:ascii="Times New Roman" w:cs="Times New Roman" w:eastAsia="Times New Roman" w:hAnsi="Times New Roman"/>
                <w:sz w:val="20"/>
                <w:szCs w:val="20"/>
              </w:rPr>
              <w:t xml:space="preserve">+8.3%</w:t>
            </w:r>
          </w:p>
        </w:tc>
      </w:tr>
      <w:tr>
        <w:tc>
          <w:tcPr>
            <w:tcW w:type="dxa" w:w="2160"/>
            <w:tcMar>
              <w:top w:type="dxa" w:w="80"/>
              <w:left w:type="dxa" w:w="100"/>
              <w:bottom w:type="dxa" w:w="80"/>
              <w:right w:type="dxa" w:w="100"/>
            </w:tcMar>
            <w:vAlign w:val="center"/>
          </w:tcPr>
          <w:p>
            <w:pPr>
              <w:spacing w:line="276"/>
              <w:jc w:val="left"/>
            </w:pPr>
            <w:r>
              <w:rPr>
                <w:rFonts w:ascii="Times New Roman" w:cs="Times New Roman" w:eastAsia="Times New Roman" w:hAnsi="Times New Roman"/>
                <w:sz w:val="20"/>
                <w:szCs w:val="20"/>
              </w:rPr>
              <w:t xml:space="preserve">Optimista</w:t>
            </w:r>
          </w:p>
        </w:tc>
        <w:tc>
          <w:tcPr>
            <w:tcW w:type="dxa" w:w="1560"/>
            <w:tcMar>
              <w:top w:type="dxa" w:w="80"/>
              <w:left w:type="dxa" w:w="100"/>
              <w:bottom w:type="dxa" w:w="80"/>
              <w:right w:type="dxa" w:w="100"/>
            </w:tcMar>
            <w:vAlign w:val="center"/>
          </w:tcPr>
          <w:p>
            <w:pPr>
              <w:spacing w:line="276"/>
              <w:jc w:val="left"/>
            </w:pPr>
            <w:r>
              <w:rPr>
                <w:rFonts w:ascii="Times New Roman" w:cs="Times New Roman" w:eastAsia="Times New Roman" w:hAnsi="Times New Roman"/>
                <w:sz w:val="20"/>
                <w:szCs w:val="20"/>
              </w:rPr>
              <w:t xml:space="preserve">42.5</w:t>
            </w:r>
          </w:p>
        </w:tc>
        <w:tc>
          <w:tcPr>
            <w:tcW w:type="dxa" w:w="1560"/>
            <w:tcMar>
              <w:top w:type="dxa" w:w="80"/>
              <w:left w:type="dxa" w:w="100"/>
              <w:bottom w:type="dxa" w:w="80"/>
              <w:right w:type="dxa" w:w="100"/>
            </w:tcMar>
            <w:vAlign w:val="center"/>
          </w:tcPr>
          <w:p>
            <w:pPr>
              <w:spacing w:line="276"/>
              <w:jc w:val="left"/>
            </w:pPr>
            <w:r>
              <w:rPr>
                <w:rFonts w:ascii="Times New Roman" w:cs="Times New Roman" w:eastAsia="Times New Roman" w:hAnsi="Times New Roman"/>
                <w:sz w:val="20"/>
                <w:szCs w:val="20"/>
              </w:rPr>
              <w:t xml:space="preserve">47.0</w:t>
            </w:r>
          </w:p>
        </w:tc>
        <w:tc>
          <w:tcPr>
            <w:tcW w:type="dxa" w:w="1560"/>
            <w:tcMar>
              <w:top w:type="dxa" w:w="80"/>
              <w:left w:type="dxa" w:w="100"/>
              <w:bottom w:type="dxa" w:w="80"/>
              <w:right w:type="dxa" w:w="100"/>
            </w:tcMar>
            <w:vAlign w:val="center"/>
          </w:tcPr>
          <w:p>
            <w:pPr>
              <w:spacing w:line="276"/>
              <w:jc w:val="left"/>
            </w:pPr>
            <w:r>
              <w:rPr>
                <w:rFonts w:ascii="Times New Roman" w:cs="Times New Roman" w:eastAsia="Times New Roman" w:hAnsi="Times New Roman"/>
                <w:sz w:val="20"/>
                <w:szCs w:val="20"/>
              </w:rPr>
              <w:t xml:space="preserve">jun-2024</w:t>
            </w:r>
          </w:p>
        </w:tc>
        <w:tc>
          <w:tcPr>
            <w:tcW w:type="dxa" w:w="1560"/>
            <w:tcMar>
              <w:top w:type="dxa" w:w="80"/>
              <w:left w:type="dxa" w:w="100"/>
              <w:bottom w:type="dxa" w:w="80"/>
              <w:right w:type="dxa" w:w="100"/>
            </w:tcMar>
            <w:vAlign w:val="center"/>
          </w:tcPr>
          <w:p>
            <w:pPr>
              <w:spacing w:line="276"/>
              <w:jc w:val="left"/>
            </w:pPr>
            <w:r>
              <w:rPr>
                <w:rFonts w:ascii="Times New Roman" w:cs="Times New Roman" w:eastAsia="Times New Roman" w:hAnsi="Times New Roman"/>
                <w:sz w:val="20"/>
                <w:szCs w:val="20"/>
              </w:rPr>
              <w:t xml:space="preserve">629.2</w:t>
            </w:r>
          </w:p>
        </w:tc>
        <w:tc>
          <w:tcPr>
            <w:tcW w:type="dxa" w:w="1560"/>
            <w:tcMar>
              <w:top w:type="dxa" w:w="80"/>
              <w:left w:type="dxa" w:w="100"/>
              <w:bottom w:type="dxa" w:w="80"/>
              <w:right w:type="dxa" w:w="100"/>
            </w:tcMar>
            <w:vAlign w:val="center"/>
          </w:tcPr>
          <w:p>
            <w:pPr>
              <w:spacing w:line="276"/>
              <w:jc w:val="left"/>
            </w:pPr>
            <w:r>
              <w:rPr>
                <w:rFonts w:ascii="Times New Roman" w:cs="Times New Roman" w:eastAsia="Times New Roman" w:hAnsi="Times New Roman"/>
                <w:sz w:val="20"/>
                <w:szCs w:val="20"/>
              </w:rPr>
              <w:t xml:space="preserve">−26.6%</w:t>
            </w:r>
          </w:p>
        </w:tc>
      </w:tr>
      <w:tr>
        <w:tc>
          <w:tcPr>
            <w:tcW w:type="dxa" w:w="2160"/>
            <w:tcMar>
              <w:top w:type="dxa" w:w="80"/>
              <w:left w:type="dxa" w:w="100"/>
              <w:bottom w:type="dxa" w:w="80"/>
              <w:right w:type="dxa" w:w="100"/>
            </w:tcMar>
            <w:vAlign w:val="center"/>
          </w:tcPr>
          <w:p>
            <w:pPr>
              <w:spacing w:line="276"/>
              <w:jc w:val="left"/>
            </w:pPr>
            <w:r>
              <w:rPr>
                <w:rFonts w:ascii="Times New Roman" w:cs="Times New Roman" w:eastAsia="Times New Roman" w:hAnsi="Times New Roman"/>
                <w:sz w:val="20"/>
                <w:szCs w:val="20"/>
              </w:rPr>
              <w:t xml:space="preserve">Con intervención</w:t>
            </w:r>
          </w:p>
        </w:tc>
        <w:tc>
          <w:tcPr>
            <w:tcW w:type="dxa" w:w="1560"/>
            <w:tcMar>
              <w:top w:type="dxa" w:w="80"/>
              <w:left w:type="dxa" w:w="100"/>
              <w:bottom w:type="dxa" w:w="80"/>
              <w:right w:type="dxa" w:w="100"/>
            </w:tcMar>
            <w:vAlign w:val="center"/>
          </w:tcPr>
          <w:p>
            <w:pPr>
              <w:spacing w:line="276"/>
              <w:jc w:val="left"/>
            </w:pPr>
            <w:r>
              <w:rPr>
                <w:rFonts w:ascii="Times New Roman" w:cs="Times New Roman" w:eastAsia="Times New Roman" w:hAnsi="Times New Roman"/>
                <w:sz w:val="20"/>
                <w:szCs w:val="20"/>
              </w:rPr>
              <w:t xml:space="preserve">45.3</w:t>
            </w:r>
          </w:p>
        </w:tc>
        <w:tc>
          <w:tcPr>
            <w:tcW w:type="dxa" w:w="1560"/>
            <w:tcMar>
              <w:top w:type="dxa" w:w="80"/>
              <w:left w:type="dxa" w:w="100"/>
              <w:bottom w:type="dxa" w:w="80"/>
              <w:right w:type="dxa" w:w="100"/>
            </w:tcMar>
            <w:vAlign w:val="center"/>
          </w:tcPr>
          <w:p>
            <w:pPr>
              <w:spacing w:line="276"/>
              <w:jc w:val="left"/>
            </w:pPr>
            <w:r>
              <w:rPr>
                <w:rFonts w:ascii="Times New Roman" w:cs="Times New Roman" w:eastAsia="Times New Roman" w:hAnsi="Times New Roman"/>
                <w:sz w:val="20"/>
                <w:szCs w:val="20"/>
              </w:rPr>
              <w:t xml:space="preserve">51.2</w:t>
            </w:r>
          </w:p>
        </w:tc>
        <w:tc>
          <w:tcPr>
            <w:tcW w:type="dxa" w:w="1560"/>
            <w:tcMar>
              <w:top w:type="dxa" w:w="80"/>
              <w:left w:type="dxa" w:w="100"/>
              <w:bottom w:type="dxa" w:w="80"/>
              <w:right w:type="dxa" w:w="100"/>
            </w:tcMar>
            <w:vAlign w:val="center"/>
          </w:tcPr>
          <w:p>
            <w:pPr>
              <w:spacing w:line="276"/>
              <w:jc w:val="left"/>
            </w:pPr>
            <w:r>
              <w:rPr>
                <w:rFonts w:ascii="Times New Roman" w:cs="Times New Roman" w:eastAsia="Times New Roman" w:hAnsi="Times New Roman"/>
                <w:sz w:val="20"/>
                <w:szCs w:val="20"/>
              </w:rPr>
              <w:t xml:space="preserve">jun-2025</w:t>
            </w:r>
          </w:p>
        </w:tc>
        <w:tc>
          <w:tcPr>
            <w:tcW w:type="dxa" w:w="1560"/>
            <w:tcMar>
              <w:top w:type="dxa" w:w="80"/>
              <w:left w:type="dxa" w:w="100"/>
              <w:bottom w:type="dxa" w:w="80"/>
              <w:right w:type="dxa" w:w="100"/>
            </w:tcMar>
            <w:vAlign w:val="center"/>
          </w:tcPr>
          <w:p>
            <w:pPr>
              <w:spacing w:line="276"/>
              <w:jc w:val="left"/>
            </w:pPr>
            <w:r>
              <w:rPr>
                <w:rFonts w:ascii="Times New Roman" w:cs="Times New Roman" w:eastAsia="Times New Roman" w:hAnsi="Times New Roman"/>
                <w:sz w:val="20"/>
                <w:szCs w:val="20"/>
              </w:rPr>
              <w:t xml:space="preserve">729.9</w:t>
            </w:r>
          </w:p>
        </w:tc>
        <w:tc>
          <w:tcPr>
            <w:tcW w:type="dxa" w:w="1560"/>
            <w:tcMar>
              <w:top w:type="dxa" w:w="80"/>
              <w:left w:type="dxa" w:w="100"/>
              <w:bottom w:type="dxa" w:w="80"/>
              <w:right w:type="dxa" w:w="100"/>
            </w:tcMar>
            <w:vAlign w:val="center"/>
          </w:tcPr>
          <w:p>
            <w:pPr>
              <w:spacing w:line="276"/>
              <w:jc w:val="left"/>
            </w:pPr>
            <w:r>
              <w:rPr>
                <w:rFonts w:ascii="Times New Roman" w:cs="Times New Roman" w:eastAsia="Times New Roman" w:hAnsi="Times New Roman"/>
                <w:sz w:val="20"/>
                <w:szCs w:val="20"/>
              </w:rPr>
              <w:t xml:space="preserve">−14.9%</w:t>
            </w:r>
          </w:p>
        </w:tc>
      </w:tr>
    </w:tbl>
    <w:p>
      <w:pPr>
        <w:pStyle w:val="Heading1"/>
        <w:spacing w:after="200" w:before="400" w:line="480"/>
        <w:jc w:val="center"/>
      </w:pPr>
      <w:r>
        <w:rPr>
          <w:rFonts w:ascii="Times New Roman" w:cs="Times New Roman" w:eastAsia="Times New Roman" w:hAnsi="Times New Roman"/>
          <w:b/>
          <w:bCs/>
          <w:color w:val="000000"/>
          <w:sz w:val="24"/>
          <w:szCs w:val="24"/>
        </w:rPr>
        <w:t xml:space="preserve">Política de intervención</w:t>
      </w:r>
    </w:p>
    <w:p>
      <w:pPr>
        <w:pStyle w:val="Heading2"/>
        <w:spacing w:after="150" w:before="300" w:line="480"/>
        <w:jc w:val="left"/>
      </w:pPr>
      <w:r>
        <w:rPr>
          <w:rFonts w:ascii="Times New Roman" w:cs="Times New Roman" w:eastAsia="Times New Roman" w:hAnsi="Times New Roman"/>
          <w:b/>
          <w:bCs/>
          <w:color w:val="000000"/>
          <w:sz w:val="24"/>
          <w:szCs w:val="24"/>
        </w:rPr>
        <w:t xml:space="preserve">Punto de apalancamiento</w:t>
      </w:r>
    </w:p>
    <w:p>
      <w:pPr>
        <w:spacing w:after="200" w:before="0" w:line="480"/>
        <w:jc w:val="both"/>
      </w:pPr>
      <w:r>
        <w:rPr>
          <w:rFonts w:ascii="Times New Roman" w:cs="Times New Roman" w:eastAsia="Times New Roman" w:hAnsi="Times New Roman"/>
          <w:sz w:val="24"/>
          <w:szCs w:val="24"/>
        </w:rPr>
        <w:t xml:space="preserve">El punto de apalancamiento principal es la densidad vehicular / tasa de emisión vehicular: el análisis de sensibilidad (Sección 19) mostró que esta es la variable a la que el sistema responde con mayor fuerza, y es además la más accesible a la intervención regulatoria municipal y metropolitana.</w:t>
      </w:r>
    </w:p>
    <w:p>
      <w:pPr>
        <w:pStyle w:val="Heading2"/>
        <w:spacing w:after="150" w:before="300" w:line="480"/>
        <w:jc w:val="left"/>
      </w:pPr>
      <w:r>
        <w:rPr>
          <w:rFonts w:ascii="Times New Roman" w:cs="Times New Roman" w:eastAsia="Times New Roman" w:hAnsi="Times New Roman"/>
          <w:b/>
          <w:bCs/>
          <w:color w:val="000000"/>
          <w:sz w:val="24"/>
          <w:szCs w:val="24"/>
        </w:rPr>
        <w:t xml:space="preserve">Acción propuesta</w:t>
      </w:r>
    </w:p>
    <w:p>
      <w:pPr>
        <w:pStyle w:val="ListParagraph"/>
        <w:numPr>
          <w:ilvl w:val="0"/>
          <w:numId w:val="1"/>
        </w:numPr>
        <w:spacing w:after="100" w:line="480"/>
        <w:ind w:left="360"/>
      </w:pPr>
      <w:r>
        <w:rPr>
          <w:rFonts w:ascii="Times New Roman" w:cs="Times New Roman" w:eastAsia="Times New Roman" w:hAnsi="Times New Roman"/>
          <w:sz w:val="24"/>
          <w:szCs w:val="24"/>
        </w:rPr>
        <w:t xml:space="preserve">Restricción vehicular por placa (tipo "pico y placa") en las vías principales de San Juan de Lurigancho, en horas de mayor congestión.</w:t>
      </w:r>
    </w:p>
    <w:p>
      <w:pPr>
        <w:pStyle w:val="ListParagraph"/>
        <w:numPr>
          <w:ilvl w:val="0"/>
          <w:numId w:val="1"/>
        </w:numPr>
        <w:spacing w:after="100" w:line="480"/>
        <w:ind w:left="360"/>
      </w:pPr>
      <w:r>
        <w:rPr>
          <w:rFonts w:ascii="Times New Roman" w:cs="Times New Roman" w:eastAsia="Times New Roman" w:hAnsi="Times New Roman"/>
          <w:sz w:val="24"/>
          <w:szCs w:val="24"/>
        </w:rPr>
        <w:t xml:space="preserve">Programa de renovación de flota: incentivos tributarios y facilidades de financiamiento para el recambio de vehículos antiguos hacia tecnologías más limpias.</w:t>
      </w:r>
    </w:p>
    <w:p>
      <w:pPr>
        <w:pStyle w:val="ListParagraph"/>
        <w:numPr>
          <w:ilvl w:val="0"/>
          <w:numId w:val="1"/>
        </w:numPr>
        <w:spacing w:after="100" w:line="480"/>
        <w:ind w:left="360"/>
      </w:pPr>
      <w:r>
        <w:rPr>
          <w:rFonts w:ascii="Times New Roman" w:cs="Times New Roman" w:eastAsia="Times New Roman" w:hAnsi="Times New Roman"/>
          <w:sz w:val="24"/>
          <w:szCs w:val="24"/>
        </w:rPr>
        <w:t xml:space="preserve">Fiscalización de emisiones vehiculares (revisiones técnicas obligatorias más estrictas para el parque antiguo).</w:t>
      </w:r>
    </w:p>
    <w:p>
      <w:pPr>
        <w:pStyle w:val="Heading2"/>
        <w:spacing w:after="150" w:before="300" w:line="480"/>
        <w:jc w:val="left"/>
      </w:pPr>
      <w:r>
        <w:rPr>
          <w:rFonts w:ascii="Times New Roman" w:cs="Times New Roman" w:eastAsia="Times New Roman" w:hAnsi="Times New Roman"/>
          <w:b/>
          <w:bCs/>
          <w:color w:val="000000"/>
          <w:sz w:val="24"/>
          <w:szCs w:val="24"/>
        </w:rPr>
        <w:t xml:space="preserve">Justificación</w:t>
      </w:r>
    </w:p>
    <w:p>
      <w:pPr>
        <w:spacing w:after="200" w:before="0" w:line="480"/>
        <w:jc w:val="both"/>
      </w:pPr>
      <w:r>
        <w:rPr>
          <w:rFonts w:ascii="Times New Roman" w:cs="Times New Roman" w:eastAsia="Times New Roman" w:hAnsi="Times New Roman"/>
          <w:sz w:val="24"/>
          <w:szCs w:val="24"/>
        </w:rPr>
        <w:t xml:space="preserve">La acción se sustenta directamente en el bucle de refuerzo R1 (Parte 1) y en el análisis de sensibilidad (Sección 19): intervenir sobre la densidad vehicular y la tasa de emisión vehicular es la palanca más efectiva y, a la vez, la más viable de implementar mediante ordenanza municipal.</w:t>
      </w:r>
    </w:p>
    <w:p>
      <w:pPr>
        <w:pStyle w:val="Heading2"/>
        <w:spacing w:after="150" w:before="300" w:line="480"/>
        <w:jc w:val="left"/>
      </w:pPr>
      <w:r>
        <w:rPr>
          <w:rFonts w:ascii="Times New Roman" w:cs="Times New Roman" w:eastAsia="Times New Roman" w:hAnsi="Times New Roman"/>
          <w:b/>
          <w:bCs/>
          <w:color w:val="000000"/>
          <w:sz w:val="24"/>
          <w:szCs w:val="24"/>
        </w:rPr>
        <w:t xml:space="preserve">Efecto esperado</w:t>
      </w:r>
    </w:p>
    <w:p>
      <w:pPr>
        <w:spacing w:after="200" w:before="0" w:line="480"/>
        <w:jc w:val="both"/>
      </w:pPr>
      <w:r>
        <w:rPr>
          <w:rFonts w:ascii="Times New Roman" w:cs="Times New Roman" w:eastAsia="Times New Roman" w:hAnsi="Times New Roman"/>
          <w:sz w:val="24"/>
          <w:szCs w:val="24"/>
        </w:rPr>
        <w:t xml:space="preserve">Según la simulación (Sección 20), el escenario con intervención reduce el exceso acumulado sobre el ECA en aproximadamente 15% frente al escenario base en un horizonte de 3 años, y mantiene el pico proyectado (51.2 µg/m³) por debajo del escenario base (59.3 µg/m³) y muy por debajo del pesimista (63.6 µg/m³).</w:t>
      </w:r>
    </w:p>
    <w:p>
      <w:pPr>
        <w:pStyle w:val="Heading2"/>
        <w:spacing w:after="150" w:before="300" w:line="480"/>
        <w:jc w:val="left"/>
      </w:pPr>
      <w:r>
        <w:rPr>
          <w:rFonts w:ascii="Times New Roman" w:cs="Times New Roman" w:eastAsia="Times New Roman" w:hAnsi="Times New Roman"/>
          <w:b/>
          <w:bCs/>
          <w:color w:val="000000"/>
          <w:sz w:val="24"/>
          <w:szCs w:val="24"/>
        </w:rPr>
        <w:t xml:space="preserve">Riesgo</w:t>
      </w:r>
    </w:p>
    <w:p>
      <w:pPr>
        <w:pStyle w:val="ListParagraph"/>
        <w:numPr>
          <w:ilvl w:val="0"/>
          <w:numId w:val="1"/>
        </w:numPr>
        <w:spacing w:after="100" w:line="480"/>
        <w:ind w:left="360"/>
      </w:pPr>
      <w:r>
        <w:rPr>
          <w:rFonts w:ascii="Times New Roman" w:cs="Times New Roman" w:eastAsia="Times New Roman" w:hAnsi="Times New Roman"/>
          <w:sz w:val="24"/>
          <w:szCs w:val="24"/>
        </w:rPr>
        <w:t xml:space="preserve">Efecto rebote: los conductores afectados compran un segundo vehículo.</w:t>
      </w:r>
    </w:p>
    <w:p>
      <w:pPr>
        <w:pStyle w:val="ListParagraph"/>
        <w:numPr>
          <w:ilvl w:val="0"/>
          <w:numId w:val="1"/>
        </w:numPr>
        <w:spacing w:after="100" w:line="480"/>
        <w:ind w:left="360"/>
      </w:pPr>
      <w:r>
        <w:rPr>
          <w:rFonts w:ascii="Times New Roman" w:cs="Times New Roman" w:eastAsia="Times New Roman" w:hAnsi="Times New Roman"/>
          <w:sz w:val="24"/>
          <w:szCs w:val="24"/>
        </w:rPr>
        <w:t xml:space="preserve">Desplazamiento del problema: el parque antiguo restringido se desplaza a distritos vecinos sin la misma fiscalización.</w:t>
      </w:r>
    </w:p>
    <w:p>
      <w:pPr>
        <w:pStyle w:val="ListParagraph"/>
        <w:numPr>
          <w:ilvl w:val="0"/>
          <w:numId w:val="1"/>
        </w:numPr>
        <w:spacing w:after="100" w:line="480"/>
        <w:ind w:left="360"/>
      </w:pPr>
      <w:r>
        <w:rPr>
          <w:rFonts w:ascii="Times New Roman" w:cs="Times New Roman" w:eastAsia="Times New Roman" w:hAnsi="Times New Roman"/>
          <w:sz w:val="24"/>
          <w:szCs w:val="24"/>
        </w:rPr>
        <w:t xml:space="preserve">Resistencia social y económica de transportistas y comerciantes.</w:t>
      </w:r>
    </w:p>
    <w:p>
      <w:pPr>
        <w:pStyle w:val="ListParagraph"/>
        <w:numPr>
          <w:ilvl w:val="0"/>
          <w:numId w:val="1"/>
        </w:numPr>
        <w:spacing w:after="100" w:line="480"/>
        <w:ind w:left="360"/>
      </w:pPr>
      <w:r>
        <w:rPr>
          <w:rFonts w:ascii="Times New Roman" w:cs="Times New Roman" w:eastAsia="Times New Roman" w:hAnsi="Times New Roman"/>
          <w:sz w:val="24"/>
          <w:szCs w:val="24"/>
        </w:rPr>
        <w:t xml:space="preserve">Financiamiento insuficiente o lento para sostener el programa de renovación de flota.</w:t>
      </w:r>
    </w:p>
    <w:p>
      <w:pPr>
        <w:pStyle w:val="Heading2"/>
        <w:spacing w:after="150" w:before="300" w:line="480"/>
        <w:jc w:val="left"/>
      </w:pPr>
      <w:r>
        <w:rPr>
          <w:rFonts w:ascii="Times New Roman" w:cs="Times New Roman" w:eastAsia="Times New Roman" w:hAnsi="Times New Roman"/>
          <w:b/>
          <w:bCs/>
          <w:color w:val="000000"/>
          <w:sz w:val="24"/>
          <w:szCs w:val="24"/>
        </w:rPr>
        <w:t xml:space="preserve">Tiempo estimado de impacto</w:t>
      </w:r>
    </w:p>
    <w:p>
      <w:pPr>
        <w:spacing w:after="200" w:before="0" w:line="480"/>
        <w:jc w:val="both"/>
      </w:pPr>
      <w:r>
        <w:rPr>
          <w:rFonts w:ascii="Times New Roman" w:cs="Times New Roman" w:eastAsia="Times New Roman" w:hAnsi="Times New Roman"/>
          <w:sz w:val="24"/>
          <w:szCs w:val="24"/>
        </w:rPr>
        <w:t xml:space="preserve">El modelo asume un retardo regulatorio de 6 meses antes de que la política empiece a surtir efecto, seguido de una rampa de 18 meses hasta que la renovación de flota alcance su efecto pleno. En total, se estima un plazo de aproximadamente 24 meses para el impacto máximo, consistente con el retardo del bucle B1.</w:t>
      </w:r>
    </w:p>
    <w:p>
      <w:pPr>
        <w:spacing w:after="100" w:before="200"/>
        <w:jc w:val="center"/>
      </w:pPr>
      <w:r>
        <w:drawing>
          <wp:inline distT="0" distB="0" distL="0" distR="0">
            <wp:extent cx="4762500" cy="2276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762500" cy="2276475"/>
                    </a:xfrm>
                    <a:prstGeom prst="rect">
                      <a:avLst/>
                    </a:prstGeom>
                  </pic:spPr>
                </pic:pic>
              </a:graphicData>
            </a:graphic>
          </wp:inline>
        </w:drawing>
      </w:r>
    </w:p>
    <w:p>
      <w:pPr>
        <w:spacing w:after="300"/>
        <w:jc w:val="center"/>
      </w:pPr>
      <w:r>
        <w:rPr>
          <w:rFonts w:ascii="Times New Roman" w:cs="Times New Roman" w:eastAsia="Times New Roman" w:hAnsi="Times New Roman"/>
          <w:i/>
          <w:iCs/>
          <w:sz w:val="20"/>
          <w:szCs w:val="20"/>
        </w:rPr>
        <w:t xml:space="preserve">Figura 12. Efecto de la política de intervención propuesta frente al escenario base, mostrando el retardo regulatorio de 6 meses.</w:t>
      </w:r>
    </w:p>
    <w:p>
      <w:pPr>
        <w:pStyle w:val="Heading2"/>
        <w:spacing w:after="150" w:before="300" w:line="480"/>
        <w:jc w:val="left"/>
      </w:pPr>
      <w:r>
        <w:rPr>
          <w:rFonts w:ascii="Times New Roman" w:cs="Times New Roman" w:eastAsia="Times New Roman" w:hAnsi="Times New Roman"/>
          <w:b/>
          <w:bCs/>
          <w:color w:val="000000"/>
          <w:sz w:val="24"/>
          <w:szCs w:val="24"/>
        </w:rPr>
        <w:t xml:space="preserve">Indicador de seguimiento</w:t>
      </w:r>
    </w:p>
    <w:p>
      <w:pPr>
        <w:spacing w:after="200" w:before="0" w:line="480"/>
        <w:jc w:val="both"/>
      </w:pPr>
      <w:r>
        <w:rPr>
          <w:rFonts w:ascii="Times New Roman" w:cs="Times New Roman" w:eastAsia="Times New Roman" w:hAnsi="Times New Roman"/>
          <w:sz w:val="24"/>
          <w:szCs w:val="24"/>
        </w:rPr>
        <w:t xml:space="preserve">Se propone seguimiento trimestral a dos indicadores: (1) el número de meses del trimestre en que la concentración mensual supera el ECA-aire (25 µg/m³), y (2) el exceso acumulado sobre el ECA (µg/m³·mes).</w:t>
      </w:r>
    </w:p>
    <w:p>
      <w:pPr>
        <w:pStyle w:val="Heading1"/>
        <w:spacing w:after="200" w:before="400" w:line="480"/>
        <w:jc w:val="center"/>
      </w:pPr>
      <w:r>
        <w:rPr>
          <w:rFonts w:ascii="Times New Roman" w:cs="Times New Roman" w:eastAsia="Times New Roman" w:hAnsi="Times New Roman"/>
          <w:b/>
          <w:bCs/>
          <w:color w:val="000000"/>
          <w:sz w:val="24"/>
          <w:szCs w:val="24"/>
        </w:rPr>
        <w:t xml:space="preserve">Propuesta de IA, gemelo digital o modelo híbrido</w:t>
      </w:r>
    </w:p>
    <w:p>
      <w:pPr>
        <w:spacing w:after="200" w:before="0" w:line="480"/>
        <w:jc w:val="both"/>
      </w:pPr>
      <w:r>
        <w:rPr>
          <w:rFonts w:ascii="Times New Roman" w:cs="Times New Roman" w:eastAsia="Times New Roman" w:hAnsi="Times New Roman"/>
          <w:sz w:val="24"/>
          <w:szCs w:val="24"/>
        </w:rPr>
        <w:t xml:space="preserve">Se propone, a nivel conceptual, un gemelo digital de la calidad del aire de San Juan de Lurigancho que conecte el modelo stock-flujo desarrollado con los reportes horarios que SENAMHI actualiza periódicamente en la Plataforma Nacional de Datos Abiertos, en lugar de dejar el modelo como una simulación estática calibrada una sola vez.</w:t>
      </w:r>
    </w:p>
    <w:p>
      <w:pPr>
        <w:pStyle w:val="Heading2"/>
        <w:spacing w:after="150" w:before="300" w:line="480"/>
        <w:jc w:val="left"/>
      </w:pPr>
      <w:r>
        <w:rPr>
          <w:rFonts w:ascii="Times New Roman" w:cs="Times New Roman" w:eastAsia="Times New Roman" w:hAnsi="Times New Roman"/>
          <w:b/>
          <w:bCs/>
          <w:color w:val="000000"/>
          <w:sz w:val="24"/>
          <w:szCs w:val="24"/>
        </w:rPr>
        <w:t xml:space="preserve">Componentes conceptuales</w:t>
      </w:r>
    </w:p>
    <w:p>
      <w:pPr>
        <w:pStyle w:val="ListParagraph"/>
        <w:numPr>
          <w:ilvl w:val="0"/>
          <w:numId w:val="1"/>
        </w:numPr>
        <w:spacing w:after="100" w:line="480"/>
        <w:ind w:left="360"/>
      </w:pPr>
      <w:r>
        <w:rPr>
          <w:rFonts w:ascii="Times New Roman" w:cs="Times New Roman" w:eastAsia="Times New Roman" w:hAnsi="Times New Roman"/>
          <w:sz w:val="24"/>
          <w:szCs w:val="24"/>
        </w:rPr>
        <w:t xml:space="preserve">Ingesta automática: un proceso mensual que descarga y agrega los nuevos registros horarios de SENAMHI para la estación SJL.</w:t>
      </w:r>
    </w:p>
    <w:p>
      <w:pPr>
        <w:pStyle w:val="ListParagraph"/>
        <w:numPr>
          <w:ilvl w:val="0"/>
          <w:numId w:val="1"/>
        </w:numPr>
        <w:spacing w:after="100" w:line="480"/>
        <w:ind w:left="360"/>
      </w:pPr>
      <w:r>
        <w:rPr>
          <w:rFonts w:ascii="Times New Roman" w:cs="Times New Roman" w:eastAsia="Times New Roman" w:hAnsi="Times New Roman"/>
          <w:sz w:val="24"/>
          <w:szCs w:val="24"/>
        </w:rPr>
        <w:t xml:space="preserve">Recalibración periódica: el modelo se reajusta con cada nuevo mes de datos reales.</w:t>
      </w:r>
    </w:p>
    <w:p>
      <w:pPr>
        <w:pStyle w:val="ListParagraph"/>
        <w:numPr>
          <w:ilvl w:val="0"/>
          <w:numId w:val="1"/>
        </w:numPr>
        <w:spacing w:after="100" w:line="480"/>
        <w:ind w:left="360"/>
      </w:pPr>
      <w:r>
        <w:rPr>
          <w:rFonts w:ascii="Times New Roman" w:cs="Times New Roman" w:eastAsia="Times New Roman" w:hAnsi="Times New Roman"/>
          <w:sz w:val="24"/>
          <w:szCs w:val="24"/>
        </w:rPr>
        <w:t xml:space="preserve">Panel de alerta temprana: comparación automática entre el valor mensual observado y el rango proyectado por el escenario base.</w:t>
      </w:r>
    </w:p>
    <w:p>
      <w:pPr>
        <w:pStyle w:val="ListParagraph"/>
        <w:numPr>
          <w:ilvl w:val="0"/>
          <w:numId w:val="1"/>
        </w:numPr>
        <w:spacing w:after="100" w:line="480"/>
        <w:ind w:left="360"/>
      </w:pPr>
      <w:r>
        <w:rPr>
          <w:rFonts w:ascii="Times New Roman" w:cs="Times New Roman" w:eastAsia="Times New Roman" w:hAnsi="Times New Roman"/>
          <w:sz w:val="24"/>
          <w:szCs w:val="24"/>
        </w:rPr>
        <w:t xml:space="preserve">Actualización de escenarios: los escenarios se re-ejecutan automáticamente con los parámetros recalibrados.</w:t>
      </w:r>
    </w:p>
    <w:p>
      <w:pPr>
        <w:pStyle w:val="Heading2"/>
        <w:spacing w:after="150" w:before="300" w:line="480"/>
        <w:jc w:val="left"/>
      </w:pPr>
      <w:r>
        <w:rPr>
          <w:rFonts w:ascii="Times New Roman" w:cs="Times New Roman" w:eastAsia="Times New Roman" w:hAnsi="Times New Roman"/>
          <w:b/>
          <w:bCs/>
          <w:color w:val="000000"/>
          <w:sz w:val="24"/>
          <w:szCs w:val="24"/>
        </w:rPr>
        <w:t xml:space="preserve">Aporte de la inteligencia artificial</w:t>
      </w:r>
    </w:p>
    <w:p>
      <w:pPr>
        <w:spacing w:after="200" w:before="0" w:line="480"/>
        <w:jc w:val="both"/>
      </w:pPr>
      <w:r>
        <w:rPr>
          <w:rFonts w:ascii="Times New Roman" w:cs="Times New Roman" w:eastAsia="Times New Roman" w:hAnsi="Times New Roman"/>
          <w:sz w:val="24"/>
          <w:szCs w:val="24"/>
        </w:rPr>
        <w:t xml:space="preserve">Un modelo de aprendizaje automático podría estimar la densidad vehicular y las condiciones meteorológicas reales a partir de fuentes complementarias, reemplazando los proxies usados en este trabajo por series observadas, lo que reduciría la incertidumbre del modelo.</w:t>
      </w:r>
    </w:p>
    <w:p>
      <w:pPr>
        <w:pStyle w:val="Heading2"/>
        <w:spacing w:after="150" w:before="300" w:line="480"/>
        <w:jc w:val="left"/>
      </w:pPr>
      <w:r>
        <w:rPr>
          <w:rFonts w:ascii="Times New Roman" w:cs="Times New Roman" w:eastAsia="Times New Roman" w:hAnsi="Times New Roman"/>
          <w:b/>
          <w:bCs/>
          <w:color w:val="000000"/>
          <w:sz w:val="24"/>
          <w:szCs w:val="24"/>
        </w:rPr>
        <w:t xml:space="preserve">Limitación de esta propuesta</w:t>
      </w:r>
    </w:p>
    <w:p>
      <w:pPr>
        <w:spacing w:after="200" w:before="0" w:line="480"/>
        <w:jc w:val="both"/>
      </w:pPr>
      <w:r>
        <w:rPr>
          <w:rFonts w:ascii="Times New Roman" w:cs="Times New Roman" w:eastAsia="Times New Roman" w:hAnsi="Times New Roman"/>
          <w:sz w:val="24"/>
          <w:szCs w:val="24"/>
        </w:rPr>
        <w:t xml:space="preserve">Esta propuesta es conceptual: no se implementó la ingesta automática ni la recalibración periódica dentro del alcance de este trabajo, que se limita a una calibración estática con datos históricos 2020-2022.</w:t>
      </w:r>
    </w:p>
    <w:p>
      <w:pPr>
        <w:pStyle w:val="Heading1"/>
        <w:spacing w:after="200" w:before="400" w:line="480"/>
        <w:jc w:val="center"/>
      </w:pPr>
      <w:r>
        <w:rPr>
          <w:rFonts w:ascii="Times New Roman" w:cs="Times New Roman" w:eastAsia="Times New Roman" w:hAnsi="Times New Roman"/>
          <w:b/>
          <w:bCs/>
          <w:color w:val="000000"/>
          <w:sz w:val="24"/>
          <w:szCs w:val="24"/>
        </w:rPr>
        <w:t xml:space="preserve">Análisis de resultados</w:t>
      </w:r>
    </w:p>
    <w:p>
      <w:pPr>
        <w:spacing w:after="200" w:before="0" w:line="480"/>
        <w:jc w:val="both"/>
      </w:pPr>
      <w:r>
        <w:rPr>
          <w:rFonts w:ascii="Times New Roman" w:cs="Times New Roman" w:eastAsia="Times New Roman" w:hAnsi="Times New Roman"/>
          <w:sz w:val="24"/>
          <w:szCs w:val="24"/>
        </w:rPr>
        <w:t xml:space="preserve">El conjunto de resultados converge en una lectura coherente. La Parte 1 estableció, de forma cualitativa, que el sistema responde al arquetipo de "Tragedia de los comunes". La Parte 2 confirmó esto de forma cuantitativa: el modelo calibrado contra datos reales de SENAMHI (RMSE = 7.66 µg/m³, R² = 0.61 mensual) identificó que la densidad/tasa de emisión vehicular es, por un margen amplio, la variable más sensible del sistema.</w:t>
      </w:r>
    </w:p>
    <w:p>
      <w:pPr>
        <w:spacing w:after="200" w:before="0" w:line="480"/>
        <w:jc w:val="both"/>
      </w:pPr>
      <w:r>
        <w:rPr>
          <w:rFonts w:ascii="Times New Roman" w:cs="Times New Roman" w:eastAsia="Times New Roman" w:hAnsi="Times New Roman"/>
          <w:sz w:val="24"/>
          <w:szCs w:val="24"/>
        </w:rPr>
        <w:t xml:space="preserve">La Parte 3 muestra que esta sensibilidad tiene consecuencias directas sobre las políticas posibles: sin intervención, la concentración seguiría una tendencia creciente hasta 2025; con crecimiento vehicular descontrolado, el exceso acumulado se agravaría 8.3% adicional. La política de intervención propuesta logra una reducción de 14.9% en el exceso acumulado frente al escenario base, un resultado significativo pero insuficiente para lograr el cumplimiento del ECA-aire dentro de los tres años simulados.</w:t>
      </w:r>
    </w:p>
    <w:p>
      <w:pPr>
        <w:spacing w:after="200" w:before="0" w:line="480"/>
        <w:jc w:val="both"/>
      </w:pPr>
      <w:r>
        <w:rPr>
          <w:rFonts w:ascii="Times New Roman" w:cs="Times New Roman" w:eastAsia="Times New Roman" w:hAnsi="Times New Roman"/>
          <w:sz w:val="24"/>
          <w:szCs w:val="24"/>
        </w:rPr>
        <w:t xml:space="preserve">El hallazgo más importante para la gestión pública es que ni siquiera el escenario optimista logra que la concentración baje de forma sostenida por debajo del ECA-aire en el horizonte de 3 años. Esto indica que actuar solo sobre el parque vehicular, aunque es la palanca más sensible identificada por el modelo, no basta por sí sola.</w:t>
      </w:r>
    </w:p>
    <w:p>
      <w:pPr>
        <w:pStyle w:val="Heading1"/>
        <w:spacing w:after="200" w:before="400" w:line="480"/>
        <w:jc w:val="center"/>
      </w:pPr>
      <w:r>
        <w:rPr>
          <w:rFonts w:ascii="Times New Roman" w:cs="Times New Roman" w:eastAsia="Times New Roman" w:hAnsi="Times New Roman"/>
          <w:b/>
          <w:bCs/>
          <w:color w:val="000000"/>
          <w:sz w:val="24"/>
          <w:szCs w:val="24"/>
        </w:rPr>
        <w:t xml:space="preserve">Conclusiones</w:t>
      </w:r>
    </w:p>
    <w:p>
      <w:pPr>
        <w:pStyle w:val="ListParagraph"/>
        <w:numPr>
          <w:ilvl w:val="0"/>
          <w:numId w:val="1"/>
        </w:numPr>
        <w:spacing w:after="100" w:line="480"/>
        <w:ind w:left="360"/>
      </w:pPr>
      <w:r>
        <w:rPr>
          <w:rFonts w:ascii="Times New Roman" w:cs="Times New Roman" w:eastAsia="Times New Roman" w:hAnsi="Times New Roman"/>
          <w:sz w:val="24"/>
          <w:szCs w:val="24"/>
        </w:rPr>
        <w:t xml:space="preserve">La contaminación por PM2.5 en San Juan de Lurigancho es un problema dinámico: no se explica por una causa única sino por la interacción de tres bucles (R1 refuerzo vehicular, B1 balance regulatorio con retardo, B2 balance estacional natural), confirmado cualitativa y cuantitativamente.</w:t>
      </w:r>
    </w:p>
    <w:p>
      <w:pPr>
        <w:pStyle w:val="ListParagraph"/>
        <w:numPr>
          <w:ilvl w:val="0"/>
          <w:numId w:val="1"/>
        </w:numPr>
        <w:spacing w:after="100" w:line="480"/>
        <w:ind w:left="360"/>
      </w:pPr>
      <w:r>
        <w:rPr>
          <w:rFonts w:ascii="Times New Roman" w:cs="Times New Roman" w:eastAsia="Times New Roman" w:hAnsi="Times New Roman"/>
          <w:sz w:val="24"/>
          <w:szCs w:val="24"/>
        </w:rPr>
        <w:t xml:space="preserve">El modelo stock-flujo calibrado contra datos reales de SENAMHI reproduce razonablemente el comportamiento agregado del sistema, incluyendo la caída real durante la cuarentena de 2020 y la recuperación posterior.</w:t>
      </w:r>
    </w:p>
    <w:p>
      <w:pPr>
        <w:pStyle w:val="ListParagraph"/>
        <w:numPr>
          <w:ilvl w:val="0"/>
          <w:numId w:val="1"/>
        </w:numPr>
        <w:spacing w:after="100" w:line="480"/>
        <w:ind w:left="360"/>
      </w:pPr>
      <w:r>
        <w:rPr>
          <w:rFonts w:ascii="Times New Roman" w:cs="Times New Roman" w:eastAsia="Times New Roman" w:hAnsi="Times New Roman"/>
          <w:sz w:val="24"/>
          <w:szCs w:val="24"/>
        </w:rPr>
        <w:t xml:space="preserve">La densidad/tasa de emisión vehicular es el punto de apalancamiento más efectivo y más accesible a la intervención regulatoria local, confirmando el bucle R1 y el arquetipo de "Tragedia de los comunes".</w:t>
      </w:r>
    </w:p>
    <w:p>
      <w:pPr>
        <w:pStyle w:val="ListParagraph"/>
        <w:numPr>
          <w:ilvl w:val="0"/>
          <w:numId w:val="1"/>
        </w:numPr>
        <w:spacing w:after="100" w:line="480"/>
        <w:ind w:left="360"/>
      </w:pPr>
      <w:r>
        <w:rPr>
          <w:rFonts w:ascii="Times New Roman" w:cs="Times New Roman" w:eastAsia="Times New Roman" w:hAnsi="Times New Roman"/>
          <w:sz w:val="24"/>
          <w:szCs w:val="24"/>
        </w:rPr>
        <w:t xml:space="preserve">Una política de intervención realista reduce en torno al 15% el exceso acumulado sobre el ECA-aire en 3 años, pero no logra por sí sola el cumplimiento del estándar ambiental dentro de ese horizonte.</w:t>
      </w:r>
    </w:p>
    <w:p>
      <w:pPr>
        <w:pStyle w:val="ListParagraph"/>
        <w:numPr>
          <w:ilvl w:val="0"/>
          <w:numId w:val="1"/>
        </w:numPr>
        <w:spacing w:after="100" w:line="480"/>
        <w:ind w:left="360"/>
      </w:pPr>
      <w:r>
        <w:rPr>
          <w:rFonts w:ascii="Times New Roman" w:cs="Times New Roman" w:eastAsia="Times New Roman" w:hAnsi="Times New Roman"/>
          <w:sz w:val="24"/>
          <w:szCs w:val="24"/>
        </w:rPr>
        <w:t xml:space="preserve">El escenario pesimista confirma que la ausencia de intervención agrava el problema de forma medible, no solo cualitativa.</w:t>
      </w:r>
    </w:p>
    <w:p>
      <w:pPr>
        <w:pStyle w:val="Heading1"/>
        <w:spacing w:after="200" w:before="400" w:line="480"/>
        <w:jc w:val="center"/>
      </w:pPr>
      <w:r>
        <w:rPr>
          <w:rFonts w:ascii="Times New Roman" w:cs="Times New Roman" w:eastAsia="Times New Roman" w:hAnsi="Times New Roman"/>
          <w:b/>
          <w:bCs/>
          <w:color w:val="000000"/>
          <w:sz w:val="24"/>
          <w:szCs w:val="24"/>
        </w:rPr>
        <w:t xml:space="preserve">Recomendaciones</w:t>
      </w:r>
    </w:p>
    <w:p>
      <w:pPr>
        <w:pStyle w:val="ListParagraph"/>
        <w:numPr>
          <w:ilvl w:val="0"/>
          <w:numId w:val="1"/>
        </w:numPr>
        <w:spacing w:after="100" w:line="480"/>
        <w:ind w:left="360"/>
      </w:pPr>
      <w:r>
        <w:rPr>
          <w:rFonts w:ascii="Times New Roman" w:cs="Times New Roman" w:eastAsia="Times New Roman" w:hAnsi="Times New Roman"/>
          <w:sz w:val="24"/>
          <w:szCs w:val="24"/>
        </w:rPr>
        <w:t xml:space="preserve">Implementar la política de intervención propuesta cuanto antes, dado que cada mes de retardo regulatorio adicional reduce proporcionalmente el efecto acumulado alcanzable.</w:t>
      </w:r>
    </w:p>
    <w:p>
      <w:pPr>
        <w:pStyle w:val="ListParagraph"/>
        <w:numPr>
          <w:ilvl w:val="0"/>
          <w:numId w:val="1"/>
        </w:numPr>
        <w:spacing w:after="100" w:line="480"/>
        <w:ind w:left="360"/>
      </w:pPr>
      <w:r>
        <w:rPr>
          <w:rFonts w:ascii="Times New Roman" w:cs="Times New Roman" w:eastAsia="Times New Roman" w:hAnsi="Times New Roman"/>
          <w:sz w:val="24"/>
          <w:szCs w:val="24"/>
        </w:rPr>
        <w:t xml:space="preserve">Complementar la intervención vehicular con medidas fuera de la frontera del modelo actual: fiscalización de emisiones industriales, ampliación de áreas verdes, y ordenamiento urbano.</w:t>
      </w:r>
    </w:p>
    <w:p>
      <w:pPr>
        <w:pStyle w:val="ListParagraph"/>
        <w:numPr>
          <w:ilvl w:val="0"/>
          <w:numId w:val="1"/>
        </w:numPr>
        <w:spacing w:after="100" w:line="480"/>
        <w:ind w:left="360"/>
      </w:pPr>
      <w:r>
        <w:rPr>
          <w:rFonts w:ascii="Times New Roman" w:cs="Times New Roman" w:eastAsia="Times New Roman" w:hAnsi="Times New Roman"/>
          <w:sz w:val="24"/>
          <w:szCs w:val="24"/>
        </w:rPr>
        <w:t xml:space="preserve">Monitorear los indicadores de seguimiento propuestos de forma trimestral para ajustar la política según la evidencia real.</w:t>
      </w:r>
    </w:p>
    <w:p>
      <w:pPr>
        <w:pStyle w:val="ListParagraph"/>
        <w:numPr>
          <w:ilvl w:val="0"/>
          <w:numId w:val="1"/>
        </w:numPr>
        <w:spacing w:after="100" w:line="480"/>
        <w:ind w:left="360"/>
      </w:pPr>
      <w:r>
        <w:rPr>
          <w:rFonts w:ascii="Times New Roman" w:cs="Times New Roman" w:eastAsia="Times New Roman" w:hAnsi="Times New Roman"/>
          <w:sz w:val="24"/>
          <w:szCs w:val="24"/>
        </w:rPr>
        <w:t xml:space="preserve">Avanzar hacia el gemelo digital conceptual descrito en la Sección 22, priorizando primero la recalibración periódica del modelo.</w:t>
      </w:r>
    </w:p>
    <w:p>
      <w:pPr>
        <w:pStyle w:val="ListParagraph"/>
        <w:numPr>
          <w:ilvl w:val="0"/>
          <w:numId w:val="1"/>
        </w:numPr>
        <w:spacing w:after="100" w:line="480"/>
        <w:ind w:left="360"/>
      </w:pPr>
      <w:r>
        <w:rPr>
          <w:rFonts w:ascii="Times New Roman" w:cs="Times New Roman" w:eastAsia="Times New Roman" w:hAnsi="Times New Roman"/>
          <w:sz w:val="24"/>
          <w:szCs w:val="24"/>
        </w:rPr>
        <w:t xml:space="preserve">En una siguiente versión del modelo, reemplazar los proxies de densidad vehicular y climatología por series observadas directamente, para reducir la incertidumbre mensual del modelo.</w:t>
      </w:r>
    </w:p>
    <w:p>
      <w:pPr>
        <w:pStyle w:val="Heading1"/>
        <w:spacing w:after="200" w:before="400" w:line="480"/>
        <w:jc w:val="center"/>
      </w:pPr>
      <w:r>
        <w:rPr>
          <w:rFonts w:ascii="Times New Roman" w:cs="Times New Roman" w:eastAsia="Times New Roman" w:hAnsi="Times New Roman"/>
          <w:b/>
          <w:bCs/>
          <w:color w:val="000000"/>
          <w:sz w:val="24"/>
          <w:szCs w:val="24"/>
        </w:rPr>
        <w:t xml:space="preserve">Referencias</w:t>
      </w:r>
    </w:p>
    <w:p>
      <w:pPr>
        <w:spacing w:after="200" w:line="480"/>
        <w:ind w:left="720" w:hanging="720"/>
      </w:pPr>
      <w:r>
        <w:rPr>
          <w:rFonts w:ascii="Times New Roman" w:cs="Times New Roman" w:eastAsia="Times New Roman" w:hAnsi="Times New Roman"/>
          <w:sz w:val="24"/>
          <w:szCs w:val="24"/>
        </w:rPr>
        <w:t xml:space="preserve">Asociación Automotor del Perú [AAP]. (2025). Crisis del parque automotor peruano: una amenaza silenciosa para la salud, seguridad y economía. https://aap.org.pe/crisis-parque-automotor-salud-economia-salud/</w:t>
      </w:r>
    </w:p>
    <w:p>
      <w:pPr>
        <w:spacing w:after="200" w:line="480"/>
        <w:ind w:left="720" w:hanging="720"/>
      </w:pPr>
      <w:r>
        <w:rPr>
          <w:rFonts w:ascii="Times New Roman" w:cs="Times New Roman" w:eastAsia="Times New Roman" w:hAnsi="Times New Roman"/>
          <w:sz w:val="24"/>
          <w:szCs w:val="24"/>
        </w:rPr>
        <w:t xml:space="preserve">Forrester, J. W. (1961). Industrial dynamics. MIT Press.</w:t>
      </w:r>
    </w:p>
    <w:p>
      <w:pPr>
        <w:spacing w:after="200" w:line="480"/>
        <w:ind w:left="720" w:hanging="720"/>
      </w:pPr>
      <w:r>
        <w:rPr>
          <w:rFonts w:ascii="Times New Roman" w:cs="Times New Roman" w:eastAsia="Times New Roman" w:hAnsi="Times New Roman"/>
          <w:sz w:val="24"/>
          <w:szCs w:val="24"/>
        </w:rPr>
        <w:t xml:space="preserve">Infobae. (2023, 23 de noviembre). El distrito con el aire más contaminado de Sudamérica está en Perú: tiene componentes tóxicos que acortan la vida. https://www.infobae.com/peru/2023/11/23/el-distrito-con-el-aire-mas-contaminado-de-sudamerica-esta-en-peru-tiene-componentes-toxicos-que-acortan-la-vida/</w:t>
      </w:r>
    </w:p>
    <w:p>
      <w:pPr>
        <w:spacing w:after="200" w:line="480"/>
        <w:ind w:left="720" w:hanging="720"/>
      </w:pPr>
      <w:r>
        <w:rPr>
          <w:rFonts w:ascii="Times New Roman" w:cs="Times New Roman" w:eastAsia="Times New Roman" w:hAnsi="Times New Roman"/>
          <w:sz w:val="24"/>
          <w:szCs w:val="24"/>
        </w:rPr>
        <w:t xml:space="preserve">Instituto Nacional de Estadística e Informática [INEI]. (2024). San Juan de Lurigancho: población y superficie distrital. https://www.inei.gob.pe/</w:t>
      </w:r>
    </w:p>
    <w:p>
      <w:pPr>
        <w:spacing w:after="200" w:line="480"/>
        <w:ind w:left="720" w:hanging="720"/>
      </w:pPr>
      <w:r>
        <w:rPr>
          <w:rFonts w:ascii="Times New Roman" w:cs="Times New Roman" w:eastAsia="Times New Roman" w:hAnsi="Times New Roman"/>
          <w:sz w:val="24"/>
          <w:szCs w:val="24"/>
        </w:rPr>
        <w:t xml:space="preserve">IQAir. (2026). Índice de la calidad del aire (ICA) de San Juan de Lurigancho. https://www.iqair.com/es/peru/lima/san-juan-de-lurigancho</w:t>
      </w:r>
    </w:p>
    <w:p>
      <w:pPr>
        <w:spacing w:after="200" w:line="480"/>
        <w:ind w:left="720" w:hanging="720"/>
      </w:pPr>
      <w:r>
        <w:rPr>
          <w:rFonts w:ascii="Times New Roman" w:cs="Times New Roman" w:eastAsia="Times New Roman" w:hAnsi="Times New Roman"/>
          <w:sz w:val="24"/>
          <w:szCs w:val="24"/>
        </w:rPr>
        <w:t xml:space="preserve">Ministerio del Ambiente [MINAM]. (2017). Decreto Supremo N.° 003-2017-MINAM que aprueba los Estándares de Calidad Ambiental (ECA) para Aire. https://www.minam.gob.pe/disposiciones/decreto-supremo-n-003-2017-minam/</w:t>
      </w:r>
    </w:p>
    <w:p>
      <w:pPr>
        <w:spacing w:after="200" w:line="480"/>
        <w:ind w:left="720" w:hanging="720"/>
      </w:pPr>
      <w:r>
        <w:rPr>
          <w:rFonts w:ascii="Times New Roman" w:cs="Times New Roman" w:eastAsia="Times New Roman" w:hAnsi="Times New Roman"/>
          <w:sz w:val="24"/>
          <w:szCs w:val="24"/>
        </w:rPr>
        <w:t xml:space="preserve">Montalvo, M., &amp; Horna, D. (2025). Evaluación de la calidad del aire en San Juan de Lurigancho utilizando sensores de bajo costo. CENAMET. https://cenamet.org.ar/congremet/wp-content/uploads/2025/11/A4_T248.pdf</w:t>
      </w:r>
    </w:p>
    <w:p>
      <w:pPr>
        <w:spacing w:after="200" w:line="480"/>
        <w:ind w:left="720" w:hanging="720"/>
      </w:pPr>
      <w:r>
        <w:rPr>
          <w:rFonts w:ascii="Times New Roman" w:cs="Times New Roman" w:eastAsia="Times New Roman" w:hAnsi="Times New Roman"/>
          <w:sz w:val="24"/>
          <w:szCs w:val="24"/>
        </w:rPr>
        <w:t xml:space="preserve">Servicio Nacional de Meteorología e Hidrología del Perú [SENAMHI]. (2024). Monitoreo de los contaminantes del aire en Lima Metropolitana [Conjunto de datos]. Plataforma Nacional de Datos Abiertos. https://www.datosabiertos.gob.pe/dataset/monitoreo-de-los-contaminantes-del-aire-en-lima-metropolitana-servicio-nacional-de</w:t>
      </w:r>
    </w:p>
    <w:p>
      <w:pPr>
        <w:spacing w:after="200" w:line="480"/>
        <w:ind w:left="720" w:hanging="720"/>
      </w:pPr>
      <w:r>
        <w:rPr>
          <w:rFonts w:ascii="Times New Roman" w:cs="Times New Roman" w:eastAsia="Times New Roman" w:hAnsi="Times New Roman"/>
          <w:sz w:val="24"/>
          <w:szCs w:val="24"/>
        </w:rPr>
        <w:t xml:space="preserve">Servicio Nacional de Meteorología e Hidrología del Perú [SENAMHI], &amp; Instituto Nacional de Estadística e Informática [INEI]. (2025). Informe técnico de estadísticas ambientales. https://siar.regionpiura.gob.pe/documentos/estadisticas/php2E2UQr.PDF</w:t>
      </w:r>
    </w:p>
    <w:p>
      <w:pPr>
        <w:spacing w:after="200" w:line="480"/>
        <w:ind w:left="720" w:hanging="720"/>
      </w:pPr>
      <w:r>
        <w:rPr>
          <w:rFonts w:ascii="Times New Roman" w:cs="Times New Roman" w:eastAsia="Times New Roman" w:hAnsi="Times New Roman"/>
          <w:sz w:val="24"/>
          <w:szCs w:val="24"/>
        </w:rPr>
        <w:t xml:space="preserve">Sterman, J. D. (2000). Business dynamics: Systems thinking and modeling for a complex world. Irwin/McGraw-Hill.</w:t>
      </w:r>
    </w:p>
    <w:p>
      <w:pPr>
        <w:spacing w:after="200" w:line="480"/>
        <w:ind w:left="720" w:hanging="720"/>
      </w:pPr>
      <w:r>
        <w:rPr>
          <w:rFonts w:ascii="Times New Roman" w:cs="Times New Roman" w:eastAsia="Times New Roman" w:hAnsi="Times New Roman"/>
          <w:sz w:val="24"/>
          <w:szCs w:val="24"/>
        </w:rPr>
        <w:t xml:space="preserve">United States Environmental Protection Agency [EPA]. (s.f.). Air Quality Index (AQI) breakpoints for PM2.5 [Tabla de referencia].</w:t>
      </w:r>
    </w:p>
    <w:p>
      <w:pPr>
        <w:pStyle w:val="Heading1"/>
        <w:spacing w:after="200" w:before="400" w:line="480"/>
        <w:jc w:val="center"/>
      </w:pPr>
      <w:r>
        <w:rPr>
          <w:rFonts w:ascii="Times New Roman" w:cs="Times New Roman" w:eastAsia="Times New Roman" w:hAnsi="Times New Roman"/>
          <w:b/>
          <w:bCs/>
          <w:color w:val="000000"/>
          <w:sz w:val="24"/>
          <w:szCs w:val="24"/>
        </w:rPr>
        <w:t xml:space="preserve">Anexos</w:t>
      </w:r>
    </w:p>
    <w:p>
      <w:pPr>
        <w:pStyle w:val="Heading2"/>
        <w:spacing w:after="150" w:before="300" w:line="480"/>
        <w:jc w:val="left"/>
      </w:pPr>
      <w:r>
        <w:rPr>
          <w:rFonts w:ascii="Times New Roman" w:cs="Times New Roman" w:eastAsia="Times New Roman" w:hAnsi="Times New Roman"/>
          <w:b/>
          <w:bCs/>
          <w:color w:val="000000"/>
          <w:sz w:val="24"/>
          <w:szCs w:val="24"/>
        </w:rPr>
        <w:t xml:space="preserve">Anexo A. Trazabilidad de datos</w:t>
      </w:r>
    </w:p>
    <w:p>
      <w:pPr>
        <w:spacing w:after="200" w:before="0" w:line="480"/>
        <w:jc w:val="both"/>
      </w:pPr>
      <w:r>
        <w:rPr>
          <w:rFonts w:ascii="Times New Roman" w:cs="Times New Roman" w:eastAsia="Times New Roman" w:hAnsi="Times New Roman"/>
          <w:sz w:val="24"/>
          <w:szCs w:val="24"/>
        </w:rPr>
        <w:t xml:space="preserve">Todas las cifras provienen del dataset oficial de SENAMHI (2020-2022) y de los notebooks de calibración (Parte 2) y proyección (Parte 3) desarrollados por el equipo. Ambos notebooks fueron ejecutados de forma independiente para esta versión del informe: los parámetros calibrados, los indicadores de validación (RMSE, MAE, R², MAPE), la tabla de sensibilidad, la condición inicial heredada en la Parte 3 y los promedios anuales de los cuatro escenarios coinciden exactamente con lo reportado en las Secciones 15, 18, 19 y 20. La única corrección introducida respecto a la versión previa del informe es el valor real de PM2.5 de 2020 (Sección 17), ajustado de 21.0 a 22.6 µg/m³ para que sea consistente con el cálculo real del notebook. No se introdujo ningún dato nuevo fuera del dataset oficial de SENAMHI y de los supuestos de crecimiento vehicular documentados en la Sección 20.</w:t>
      </w:r>
    </w:p>
    <w:p>
      <w:pPr>
        <w:pStyle w:val="Heading2"/>
        <w:spacing w:after="150" w:before="300" w:line="480"/>
        <w:jc w:val="left"/>
      </w:pPr>
      <w:r>
        <w:rPr>
          <w:rFonts w:ascii="Times New Roman" w:cs="Times New Roman" w:eastAsia="Times New Roman" w:hAnsi="Times New Roman"/>
          <w:b/>
          <w:bCs/>
          <w:color w:val="000000"/>
          <w:sz w:val="24"/>
          <w:szCs w:val="24"/>
        </w:rPr>
        <w:t xml:space="preserve">Anexo B. Estructura del repositorio del proyecto</w:t>
      </w:r>
    </w:p>
    <w:p>
      <w:pPr>
        <w:spacing w:after="0" w:before="0" w:line="480"/>
        <w:jc w:val="both"/>
      </w:pPr>
      <w:r>
        <w:rPr>
          <w:rFonts w:ascii="Times New Roman" w:cs="Times New Roman" w:eastAsia="Times New Roman" w:hAnsi="Times New Roman"/>
          <w:sz w:val="24"/>
          <w:szCs w:val="24"/>
        </w:rPr>
        <w:t xml:space="preserve">trabajo-final-dinamica-sistemas/</w:t>
      </w:r>
    </w:p>
    <w:p>
      <w:pPr>
        <w:spacing w:after="0" w:before="0" w:line="480"/>
        <w:jc w:val="both"/>
      </w:pPr>
      <w:r>
        <w:rPr>
          <w:rFonts w:ascii="Times New Roman" w:cs="Times New Roman" w:eastAsia="Times New Roman" w:hAnsi="Times New Roman"/>
          <w:sz w:val="24"/>
          <w:szCs w:val="24"/>
        </w:rPr>
        <w:t xml:space="preserve">├── README.md</w:t>
      </w:r>
    </w:p>
    <w:p>
      <w:pPr>
        <w:spacing w:after="0" w:before="0" w:line="480"/>
        <w:jc w:val="both"/>
      </w:pPr>
      <w:r>
        <w:rPr>
          <w:rFonts w:ascii="Times New Roman" w:cs="Times New Roman" w:eastAsia="Times New Roman" w:hAnsi="Times New Roman"/>
          <w:sz w:val="24"/>
          <w:szCs w:val="24"/>
        </w:rPr>
        <w:t xml:space="preserve">├── informe/ (informe-final.docx)</w:t>
      </w:r>
    </w:p>
    <w:p>
      <w:pPr>
        <w:spacing w:after="0" w:before="0" w:line="480"/>
        <w:jc w:val="both"/>
      </w:pPr>
      <w:r>
        <w:rPr>
          <w:rFonts w:ascii="Times New Roman" w:cs="Times New Roman" w:eastAsia="Times New Roman" w:hAnsi="Times New Roman"/>
          <w:sz w:val="24"/>
          <w:szCs w:val="24"/>
        </w:rPr>
        <w:t xml:space="preserve">├── presentacion/ (exposicion-final.pptx)</w:t>
      </w:r>
    </w:p>
    <w:p>
      <w:pPr>
        <w:spacing w:after="0" w:before="0" w:line="480"/>
        <w:jc w:val="both"/>
      </w:pPr>
      <w:r>
        <w:rPr>
          <w:rFonts w:ascii="Times New Roman" w:cs="Times New Roman" w:eastAsia="Times New Roman" w:hAnsi="Times New Roman"/>
          <w:sz w:val="24"/>
          <w:szCs w:val="24"/>
        </w:rPr>
        <w:t xml:space="preserve">├── modelos/ (diagrama_causal.png, modelo_stock_flow.png, notebooks de calibración y escenarios)</w:t>
      </w:r>
    </w:p>
    <w:p>
      <w:pPr>
        <w:spacing w:after="200" w:before="0" w:line="480"/>
        <w:jc w:val="both"/>
      </w:pPr>
      <w:r>
        <w:rPr>
          <w:rFonts w:ascii="Times New Roman" w:cs="Times New Roman" w:eastAsia="Times New Roman" w:hAnsi="Times New Roman"/>
          <w:sz w:val="24"/>
          <w:szCs w:val="24"/>
        </w:rPr>
        <w:t xml:space="preserve">└── datos/ (dataset original filtrado y agregado mensual 2020-2022)</w:t>
      </w:r>
    </w:p>
    <w:p>
      <w:pPr>
        <w:pStyle w:val="Heading2"/>
        <w:spacing w:after="150" w:before="300" w:line="480"/>
        <w:jc w:val="left"/>
      </w:pPr>
      <w:r>
        <w:rPr>
          <w:rFonts w:ascii="Times New Roman" w:cs="Times New Roman" w:eastAsia="Times New Roman" w:hAnsi="Times New Roman"/>
          <w:b/>
          <w:bCs/>
          <w:color w:val="000000"/>
          <w:sz w:val="24"/>
          <w:szCs w:val="24"/>
        </w:rPr>
        <w:t xml:space="preserve">Anexo C. Preguntas de sustentación relacionadas</w:t>
      </w:r>
    </w:p>
    <w:p>
      <w:pPr>
        <w:pStyle w:val="ListParagraph"/>
        <w:numPr>
          <w:ilvl w:val="0"/>
          <w:numId w:val="1"/>
        </w:numPr>
        <w:spacing w:after="100" w:line="480"/>
        <w:ind w:left="360"/>
      </w:pPr>
      <w:r>
        <w:rPr>
          <w:rFonts w:ascii="Times New Roman" w:cs="Times New Roman" w:eastAsia="Times New Roman" w:hAnsi="Times New Roman"/>
          <w:sz w:val="24"/>
          <w:szCs w:val="24"/>
        </w:rPr>
        <w:t xml:space="preserve">¿Qué escenario genera el mejor resultado? El optimista (−26.6% de exceso acumulado), aunque exige condiciones poco realistas; entre los viables, el de intervención propuesto (−14.9%).</w:t>
      </w:r>
    </w:p>
    <w:p>
      <w:pPr>
        <w:pStyle w:val="ListParagraph"/>
        <w:numPr>
          <w:ilvl w:val="0"/>
          <w:numId w:val="1"/>
        </w:numPr>
        <w:spacing w:after="100" w:line="480"/>
        <w:ind w:left="360"/>
      </w:pPr>
      <w:r>
        <w:rPr>
          <w:rFonts w:ascii="Times New Roman" w:cs="Times New Roman" w:eastAsia="Times New Roman" w:hAnsi="Times New Roman"/>
          <w:sz w:val="24"/>
          <w:szCs w:val="24"/>
        </w:rPr>
        <w:t xml:space="preserve">¿Cuál es el punto de apalancamiento principal? La densidad / tasa de emisión vehicular.</w:t>
      </w:r>
    </w:p>
    <w:p>
      <w:pPr>
        <w:pStyle w:val="ListParagraph"/>
        <w:numPr>
          <w:ilvl w:val="0"/>
          <w:numId w:val="1"/>
        </w:numPr>
        <w:spacing w:after="100" w:line="480"/>
        <w:ind w:left="360"/>
      </w:pPr>
      <w:r>
        <w:rPr>
          <w:rFonts w:ascii="Times New Roman" w:cs="Times New Roman" w:eastAsia="Times New Roman" w:hAnsi="Times New Roman"/>
          <w:sz w:val="24"/>
          <w:szCs w:val="24"/>
        </w:rPr>
        <w:t xml:space="preserve">¿Qué riesgos tiene la intervención? Efecto rebote, desplazamiento a distritos vecinos, resistencia social y financiamiento insuficiente.</w:t>
      </w:r>
    </w:p>
    <w:p>
      <w:pPr>
        <w:pStyle w:val="ListParagraph"/>
        <w:numPr>
          <w:ilvl w:val="0"/>
          <w:numId w:val="1"/>
        </w:numPr>
        <w:spacing w:after="100" w:line="480"/>
        <w:ind w:left="360"/>
      </w:pPr>
      <w:r>
        <w:rPr>
          <w:rFonts w:ascii="Times New Roman" w:cs="Times New Roman" w:eastAsia="Times New Roman" w:hAnsi="Times New Roman"/>
          <w:sz w:val="24"/>
          <w:szCs w:val="24"/>
        </w:rPr>
        <w:t xml:space="preserve">¿Qué aportaría un gemelo digital conectado a SENAMHI? Recalibración periódica y alerta temprana ante desviaciones no explicadas por el modelo.</w:t>
      </w:r>
    </w:p>
    <w:p>
      <w:pPr>
        <w:pStyle w:val="ListParagraph"/>
        <w:numPr>
          <w:ilvl w:val="0"/>
          <w:numId w:val="1"/>
        </w:numPr>
        <w:spacing w:after="100" w:line="480"/>
        <w:ind w:left="360"/>
      </w:pPr>
      <w:r>
        <w:rPr>
          <w:rFonts w:ascii="Times New Roman" w:cs="Times New Roman" w:eastAsia="Times New Roman" w:hAnsi="Times New Roman"/>
          <w:sz w:val="24"/>
          <w:szCs w:val="24"/>
        </w:rPr>
        <w:t xml:space="preserve">¿Qué limitaciones tiene el modelo? Los insumos de densidad vehicular y clima son proxies, no series medidas directamente.</w:t>
      </w:r>
    </w:p>
    <w:p>
      <w:pPr>
        <w:pStyle w:val="ListParagraph"/>
        <w:numPr>
          <w:ilvl w:val="0"/>
          <w:numId w:val="1"/>
        </w:numPr>
        <w:spacing w:after="100" w:line="480"/>
        <w:ind w:left="360"/>
      </w:pPr>
      <w:r>
        <w:rPr>
          <w:rFonts w:ascii="Times New Roman" w:cs="Times New Roman" w:eastAsia="Times New Roman" w:hAnsi="Times New Roman"/>
          <w:sz w:val="24"/>
          <w:szCs w:val="24"/>
        </w:rPr>
        <w:t xml:space="preserve">¿Qué mejorarían en una siguiente versión? Reemplazar los proxies por series observadas y avanzar hacia el gemelo digital conceptual.</w:t>
      </w:r>
    </w:p>
    <w:sectPr>
      <w:head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sz w:val="24"/>
        <w:szCs w:val="24"/>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image" Target="media/654941bbf8baf388b37ecf4e4640a823c47a544d.png"/><Relationship Id="rId9" Type="http://schemas.openxmlformats.org/officeDocument/2006/relationships/image" Target="media/1606731b17f2d1b752473e7ea64406df33eb6acf.png"/><Relationship Id="rId10" Type="http://schemas.openxmlformats.org/officeDocument/2006/relationships/image" Target="media/55fbd5cffac5609abe6c7190acf6ac39aa4587a3.png"/><Relationship Id="rId11" Type="http://schemas.openxmlformats.org/officeDocument/2006/relationships/image" Target="media/8f0d7d39a590d9b6cb9ec516876c93401066028e.png"/><Relationship Id="rId12" Type="http://schemas.openxmlformats.org/officeDocument/2006/relationships/image" Target="media/77ebdd04c978bef08f111a604a446e6dd6bb0756.png"/><Relationship Id="rId13" Type="http://schemas.openxmlformats.org/officeDocument/2006/relationships/image" Target="media/8b6ab8568bc231a5af114875dd204818cdb9f07a.png"/><Relationship Id="rId14" Type="http://schemas.openxmlformats.org/officeDocument/2006/relationships/image" Target="media/fd7f49c822d989fbf81372ebdde00ad289479d3e.png"/><Relationship Id="rId15" Type="http://schemas.openxmlformats.org/officeDocument/2006/relationships/image" Target="media/ef1184ee3e3c14c035f33996432b71e2ac1c71d2.png"/><Relationship Id="rId16" Type="http://schemas.openxmlformats.org/officeDocument/2006/relationships/image" Target="media/a88409db5d9faf97075a90239d870617d894280f.png"/><Relationship Id="rId17" Type="http://schemas.openxmlformats.org/officeDocument/2006/relationships/image" Target="media/32aac25a930ec4eef6a4c265f03037a9b32a3711.png"/><Relationship Id="rId18" Type="http://schemas.openxmlformats.org/officeDocument/2006/relationships/image" Target="media/5941f583e4407ac2907edf68aa2822df7aa93056.png"/><Relationship Id="rId19" Type="http://schemas.openxmlformats.org/officeDocument/2006/relationships/image" Target="media/87b477e349c57e07d10a2d7a272b05e1c06828db.png"/><Relationship Id="rId20" Type="http://schemas.openxmlformats.org/officeDocument/2006/relationships/image" Target="media/b7bb908cea509ac65313b066c9c8060cdcc7692c.png"/><Relationship Id="rId2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2026-07-25T03:31:46.446Z</dcterms:created>
  <dcterms:modified xsi:type="dcterms:W3CDTF">2026-07-25T03:31:46.456Z</dcterms:modified>
</cp:coreProperties>
</file>

<file path=docProps/custom.xml><?xml version="1.0" encoding="utf-8"?>
<Properties xmlns="http://schemas.openxmlformats.org/officeDocument/2006/custom-properties" xmlns:vt="http://schemas.openxmlformats.org/officeDocument/2006/docPropsVTypes"/>
</file>