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Informe de remediacion Sprint 1B1</w:t>
      </w:r>
    </w:p>
    <w:p>
      <w:pPr>
        <w:spacing w:after="240"/>
      </w:pPr>
      <w:r>
        <w:rPr>
          <w:b/>
        </w:rPr>
        <w:t>Backend Foundation Remediated</w:t>
      </w:r>
      <w:r>
        <w:br/>
        <w:t>Estado de cierre tecnico y decision de aceptacion</w:t>
      </w:r>
    </w:p>
    <w:tbl>
      <w:tblPr>
        <w:tblStyle w:val="TableGrid"/>
        <w:tblW w:type="auto" w:w="0"/>
        <w:tblLayout w:type="fixed"/>
        <w:tblLook w:firstColumn="1" w:firstRow="1" w:lastColumn="0" w:lastRow="0" w:noHBand="0" w:noVBand="1" w:val="04A0"/>
      </w:tblPr>
      <w:tblGrid>
        <w:gridCol w:w="4968"/>
        <w:gridCol w:w="4968"/>
      </w:tblGrid>
      <w:tr>
        <w:tc>
          <w:tcPr>
            <w:tcW w:type="dxa" w:w="1944"/>
            <w:tcMar>
              <w:top w:w="100" w:type="dxa"/>
              <w:start w:w="120" w:type="dxa"/>
              <w:bottom w:w="100" w:type="dxa"/>
              <w:end w:w="120" w:type="dxa"/>
            </w:tcMar>
            <w:vAlign w:val="center"/>
            <w:shd w:fill="DCE6F1"/>
          </w:tcPr>
          <w:p>
            <w:r>
              <w:rPr>
                <w:b/>
              </w:rPr>
              <w:t>Fecha</w:t>
            </w:r>
          </w:p>
        </w:tc>
        <w:tc>
          <w:tcPr>
            <w:tcW w:type="dxa" w:w="8568"/>
            <w:tcMar>
              <w:top w:w="100" w:type="dxa"/>
              <w:start w:w="120" w:type="dxa"/>
              <w:bottom w:w="100" w:type="dxa"/>
              <w:end w:w="120" w:type="dxa"/>
            </w:tcMar>
            <w:vAlign w:val="center"/>
          </w:tcPr>
          <w:p>
            <w:r>
              <w:t>2026-09-19</w:t>
            </w:r>
          </w:p>
        </w:tc>
      </w:tr>
      <w:tr>
        <w:tc>
          <w:tcPr>
            <w:tcW w:type="dxa" w:w="1944"/>
            <w:tcMar>
              <w:top w:w="100" w:type="dxa"/>
              <w:start w:w="120" w:type="dxa"/>
              <w:bottom w:w="100" w:type="dxa"/>
              <w:end w:w="120" w:type="dxa"/>
            </w:tcMar>
            <w:vAlign w:val="center"/>
            <w:shd w:fill="DCE6F1"/>
          </w:tcPr>
          <w:p>
            <w:r>
              <w:rPr>
                <w:b/>
              </w:rPr>
              <w:t>Workspace</w:t>
            </w:r>
          </w:p>
        </w:tc>
        <w:tc>
          <w:tcPr>
            <w:tcW w:type="dxa" w:w="8568"/>
            <w:tcMar>
              <w:top w:w="100" w:type="dxa"/>
              <w:start w:w="120" w:type="dxa"/>
              <w:bottom w:w="100" w:type="dxa"/>
              <w:end w:w="120" w:type="dxa"/>
            </w:tcMar>
            <w:vAlign w:val="center"/>
          </w:tcPr>
          <w:p>
            <w:r>
              <w:t>C:\SentinelAI\SentinelAI-Sprint-1B.1-Backend-Foundation-Remediated</w:t>
            </w:r>
          </w:p>
        </w:tc>
      </w:tr>
      <w:tr>
        <w:tc>
          <w:tcPr>
            <w:tcW w:type="dxa" w:w="1944"/>
            <w:tcMar>
              <w:top w:w="100" w:type="dxa"/>
              <w:start w:w="120" w:type="dxa"/>
              <w:bottom w:w="100" w:type="dxa"/>
              <w:end w:w="120" w:type="dxa"/>
            </w:tcMar>
            <w:vAlign w:val="center"/>
            <w:shd w:fill="DCE6F1"/>
          </w:tcPr>
          <w:p>
            <w:r>
              <w:rPr>
                <w:b/>
              </w:rPr>
              <w:t>Artefacto</w:t>
            </w:r>
          </w:p>
        </w:tc>
        <w:tc>
          <w:tcPr>
            <w:tcW w:type="dxa" w:w="8568"/>
            <w:tcMar>
              <w:top w:w="100" w:type="dxa"/>
              <w:start w:w="120" w:type="dxa"/>
              <w:bottom w:w="100" w:type="dxa"/>
              <w:end w:w="120" w:type="dxa"/>
            </w:tcMar>
            <w:vAlign w:val="center"/>
          </w:tcPr>
          <w:p>
            <w:r>
              <w:t>SentinelAI-Sprint-1B.1-Backend-Foundation-Remediated.zip</w:t>
            </w:r>
          </w:p>
        </w:tc>
      </w:tr>
      <w:tr>
        <w:tc>
          <w:tcPr>
            <w:tcW w:type="dxa" w:w="1944"/>
            <w:tcMar>
              <w:top w:w="100" w:type="dxa"/>
              <w:start w:w="120" w:type="dxa"/>
              <w:bottom w:w="100" w:type="dxa"/>
              <w:end w:w="120" w:type="dxa"/>
            </w:tcMar>
            <w:vAlign w:val="center"/>
            <w:shd w:fill="DCE6F1"/>
          </w:tcPr>
          <w:p>
            <w:r>
              <w:rPr>
                <w:b/>
              </w:rPr>
              <w:t>Decision</w:t>
            </w:r>
          </w:p>
        </w:tc>
        <w:tc>
          <w:tcPr>
            <w:tcW w:type="dxa" w:w="8568"/>
            <w:tcMar>
              <w:top w:w="100" w:type="dxa"/>
              <w:start w:w="120" w:type="dxa"/>
              <w:bottom w:w="100" w:type="dxa"/>
              <w:end w:w="120" w:type="dxa"/>
            </w:tcMar>
            <w:vAlign w:val="center"/>
          </w:tcPr>
          <w:p>
            <w:r>
              <w:t>NO ACEPTAR hasta cumplir cobertura Python y auditoria de dependencias</w:t>
            </w:r>
          </w:p>
        </w:tc>
      </w:tr>
    </w:tbl>
    <w:p/>
    <w:p>
      <w:pPr>
        <w:pStyle w:val="Heading1"/>
      </w:pPr>
      <w:r>
        <w:t>Conclusion ejecutiva</w:t>
      </w:r>
    </w:p>
    <w:p>
      <w:r>
        <w:t>La remediacion Sprint 1B1 se implemento en una copia aislada sin modificar Sprint 1A, Sprint 1B ni sus archivos ZIP. Se corrigio la escalacion de privilegios mas critica: un org owner ya no puede asignar platform admin. Tambien se reforzaron la sesion, el aislamiento por tenant, las migraciones, la auditoria y los controles de concurrencia.</w:t>
      </w:r>
    </w:p>
    <w:p>
      <w:r>
        <w:t>La evidencia de infraestructura, migracion, RLS y contratos HTTP es satisfactoria. Sin embargo, la cobertura de pruebas Python registrada es 48.37 por ciento, inferior al minimo obligatorio de 90 por ciento, y pip audit no pudo finalizar porque el entorno no resolvio pypi.org. Por ello la recomendacion formal es no aceptar aun el sprint.</w:t>
      </w:r>
    </w:p>
    <w:p>
      <w:pPr>
        <w:pStyle w:val="Heading1"/>
      </w:pPr>
      <w:r>
        <w:t>Alcance y limites</w:t>
      </w:r>
    </w:p>
    <w:p>
      <w:r>
        <w:t>El alcance se mantiene en Backend Foundation. El frontend conserva sus mocks y no se conecto a los contratos del backend. No se introdujeron registro publico, SSO, MFA, correo real de recovery, scanners, jobs, findings, reportes operativos, LLM ni integraciones externas. Esto no constituye una declaracion de disponibilidad para produccion.</w:t>
      </w:r>
    </w:p>
    <w:p>
      <w:pPr>
        <w:pStyle w:val="Heading1"/>
      </w:pPr>
      <w:r>
        <w:t>Remediaciones implementadas</w:t>
      </w:r>
    </w:p>
    <w:tbl>
      <w:tblPr>
        <w:tblStyle w:val="TableGrid"/>
        <w:tblW w:type="auto" w:w="0"/>
        <w:tblLayout w:type="fixed"/>
        <w:tblLook w:firstColumn="1" w:firstRow="1" w:lastColumn="0" w:lastRow="0" w:noHBand="0" w:noVBand="1" w:val="04A0"/>
      </w:tblPr>
      <w:tblGrid>
        <w:gridCol w:w="3312"/>
        <w:gridCol w:w="3312"/>
        <w:gridCol w:w="3312"/>
      </w:tblGrid>
      <w:tr>
        <w:trPr>
          <w:tblHeader w:val="true"/>
        </w:trPr>
        <w:tc>
          <w:tcPr>
            <w:tcW w:type="dxa" w:w="1584"/>
            <w:vAlign w:val="center"/>
            <w:shd w:fill="17365D"/>
            <w:tcMar>
              <w:top w:w="100" w:type="dxa"/>
              <w:start w:w="120" w:type="dxa"/>
              <w:bottom w:w="100" w:type="dxa"/>
              <w:end w:w="120" w:type="dxa"/>
            </w:tcMar>
          </w:tcPr>
          <w:p>
            <w:pPr>
              <w:jc w:val="center"/>
            </w:pPr>
            <w:r>
              <w:rPr>
                <w:b/>
                <w:color w:val="FFFFFF"/>
                <w:sz w:val="18"/>
              </w:rPr>
              <w:t>Dominio</w:t>
            </w:r>
          </w:p>
        </w:tc>
        <w:tc>
          <w:tcPr>
            <w:tcW w:type="dxa" w:w="5544"/>
            <w:vAlign w:val="center"/>
            <w:shd w:fill="17365D"/>
            <w:tcMar>
              <w:top w:w="100" w:type="dxa"/>
              <w:start w:w="120" w:type="dxa"/>
              <w:bottom w:w="100" w:type="dxa"/>
              <w:end w:w="120" w:type="dxa"/>
            </w:tcMar>
          </w:tcPr>
          <w:p>
            <w:pPr>
              <w:jc w:val="center"/>
            </w:pPr>
            <w:r>
              <w:rPr>
                <w:b/>
                <w:color w:val="FFFFFF"/>
                <w:sz w:val="18"/>
              </w:rPr>
              <w:t>Cambio aplicado</w:t>
            </w:r>
          </w:p>
        </w:tc>
        <w:tc>
          <w:tcPr>
            <w:tcW w:type="dxa" w:w="3384"/>
            <w:vAlign w:val="center"/>
            <w:shd w:fill="17365D"/>
            <w:tcMar>
              <w:top w:w="100" w:type="dxa"/>
              <w:start w:w="120" w:type="dxa"/>
              <w:bottom w:w="100" w:type="dxa"/>
              <w:end w:w="120" w:type="dxa"/>
            </w:tcMar>
          </w:tcPr>
          <w:p>
            <w:pPr>
              <w:jc w:val="center"/>
            </w:pPr>
            <w:r>
              <w:rPr>
                <w:b/>
                <w:color w:val="FFFFFF"/>
                <w:sz w:val="18"/>
              </w:rPr>
              <w:t>Resultado de seguridad</w:t>
            </w:r>
          </w:p>
        </w:tc>
      </w:tr>
      <w:tr>
        <w:tc>
          <w:tcPr>
            <w:tcW w:type="dxa" w:w="1584"/>
            <w:vAlign w:val="center"/>
            <w:tcMar>
              <w:top w:w="100" w:type="dxa"/>
              <w:start w:w="120" w:type="dxa"/>
              <w:bottom w:w="100" w:type="dxa"/>
              <w:end w:w="120" w:type="dxa"/>
            </w:tcMar>
          </w:tcPr>
          <w:p>
            <w:pPr>
              <w:jc w:val="center"/>
            </w:pPr>
            <w:r>
              <w:rPr>
                <w:sz w:val="18"/>
              </w:rPr>
              <w:t>Roles</w:t>
            </w:r>
          </w:p>
        </w:tc>
        <w:tc>
          <w:tcPr>
            <w:tcW w:type="dxa" w:w="5544"/>
            <w:vAlign w:val="center"/>
            <w:tcMar>
              <w:top w:w="100" w:type="dxa"/>
              <w:start w:w="120" w:type="dxa"/>
              <w:bottom w:w="100" w:type="dxa"/>
              <w:end w:w="120" w:type="dxa"/>
            </w:tcMar>
          </w:tcPr>
          <w:p>
            <w:pPr>
              <w:jc w:val="left"/>
            </w:pPr>
            <w:r>
              <w:rPr>
                <w:sz w:val="18"/>
              </w:rPr>
              <w:t>Politica explicita de roles asignables por org owner y security manager. platform admin no es asignable en tenant.</w:t>
            </w:r>
          </w:p>
        </w:tc>
        <w:tc>
          <w:tcPr>
            <w:tcW w:type="dxa" w:w="3384"/>
            <w:vAlign w:val="center"/>
            <w:tcMar>
              <w:top w:w="100" w:type="dxa"/>
              <w:start w:w="120" w:type="dxa"/>
              <w:bottom w:w="100" w:type="dxa"/>
              <w:end w:w="120" w:type="dxa"/>
            </w:tcMar>
          </w:tcPr>
          <w:p>
            <w:pPr>
              <w:jc w:val="left"/>
            </w:pPr>
            <w:r>
              <w:rPr>
                <w:sz w:val="18"/>
              </w:rPr>
              <w:t>Se elimina la escalacion org owner a platform admin.</w:t>
            </w:r>
          </w:p>
        </w:tc>
      </w:tr>
      <w:tr>
        <w:tc>
          <w:tcPr>
            <w:tcW w:type="dxa" w:w="1584"/>
            <w:vAlign w:val="center"/>
            <w:tcMar>
              <w:top w:w="100" w:type="dxa"/>
              <w:start w:w="120" w:type="dxa"/>
              <w:bottom w:w="100" w:type="dxa"/>
              <w:end w:w="120" w:type="dxa"/>
            </w:tcMar>
            <w:shd w:fill="F3F6FA"/>
          </w:tcPr>
          <w:p>
            <w:pPr>
              <w:jc w:val="center"/>
            </w:pPr>
            <w:r>
              <w:rPr>
                <w:sz w:val="18"/>
              </w:rPr>
              <w:t>Sesiones</w:t>
            </w:r>
          </w:p>
        </w:tc>
        <w:tc>
          <w:tcPr>
            <w:tcW w:type="dxa" w:w="5544"/>
            <w:vAlign w:val="center"/>
            <w:tcMar>
              <w:top w:w="100" w:type="dxa"/>
              <w:start w:w="120" w:type="dxa"/>
              <w:bottom w:w="100" w:type="dxa"/>
              <w:end w:w="120" w:type="dxa"/>
            </w:tcMar>
            <w:shd w:fill="F3F6FA"/>
          </w:tcPr>
          <w:p>
            <w:pPr>
              <w:jc w:val="left"/>
            </w:pPr>
            <w:r>
              <w:rPr>
                <w:sz w:val="18"/>
              </w:rPr>
              <w:t>La sesion se asocia a membership activa. Triggers revocan sesiones al suspender o eliminar usuario, organizacion o membership.</w:t>
            </w:r>
          </w:p>
        </w:tc>
        <w:tc>
          <w:tcPr>
            <w:tcW w:type="dxa" w:w="3384"/>
            <w:vAlign w:val="center"/>
            <w:tcMar>
              <w:top w:w="100" w:type="dxa"/>
              <w:start w:w="120" w:type="dxa"/>
              <w:bottom w:w="100" w:type="dxa"/>
              <w:end w:w="120" w:type="dxa"/>
            </w:tcMar>
            <w:shd w:fill="F3F6FA"/>
          </w:tcPr>
          <w:p>
            <w:pPr>
              <w:jc w:val="left"/>
            </w:pPr>
            <w:r>
              <w:rPr>
                <w:sz w:val="18"/>
              </w:rPr>
              <w:t>Sesiones invalidas no continúan activas.</w:t>
            </w:r>
          </w:p>
        </w:tc>
      </w:tr>
      <w:tr>
        <w:tc>
          <w:tcPr>
            <w:tcW w:type="dxa" w:w="1584"/>
            <w:vAlign w:val="center"/>
            <w:tcMar>
              <w:top w:w="100" w:type="dxa"/>
              <w:start w:w="120" w:type="dxa"/>
              <w:bottom w:w="100" w:type="dxa"/>
              <w:end w:w="120" w:type="dxa"/>
            </w:tcMar>
          </w:tcPr>
          <w:p>
            <w:pPr>
              <w:jc w:val="center"/>
            </w:pPr>
            <w:r>
              <w:rPr>
                <w:sz w:val="18"/>
              </w:rPr>
              <w:t>RLS y grants</w:t>
            </w:r>
          </w:p>
        </w:tc>
        <w:tc>
          <w:tcPr>
            <w:tcW w:type="dxa" w:w="5544"/>
            <w:vAlign w:val="center"/>
            <w:tcMar>
              <w:top w:w="100" w:type="dxa"/>
              <w:start w:w="120" w:type="dxa"/>
              <w:bottom w:w="100" w:type="dxa"/>
              <w:end w:w="120" w:type="dxa"/>
            </w:tcMar>
          </w:tcPr>
          <w:p>
            <w:pPr>
              <w:jc w:val="left"/>
            </w:pPr>
            <w:r>
              <w:rPr>
                <w:sz w:val="18"/>
              </w:rPr>
              <w:t>RLS forced con politicas separadas y rol runtime sin mutacion directa de roles ni actualizacion de auditoria.</w:t>
            </w:r>
          </w:p>
        </w:tc>
        <w:tc>
          <w:tcPr>
            <w:tcW w:type="dxa" w:w="3384"/>
            <w:vAlign w:val="center"/>
            <w:tcMar>
              <w:top w:w="100" w:type="dxa"/>
              <w:start w:w="120" w:type="dxa"/>
              <w:bottom w:w="100" w:type="dxa"/>
              <w:end w:w="120" w:type="dxa"/>
            </w:tcMar>
          </w:tcPr>
          <w:p>
            <w:pPr>
              <w:jc w:val="left"/>
            </w:pPr>
            <w:r>
              <w:rPr>
                <w:sz w:val="18"/>
              </w:rPr>
              <w:t>Aislamiento tenant y minimo privilegio verificables.</w:t>
            </w:r>
          </w:p>
        </w:tc>
      </w:tr>
      <w:tr>
        <w:tc>
          <w:tcPr>
            <w:tcW w:type="dxa" w:w="1584"/>
            <w:vAlign w:val="center"/>
            <w:tcMar>
              <w:top w:w="100" w:type="dxa"/>
              <w:start w:w="120" w:type="dxa"/>
              <w:bottom w:w="100" w:type="dxa"/>
              <w:end w:w="120" w:type="dxa"/>
            </w:tcMar>
            <w:shd w:fill="F3F6FA"/>
          </w:tcPr>
          <w:p>
            <w:pPr>
              <w:jc w:val="center"/>
            </w:pPr>
            <w:r>
              <w:rPr>
                <w:sz w:val="18"/>
              </w:rPr>
              <w:t>Migraciones</w:t>
            </w:r>
          </w:p>
        </w:tc>
        <w:tc>
          <w:tcPr>
            <w:tcW w:type="dxa" w:w="5544"/>
            <w:vAlign w:val="center"/>
            <w:tcMar>
              <w:top w:w="100" w:type="dxa"/>
              <w:start w:w="120" w:type="dxa"/>
              <w:bottom w:w="100" w:type="dxa"/>
              <w:end w:w="120" w:type="dxa"/>
            </w:tcMar>
            <w:shd w:fill="F3F6FA"/>
          </w:tcPr>
          <w:p>
            <w:pPr>
              <w:jc w:val="left"/>
            </w:pPr>
            <w:r>
              <w:rPr>
                <w:sz w:val="18"/>
              </w:rPr>
              <w:t>DDL Alembic explicito, checks de scope de roles, indices de unicidad y triggers de integridad relacional.</w:t>
            </w:r>
          </w:p>
        </w:tc>
        <w:tc>
          <w:tcPr>
            <w:tcW w:type="dxa" w:w="3384"/>
            <w:vAlign w:val="center"/>
            <w:tcMar>
              <w:top w:w="100" w:type="dxa"/>
              <w:start w:w="120" w:type="dxa"/>
              <w:bottom w:w="100" w:type="dxa"/>
              <w:end w:w="120" w:type="dxa"/>
            </w:tcMar>
            <w:shd w:fill="F3F6FA"/>
          </w:tcPr>
          <w:p>
            <w:pPr>
              <w:jc w:val="left"/>
            </w:pPr>
            <w:r>
              <w:rPr>
                <w:sz w:val="18"/>
              </w:rPr>
              <w:t>Esquema reproducible y restricciones en base de datos.</w:t>
            </w:r>
          </w:p>
        </w:tc>
      </w:tr>
      <w:tr>
        <w:tc>
          <w:tcPr>
            <w:tcW w:type="dxa" w:w="1584"/>
            <w:vAlign w:val="center"/>
            <w:tcMar>
              <w:top w:w="100" w:type="dxa"/>
              <w:start w:w="120" w:type="dxa"/>
              <w:bottom w:w="100" w:type="dxa"/>
              <w:end w:w="120" w:type="dxa"/>
            </w:tcMar>
          </w:tcPr>
          <w:p>
            <w:pPr>
              <w:jc w:val="center"/>
            </w:pPr>
            <w:r>
              <w:rPr>
                <w:sz w:val="18"/>
              </w:rPr>
              <w:t>Concurrencia</w:t>
            </w:r>
          </w:p>
        </w:tc>
        <w:tc>
          <w:tcPr>
            <w:tcW w:type="dxa" w:w="5544"/>
            <w:vAlign w:val="center"/>
            <w:tcMar>
              <w:top w:w="100" w:type="dxa"/>
              <w:start w:w="120" w:type="dxa"/>
              <w:bottom w:w="100" w:type="dxa"/>
              <w:end w:w="120" w:type="dxa"/>
            </w:tcMar>
          </w:tcPr>
          <w:p>
            <w:pPr>
              <w:jc w:val="left"/>
            </w:pPr>
            <w:r>
              <w:rPr>
                <w:sz w:val="18"/>
              </w:rPr>
              <w:t>Advisory locks para bootstrap, ultimo owner y secuenciacion de auditoria. Recovery usa FOR UPDATE.</w:t>
            </w:r>
          </w:p>
        </w:tc>
        <w:tc>
          <w:tcPr>
            <w:tcW w:type="dxa" w:w="3384"/>
            <w:vAlign w:val="center"/>
            <w:tcMar>
              <w:top w:w="100" w:type="dxa"/>
              <w:start w:w="120" w:type="dxa"/>
              <w:bottom w:w="100" w:type="dxa"/>
              <w:end w:w="120" w:type="dxa"/>
            </w:tcMar>
          </w:tcPr>
          <w:p>
            <w:pPr>
              <w:jc w:val="left"/>
            </w:pPr>
            <w:r>
              <w:rPr>
                <w:sz w:val="18"/>
              </w:rPr>
              <w:t>Evita carreras de bootstrap, ownership y doble consumo.</w:t>
            </w:r>
          </w:p>
        </w:tc>
      </w:tr>
      <w:tr>
        <w:tc>
          <w:tcPr>
            <w:tcW w:type="dxa" w:w="1584"/>
            <w:vAlign w:val="center"/>
            <w:tcMar>
              <w:top w:w="100" w:type="dxa"/>
              <w:start w:w="120" w:type="dxa"/>
              <w:bottom w:w="100" w:type="dxa"/>
              <w:end w:w="120" w:type="dxa"/>
            </w:tcMar>
            <w:shd w:fill="F3F6FA"/>
          </w:tcPr>
          <w:p>
            <w:pPr>
              <w:jc w:val="center"/>
            </w:pPr>
            <w:r>
              <w:rPr>
                <w:sz w:val="18"/>
              </w:rPr>
              <w:t>Auditoria</w:t>
            </w:r>
          </w:p>
        </w:tc>
        <w:tc>
          <w:tcPr>
            <w:tcW w:type="dxa" w:w="5544"/>
            <w:vAlign w:val="center"/>
            <w:tcMar>
              <w:top w:w="100" w:type="dxa"/>
              <w:start w:w="120" w:type="dxa"/>
              <w:bottom w:w="100" w:type="dxa"/>
              <w:end w:w="120" w:type="dxa"/>
            </w:tcMar>
            <w:shd w:fill="F3F6FA"/>
          </w:tcPr>
          <w:p>
            <w:pPr>
              <w:jc w:val="left"/>
            </w:pPr>
            <w:r>
              <w:rPr>
                <w:sz w:val="18"/>
              </w:rPr>
              <w:t>Cadena hash con material canonico, UTC, identificador de evento, actor type y lock por organizacion.</w:t>
            </w:r>
          </w:p>
        </w:tc>
        <w:tc>
          <w:tcPr>
            <w:tcW w:type="dxa" w:w="3384"/>
            <w:vAlign w:val="center"/>
            <w:tcMar>
              <w:top w:w="100" w:type="dxa"/>
              <w:start w:w="120" w:type="dxa"/>
              <w:bottom w:w="100" w:type="dxa"/>
              <w:end w:w="120" w:type="dxa"/>
            </w:tcMar>
            <w:shd w:fill="F3F6FA"/>
          </w:tcPr>
          <w:p>
            <w:pPr>
              <w:jc w:val="left"/>
            </w:pPr>
            <w:r>
              <w:rPr>
                <w:sz w:val="18"/>
              </w:rPr>
              <w:t>Cadena mas trazable sin ampliar privilegios runtime.</w:t>
            </w:r>
          </w:p>
        </w:tc>
      </w:tr>
      <w:tr>
        <w:tc>
          <w:tcPr>
            <w:tcW w:type="dxa" w:w="1584"/>
            <w:vAlign w:val="center"/>
            <w:tcMar>
              <w:top w:w="100" w:type="dxa"/>
              <w:start w:w="120" w:type="dxa"/>
              <w:bottom w:w="100" w:type="dxa"/>
              <w:end w:w="120" w:type="dxa"/>
            </w:tcMar>
          </w:tcPr>
          <w:p>
            <w:pPr>
              <w:jc w:val="center"/>
            </w:pPr>
            <w:r>
              <w:rPr>
                <w:sz w:val="18"/>
              </w:rPr>
              <w:t>Outbox</w:t>
            </w:r>
          </w:p>
        </w:tc>
        <w:tc>
          <w:tcPr>
            <w:tcW w:type="dxa" w:w="5544"/>
            <w:vAlign w:val="center"/>
            <w:tcMar>
              <w:top w:w="100" w:type="dxa"/>
              <w:start w:w="120" w:type="dxa"/>
              <w:bottom w:w="100" w:type="dxa"/>
              <w:end w:w="120" w:type="dxa"/>
            </w:tcMar>
          </w:tcPr>
          <w:p>
            <w:pPr>
              <w:jc w:val="left"/>
            </w:pPr>
            <w:r>
              <w:rPr>
                <w:sz w:val="18"/>
              </w:rPr>
              <w:t>Clave de idempotencia parcial e indice de eventos pendientes.</w:t>
            </w:r>
          </w:p>
        </w:tc>
        <w:tc>
          <w:tcPr>
            <w:tcW w:type="dxa" w:w="3384"/>
            <w:vAlign w:val="center"/>
            <w:tcMar>
              <w:top w:w="100" w:type="dxa"/>
              <w:start w:w="120" w:type="dxa"/>
              <w:bottom w:w="100" w:type="dxa"/>
              <w:end w:w="120" w:type="dxa"/>
            </w:tcMar>
          </w:tcPr>
          <w:p>
            <w:pPr>
              <w:jc w:val="left"/>
            </w:pPr>
            <w:r>
              <w:rPr>
                <w:sz w:val="18"/>
              </w:rPr>
              <w:t>Base transaccional para publicacion futura controlada.</w:t>
            </w:r>
          </w:p>
        </w:tc>
      </w:tr>
      <w:tr>
        <w:tc>
          <w:tcPr>
            <w:tcW w:type="dxa" w:w="1584"/>
            <w:vAlign w:val="center"/>
            <w:tcMar>
              <w:top w:w="100" w:type="dxa"/>
              <w:start w:w="120" w:type="dxa"/>
              <w:bottom w:w="100" w:type="dxa"/>
              <w:end w:w="120" w:type="dxa"/>
            </w:tcMar>
            <w:shd w:fill="F3F6FA"/>
          </w:tcPr>
          <w:p>
            <w:pPr>
              <w:jc w:val="center"/>
            </w:pPr>
            <w:r>
              <w:rPr>
                <w:sz w:val="18"/>
              </w:rPr>
              <w:t>Operacion</w:t>
            </w:r>
          </w:p>
        </w:tc>
        <w:tc>
          <w:tcPr>
            <w:tcW w:type="dxa" w:w="5544"/>
            <w:vAlign w:val="center"/>
            <w:tcMar>
              <w:top w:w="100" w:type="dxa"/>
              <w:start w:w="120" w:type="dxa"/>
              <w:bottom w:w="100" w:type="dxa"/>
              <w:end w:w="120" w:type="dxa"/>
            </w:tcMar>
            <w:shd w:fill="F3F6FA"/>
          </w:tcPr>
          <w:p>
            <w:pPr>
              <w:jc w:val="left"/>
            </w:pPr>
            <w:r>
              <w:rPr>
                <w:sz w:val="18"/>
              </w:rPr>
              <w:t>Engine SQLAlchemy cacheado y comando de alta gestionada con password oculto.</w:t>
            </w:r>
          </w:p>
        </w:tc>
        <w:tc>
          <w:tcPr>
            <w:tcW w:type="dxa" w:w="3384"/>
            <w:vAlign w:val="center"/>
            <w:tcMar>
              <w:top w:w="100" w:type="dxa"/>
              <w:start w:w="120" w:type="dxa"/>
              <w:bottom w:w="100" w:type="dxa"/>
              <w:end w:w="120" w:type="dxa"/>
            </w:tcMar>
            <w:shd w:fill="F3F6FA"/>
          </w:tcPr>
          <w:p>
            <w:pPr>
              <w:jc w:val="left"/>
            </w:pPr>
            <w:r>
              <w:rPr>
                <w:sz w:val="18"/>
              </w:rPr>
              <w:t>Menor costo de conexion y sin credenciales en argumentos o salida.</w:t>
            </w:r>
          </w:p>
        </w:tc>
      </w:tr>
    </w:tbl>
    <w:p/>
    <w:p>
      <w:pPr>
        <w:pStyle w:val="Heading1"/>
      </w:pPr>
      <w:r>
        <w:t>Evidencia de validacion</w:t>
      </w:r>
    </w:p>
    <w:tbl>
      <w:tblPr>
        <w:tblStyle w:val="TableGrid"/>
        <w:tblW w:type="auto" w:w="0"/>
        <w:tblLayout w:type="fixed"/>
        <w:tblLook w:firstColumn="1" w:firstRow="1" w:lastColumn="0" w:lastRow="0" w:noHBand="0" w:noVBand="1" w:val="04A0"/>
      </w:tblPr>
      <w:tblGrid>
        <w:gridCol w:w="3312"/>
        <w:gridCol w:w="3312"/>
        <w:gridCol w:w="3312"/>
      </w:tblGrid>
      <w:tr>
        <w:trPr>
          <w:tblHeader w:val="true"/>
        </w:trPr>
        <w:tc>
          <w:tcPr>
            <w:tcW w:type="dxa" w:w="2088"/>
            <w:vAlign w:val="center"/>
            <w:shd w:fill="17365D"/>
            <w:tcMar>
              <w:top w:w="100" w:type="dxa"/>
              <w:start w:w="120" w:type="dxa"/>
              <w:bottom w:w="100" w:type="dxa"/>
              <w:end w:w="120" w:type="dxa"/>
            </w:tcMar>
          </w:tcPr>
          <w:p>
            <w:pPr>
              <w:jc w:val="center"/>
            </w:pPr>
            <w:r>
              <w:rPr>
                <w:b/>
                <w:color w:val="FFFFFF"/>
                <w:sz w:val="18"/>
              </w:rPr>
              <w:t>Compuerta</w:t>
            </w:r>
          </w:p>
        </w:tc>
        <w:tc>
          <w:tcPr>
            <w:tcW w:type="dxa" w:w="1296"/>
            <w:vAlign w:val="center"/>
            <w:shd w:fill="17365D"/>
            <w:tcMar>
              <w:top w:w="100" w:type="dxa"/>
              <w:start w:w="120" w:type="dxa"/>
              <w:bottom w:w="100" w:type="dxa"/>
              <w:end w:w="120" w:type="dxa"/>
            </w:tcMar>
          </w:tcPr>
          <w:p>
            <w:pPr>
              <w:jc w:val="center"/>
            </w:pPr>
            <w:r>
              <w:rPr>
                <w:b/>
                <w:color w:val="FFFFFF"/>
                <w:sz w:val="18"/>
              </w:rPr>
              <w:t>Resultado</w:t>
            </w:r>
          </w:p>
        </w:tc>
        <w:tc>
          <w:tcPr>
            <w:tcW w:type="dxa" w:w="7128"/>
            <w:vAlign w:val="center"/>
            <w:shd w:fill="17365D"/>
            <w:tcMar>
              <w:top w:w="100" w:type="dxa"/>
              <w:start w:w="120" w:type="dxa"/>
              <w:bottom w:w="100" w:type="dxa"/>
              <w:end w:w="120" w:type="dxa"/>
            </w:tcMar>
          </w:tcPr>
          <w:p>
            <w:pPr>
              <w:jc w:val="center"/>
            </w:pPr>
            <w:r>
              <w:rPr>
                <w:b/>
                <w:color w:val="FFFFFF"/>
                <w:sz w:val="18"/>
              </w:rPr>
              <w:t>Evidencia</w:t>
            </w:r>
          </w:p>
        </w:tc>
      </w:tr>
      <w:tr>
        <w:tc>
          <w:tcPr>
            <w:tcW w:type="dxa" w:w="2088"/>
            <w:vAlign w:val="center"/>
            <w:tcMar>
              <w:top w:w="100" w:type="dxa"/>
              <w:start w:w="120" w:type="dxa"/>
              <w:bottom w:w="100" w:type="dxa"/>
              <w:end w:w="120" w:type="dxa"/>
            </w:tcMar>
          </w:tcPr>
          <w:p>
            <w:pPr>
              <w:jc w:val="center"/>
            </w:pPr>
            <w:r>
              <w:rPr>
                <w:sz w:val="18"/>
              </w:rPr>
              <w:t>Archivo fuente</w:t>
            </w:r>
          </w:p>
        </w:tc>
        <w:tc>
          <w:tcPr>
            <w:tcW w:type="dxa" w:w="1296"/>
            <w:vAlign w:val="center"/>
            <w:tcMar>
              <w:top w:w="100" w:type="dxa"/>
              <w:start w:w="120" w:type="dxa"/>
              <w:bottom w:w="100" w:type="dxa"/>
              <w:end w:w="120" w:type="dxa"/>
            </w:tcMar>
          </w:tcPr>
          <w:p>
            <w:pPr>
              <w:jc w:val="left"/>
            </w:pPr>
            <w:r>
              <w:rPr>
                <w:sz w:val="18"/>
              </w:rPr>
              <w:t>PASS</w:t>
            </w:r>
          </w:p>
        </w:tc>
        <w:tc>
          <w:tcPr>
            <w:tcW w:type="dxa" w:w="7128"/>
            <w:vAlign w:val="center"/>
            <w:tcMar>
              <w:top w:w="100" w:type="dxa"/>
              <w:start w:w="120" w:type="dxa"/>
              <w:bottom w:w="100" w:type="dxa"/>
              <w:end w:w="120" w:type="dxa"/>
            </w:tcMar>
          </w:tcPr>
          <w:p>
            <w:pPr>
              <w:jc w:val="left"/>
            </w:pPr>
            <w:r>
              <w:rPr>
                <w:sz w:val="18"/>
              </w:rPr>
              <w:t>SHA 256 del ZIP de entrada verificado antes de extraer.</w:t>
            </w:r>
          </w:p>
        </w:tc>
      </w:tr>
      <w:tr>
        <w:tc>
          <w:tcPr>
            <w:tcW w:type="dxa" w:w="2088"/>
            <w:vAlign w:val="center"/>
            <w:tcMar>
              <w:top w:w="100" w:type="dxa"/>
              <w:start w:w="120" w:type="dxa"/>
              <w:bottom w:w="100" w:type="dxa"/>
              <w:end w:w="120" w:type="dxa"/>
            </w:tcMar>
            <w:shd w:fill="F3F6FA"/>
          </w:tcPr>
          <w:p>
            <w:pPr>
              <w:jc w:val="center"/>
            </w:pPr>
            <w:r>
              <w:rPr>
                <w:sz w:val="18"/>
              </w:rPr>
              <w:t>Compose</w:t>
            </w:r>
          </w:p>
        </w:tc>
        <w:tc>
          <w:tcPr>
            <w:tcW w:type="dxa" w:w="1296"/>
            <w:vAlign w:val="center"/>
            <w:tcMar>
              <w:top w:w="100" w:type="dxa"/>
              <w:start w:w="120" w:type="dxa"/>
              <w:bottom w:w="100" w:type="dxa"/>
              <w:end w:w="120" w:type="dxa"/>
            </w:tcMar>
            <w:shd w:fill="F3F6FA"/>
          </w:tcPr>
          <w:p>
            <w:pPr>
              <w:jc w:val="left"/>
            </w:pPr>
            <w:r>
              <w:rPr>
                <w:sz w:val="18"/>
              </w:rPr>
              <w:t>PASS</w:t>
            </w:r>
          </w:p>
        </w:tc>
        <w:tc>
          <w:tcPr>
            <w:tcW w:type="dxa" w:w="7128"/>
            <w:vAlign w:val="center"/>
            <w:tcMar>
              <w:top w:w="100" w:type="dxa"/>
              <w:start w:w="120" w:type="dxa"/>
              <w:bottom w:w="100" w:type="dxa"/>
              <w:end w:w="120" w:type="dxa"/>
            </w:tcMar>
            <w:shd w:fill="F3F6FA"/>
          </w:tcPr>
          <w:p>
            <w:pPr>
              <w:jc w:val="left"/>
            </w:pPr>
            <w:r>
              <w:rPr>
                <w:sz w:val="18"/>
              </w:rPr>
              <w:t>Configuracion valida y stack aislado saludable en http://127.0.0.1:8082.</w:t>
            </w:r>
          </w:p>
        </w:tc>
      </w:tr>
      <w:tr>
        <w:tc>
          <w:tcPr>
            <w:tcW w:type="dxa" w:w="2088"/>
            <w:vAlign w:val="center"/>
            <w:tcMar>
              <w:top w:w="100" w:type="dxa"/>
              <w:start w:w="120" w:type="dxa"/>
              <w:bottom w:w="100" w:type="dxa"/>
              <w:end w:w="120" w:type="dxa"/>
            </w:tcMar>
          </w:tcPr>
          <w:p>
            <w:pPr>
              <w:jc w:val="center"/>
            </w:pPr>
            <w:r>
              <w:rPr>
                <w:sz w:val="18"/>
              </w:rPr>
              <w:t>Alembic</w:t>
            </w:r>
          </w:p>
        </w:tc>
        <w:tc>
          <w:tcPr>
            <w:tcW w:type="dxa" w:w="1296"/>
            <w:vAlign w:val="center"/>
            <w:tcMar>
              <w:top w:w="100" w:type="dxa"/>
              <w:start w:w="120" w:type="dxa"/>
              <w:bottom w:w="100" w:type="dxa"/>
              <w:end w:w="120" w:type="dxa"/>
            </w:tcMar>
          </w:tcPr>
          <w:p>
            <w:pPr>
              <w:jc w:val="left"/>
            </w:pPr>
            <w:r>
              <w:rPr>
                <w:sz w:val="18"/>
              </w:rPr>
              <w:t>PASS</w:t>
            </w:r>
          </w:p>
        </w:tc>
        <w:tc>
          <w:tcPr>
            <w:tcW w:type="dxa" w:w="7128"/>
            <w:vAlign w:val="center"/>
            <w:tcMar>
              <w:top w:w="100" w:type="dxa"/>
              <w:start w:w="120" w:type="dxa"/>
              <w:bottom w:w="100" w:type="dxa"/>
              <w:end w:w="120" w:type="dxa"/>
            </w:tcMar>
          </w:tcPr>
          <w:p>
            <w:pPr>
              <w:jc w:val="left"/>
            </w:pPr>
            <w:r>
              <w:rPr>
                <w:sz w:val="18"/>
              </w:rPr>
              <w:t>Instalacion limpia, downgrade de una revision y re upgrade completados en base temporal.</w:t>
            </w:r>
          </w:p>
        </w:tc>
      </w:tr>
      <w:tr>
        <w:tc>
          <w:tcPr>
            <w:tcW w:type="dxa" w:w="2088"/>
            <w:vAlign w:val="center"/>
            <w:tcMar>
              <w:top w:w="100" w:type="dxa"/>
              <w:start w:w="120" w:type="dxa"/>
              <w:bottom w:w="100" w:type="dxa"/>
              <w:end w:w="120" w:type="dxa"/>
            </w:tcMar>
            <w:shd w:fill="F3F6FA"/>
          </w:tcPr>
          <w:p>
            <w:pPr>
              <w:jc w:val="center"/>
            </w:pPr>
            <w:r>
              <w:rPr>
                <w:sz w:val="18"/>
              </w:rPr>
              <w:t>HTTP smoke</w:t>
            </w:r>
          </w:p>
        </w:tc>
        <w:tc>
          <w:tcPr>
            <w:tcW w:type="dxa" w:w="1296"/>
            <w:vAlign w:val="center"/>
            <w:tcMar>
              <w:top w:w="100" w:type="dxa"/>
              <w:start w:w="120" w:type="dxa"/>
              <w:bottom w:w="100" w:type="dxa"/>
              <w:end w:w="120" w:type="dxa"/>
            </w:tcMar>
            <w:shd w:fill="F3F6FA"/>
          </w:tcPr>
          <w:p>
            <w:pPr>
              <w:jc w:val="left"/>
            </w:pPr>
            <w:r>
              <w:rPr>
                <w:sz w:val="18"/>
              </w:rPr>
              <w:t>PASS</w:t>
            </w:r>
          </w:p>
        </w:tc>
        <w:tc>
          <w:tcPr>
            <w:tcW w:type="dxa" w:w="7128"/>
            <w:vAlign w:val="center"/>
            <w:tcMar>
              <w:top w:w="100" w:type="dxa"/>
              <w:start w:w="120" w:type="dxa"/>
              <w:bottom w:w="100" w:type="dxa"/>
              <w:end w:w="120" w:type="dxa"/>
            </w:tcMar>
            <w:shd w:fill="F3F6FA"/>
          </w:tcPr>
          <w:p>
            <w:pPr>
              <w:jc w:val="left"/>
            </w:pPr>
            <w:r>
              <w:rPr>
                <w:sz w:val="18"/>
              </w:rPr>
              <w:t>Login, cookie opaca, CSRF, me, roles, RLS, auditoria, If Match y recovery.</w:t>
            </w:r>
          </w:p>
        </w:tc>
      </w:tr>
      <w:tr>
        <w:tc>
          <w:tcPr>
            <w:tcW w:type="dxa" w:w="2088"/>
            <w:vAlign w:val="center"/>
            <w:tcMar>
              <w:top w:w="100" w:type="dxa"/>
              <w:start w:w="120" w:type="dxa"/>
              <w:bottom w:w="100" w:type="dxa"/>
              <w:end w:w="120" w:type="dxa"/>
            </w:tcMar>
          </w:tcPr>
          <w:p>
            <w:pPr>
              <w:jc w:val="center"/>
            </w:pPr>
            <w:r>
              <w:rPr>
                <w:sz w:val="18"/>
              </w:rPr>
              <w:t>RLS real</w:t>
            </w:r>
          </w:p>
        </w:tc>
        <w:tc>
          <w:tcPr>
            <w:tcW w:type="dxa" w:w="1296"/>
            <w:vAlign w:val="center"/>
            <w:tcMar>
              <w:top w:w="100" w:type="dxa"/>
              <w:start w:w="120" w:type="dxa"/>
              <w:bottom w:w="100" w:type="dxa"/>
              <w:end w:w="120" w:type="dxa"/>
            </w:tcMar>
          </w:tcPr>
          <w:p>
            <w:pPr>
              <w:jc w:val="left"/>
            </w:pPr>
            <w:r>
              <w:rPr>
                <w:sz w:val="18"/>
              </w:rPr>
              <w:t>PASS</w:t>
            </w:r>
          </w:p>
        </w:tc>
        <w:tc>
          <w:tcPr>
            <w:tcW w:type="dxa" w:w="7128"/>
            <w:vAlign w:val="center"/>
            <w:tcMar>
              <w:top w:w="100" w:type="dxa"/>
              <w:start w:w="120" w:type="dxa"/>
              <w:bottom w:w="100" w:type="dxa"/>
              <w:end w:w="120" w:type="dxa"/>
            </w:tcMar>
          </w:tcPr>
          <w:p>
            <w:pPr>
              <w:jc w:val="left"/>
            </w:pPr>
            <w:r>
              <w:rPr>
                <w:sz w:val="18"/>
              </w:rPr>
              <w:t>Runtime ve una sola organizacion con contexto y no puede insertar roles ni actualizar auditoria.</w:t>
            </w:r>
          </w:p>
        </w:tc>
      </w:tr>
      <w:tr>
        <w:tc>
          <w:tcPr>
            <w:tcW w:type="dxa" w:w="2088"/>
            <w:vAlign w:val="center"/>
            <w:tcMar>
              <w:top w:w="100" w:type="dxa"/>
              <w:start w:w="120" w:type="dxa"/>
              <w:bottom w:w="100" w:type="dxa"/>
              <w:end w:w="120" w:type="dxa"/>
            </w:tcMar>
            <w:shd w:fill="F3F6FA"/>
          </w:tcPr>
          <w:p>
            <w:pPr>
              <w:jc w:val="center"/>
            </w:pPr>
            <w:r>
              <w:rPr>
                <w:sz w:val="18"/>
              </w:rPr>
              <w:t>Ruff</w:t>
            </w:r>
          </w:p>
        </w:tc>
        <w:tc>
          <w:tcPr>
            <w:tcW w:type="dxa" w:w="1296"/>
            <w:vAlign w:val="center"/>
            <w:tcMar>
              <w:top w:w="100" w:type="dxa"/>
              <w:start w:w="120" w:type="dxa"/>
              <w:bottom w:w="100" w:type="dxa"/>
              <w:end w:w="120" w:type="dxa"/>
            </w:tcMar>
            <w:shd w:fill="F3F6FA"/>
          </w:tcPr>
          <w:p>
            <w:pPr>
              <w:jc w:val="left"/>
            </w:pPr>
            <w:r>
              <w:rPr>
                <w:sz w:val="18"/>
              </w:rPr>
              <w:t>PASS</w:t>
            </w:r>
          </w:p>
        </w:tc>
        <w:tc>
          <w:tcPr>
            <w:tcW w:type="dxa" w:w="7128"/>
            <w:vAlign w:val="center"/>
            <w:tcMar>
              <w:top w:w="100" w:type="dxa"/>
              <w:start w:w="120" w:type="dxa"/>
              <w:bottom w:w="100" w:type="dxa"/>
              <w:end w:w="120" w:type="dxa"/>
            </w:tcMar>
            <w:shd w:fill="F3F6FA"/>
          </w:tcPr>
          <w:p>
            <w:pPr>
              <w:jc w:val="left"/>
            </w:pPr>
            <w:r>
              <w:rPr>
                <w:sz w:val="18"/>
              </w:rPr>
              <w:t>Formato y lint de backend y tests sin hallazgos.</w:t>
            </w:r>
          </w:p>
        </w:tc>
      </w:tr>
      <w:tr>
        <w:tc>
          <w:tcPr>
            <w:tcW w:type="dxa" w:w="2088"/>
            <w:vAlign w:val="center"/>
            <w:tcMar>
              <w:top w:w="100" w:type="dxa"/>
              <w:start w:w="120" w:type="dxa"/>
              <w:bottom w:w="100" w:type="dxa"/>
              <w:end w:w="120" w:type="dxa"/>
            </w:tcMar>
          </w:tcPr>
          <w:p>
            <w:pPr>
              <w:jc w:val="center"/>
            </w:pPr>
            <w:r>
              <w:rPr>
                <w:sz w:val="18"/>
              </w:rPr>
              <w:t>Secret scan</w:t>
            </w:r>
          </w:p>
        </w:tc>
        <w:tc>
          <w:tcPr>
            <w:tcW w:type="dxa" w:w="1296"/>
            <w:vAlign w:val="center"/>
            <w:tcMar>
              <w:top w:w="100" w:type="dxa"/>
              <w:start w:w="120" w:type="dxa"/>
              <w:bottom w:w="100" w:type="dxa"/>
              <w:end w:w="120" w:type="dxa"/>
            </w:tcMar>
          </w:tcPr>
          <w:p>
            <w:pPr>
              <w:jc w:val="left"/>
            </w:pPr>
            <w:r>
              <w:rPr>
                <w:sz w:val="18"/>
              </w:rPr>
              <w:t>PASS</w:t>
            </w:r>
          </w:p>
        </w:tc>
        <w:tc>
          <w:tcPr>
            <w:tcW w:type="dxa" w:w="7128"/>
            <w:vAlign w:val="center"/>
            <w:tcMar>
              <w:top w:w="100" w:type="dxa"/>
              <w:start w:w="120" w:type="dxa"/>
              <w:bottom w:w="100" w:type="dxa"/>
              <w:end w:w="120" w:type="dxa"/>
            </w:tcMar>
          </w:tcPr>
          <w:p>
            <w:pPr>
              <w:jc w:val="left"/>
            </w:pPr>
            <w:r>
              <w:rPr>
                <w:sz w:val="18"/>
              </w:rPr>
              <w:t>Sin patrones de alta confianza.</w:t>
            </w:r>
          </w:p>
        </w:tc>
      </w:tr>
      <w:tr>
        <w:tc>
          <w:tcPr>
            <w:tcW w:type="dxa" w:w="2088"/>
            <w:vAlign w:val="center"/>
            <w:tcMar>
              <w:top w:w="100" w:type="dxa"/>
              <w:start w:w="120" w:type="dxa"/>
              <w:bottom w:w="100" w:type="dxa"/>
              <w:end w:w="120" w:type="dxa"/>
            </w:tcMar>
            <w:shd w:fill="F3F6FA"/>
          </w:tcPr>
          <w:p>
            <w:pPr>
              <w:jc w:val="center"/>
            </w:pPr>
            <w:r>
              <w:rPr>
                <w:sz w:val="18"/>
              </w:rPr>
              <w:t>Frontend</w:t>
            </w:r>
          </w:p>
        </w:tc>
        <w:tc>
          <w:tcPr>
            <w:tcW w:type="dxa" w:w="1296"/>
            <w:vAlign w:val="center"/>
            <w:tcMar>
              <w:top w:w="100" w:type="dxa"/>
              <w:start w:w="120" w:type="dxa"/>
              <w:bottom w:w="100" w:type="dxa"/>
              <w:end w:w="120" w:type="dxa"/>
            </w:tcMar>
            <w:shd w:fill="F3F6FA"/>
          </w:tcPr>
          <w:p>
            <w:pPr>
              <w:jc w:val="left"/>
            </w:pPr>
            <w:r>
              <w:rPr>
                <w:sz w:val="18"/>
              </w:rPr>
              <w:t>PASS</w:t>
            </w:r>
          </w:p>
        </w:tc>
        <w:tc>
          <w:tcPr>
            <w:tcW w:type="dxa" w:w="7128"/>
            <w:vAlign w:val="center"/>
            <w:tcMar>
              <w:top w:w="100" w:type="dxa"/>
              <w:start w:w="120" w:type="dxa"/>
              <w:bottom w:w="100" w:type="dxa"/>
              <w:end w:w="120" w:type="dxa"/>
            </w:tcMar>
            <w:shd w:fill="F3F6FA"/>
          </w:tcPr>
          <w:p>
            <w:pPr>
              <w:jc w:val="left"/>
            </w:pPr>
            <w:r>
              <w:rPr>
                <w:sz w:val="18"/>
              </w:rPr>
              <w:t>Lint, typecheck, build y auditoria de dependencias de produccion.</w:t>
            </w:r>
          </w:p>
        </w:tc>
      </w:tr>
      <w:tr>
        <w:tc>
          <w:tcPr>
            <w:tcW w:type="dxa" w:w="2088"/>
            <w:vAlign w:val="center"/>
            <w:tcMar>
              <w:top w:w="100" w:type="dxa"/>
              <w:start w:w="120" w:type="dxa"/>
              <w:bottom w:w="100" w:type="dxa"/>
              <w:end w:w="120" w:type="dxa"/>
            </w:tcMar>
          </w:tcPr>
          <w:p>
            <w:pPr>
              <w:jc w:val="center"/>
            </w:pPr>
            <w:r>
              <w:rPr>
                <w:sz w:val="18"/>
              </w:rPr>
              <w:t>Pytest cobertura</w:t>
            </w:r>
          </w:p>
        </w:tc>
        <w:tc>
          <w:tcPr>
            <w:tcW w:type="dxa" w:w="1296"/>
            <w:vAlign w:val="center"/>
            <w:tcMar>
              <w:top w:w="100" w:type="dxa"/>
              <w:start w:w="120" w:type="dxa"/>
              <w:bottom w:w="100" w:type="dxa"/>
              <w:end w:w="120" w:type="dxa"/>
            </w:tcMar>
          </w:tcPr>
          <w:p>
            <w:pPr>
              <w:jc w:val="left"/>
            </w:pPr>
            <w:r>
              <w:rPr>
                <w:sz w:val="18"/>
              </w:rPr>
              <w:t>FAIL</w:t>
            </w:r>
          </w:p>
        </w:tc>
        <w:tc>
          <w:tcPr>
            <w:tcW w:type="dxa" w:w="7128"/>
            <w:vAlign w:val="center"/>
            <w:tcMar>
              <w:top w:w="100" w:type="dxa"/>
              <w:start w:w="120" w:type="dxa"/>
              <w:bottom w:w="100" w:type="dxa"/>
              <w:end w:w="120" w:type="dxa"/>
            </w:tcMar>
          </w:tcPr>
          <w:p>
            <w:pPr>
              <w:jc w:val="left"/>
            </w:pPr>
            <w:r>
              <w:rPr>
                <w:sz w:val="18"/>
              </w:rPr>
              <w:t>10 tests pasan; cobertura branch total 48.37 por ciento frente a minimo 90 por ciento.</w:t>
            </w:r>
          </w:p>
        </w:tc>
      </w:tr>
      <w:tr>
        <w:tc>
          <w:tcPr>
            <w:tcW w:type="dxa" w:w="2088"/>
            <w:vAlign w:val="center"/>
            <w:tcMar>
              <w:top w:w="100" w:type="dxa"/>
              <w:start w:w="120" w:type="dxa"/>
              <w:bottom w:w="100" w:type="dxa"/>
              <w:end w:w="120" w:type="dxa"/>
            </w:tcMar>
            <w:shd w:fill="F3F6FA"/>
          </w:tcPr>
          <w:p>
            <w:pPr>
              <w:jc w:val="center"/>
            </w:pPr>
            <w:r>
              <w:rPr>
                <w:sz w:val="18"/>
              </w:rPr>
              <w:t>pip audit</w:t>
            </w:r>
          </w:p>
        </w:tc>
        <w:tc>
          <w:tcPr>
            <w:tcW w:type="dxa" w:w="1296"/>
            <w:vAlign w:val="center"/>
            <w:tcMar>
              <w:top w:w="100" w:type="dxa"/>
              <w:start w:w="120" w:type="dxa"/>
              <w:bottom w:w="100" w:type="dxa"/>
              <w:end w:w="120" w:type="dxa"/>
            </w:tcMar>
            <w:shd w:fill="F3F6FA"/>
          </w:tcPr>
          <w:p>
            <w:pPr>
              <w:jc w:val="left"/>
            </w:pPr>
            <w:r>
              <w:rPr>
                <w:sz w:val="18"/>
              </w:rPr>
              <w:t>PENDIENTE</w:t>
            </w:r>
          </w:p>
        </w:tc>
        <w:tc>
          <w:tcPr>
            <w:tcW w:type="dxa" w:w="7128"/>
            <w:vAlign w:val="center"/>
            <w:tcMar>
              <w:top w:w="100" w:type="dxa"/>
              <w:start w:w="120" w:type="dxa"/>
              <w:bottom w:w="100" w:type="dxa"/>
              <w:end w:w="120" w:type="dxa"/>
            </w:tcMar>
            <w:shd w:fill="F3F6FA"/>
          </w:tcPr>
          <w:p>
            <w:pPr>
              <w:jc w:val="left"/>
            </w:pPr>
            <w:r>
              <w:rPr>
                <w:sz w:val="18"/>
              </w:rPr>
              <w:t>No pudo consultar pypi.org por fallo de resolucion DNS. No se declara resultado limpio.</w:t>
            </w:r>
          </w:p>
        </w:tc>
      </w:tr>
    </w:tbl>
    <w:p/>
    <w:p>
      <w:pPr>
        <w:pStyle w:val="Heading1"/>
      </w:pPr>
      <w:r>
        <w:t>Riesgos y condicion de aceptacion</w:t>
      </w:r>
    </w:p>
    <w:p>
      <w:r>
        <w:t>La correccion funcional no sustituye la cobertura requerida. Mientras no se alcancen las compuertas pendientes, no debe etiquetarse el artefacto como aceptado ni como listo para produccion. No se deben reducir umbrales, omitir pruebas, debilitar RLS, eliminar CSRF, unificar roles de base de datos ni conceder UPDATE sobre la auditoria para desbloquear la entrega.</w:t>
      </w:r>
    </w:p>
    <w:p>
      <w:pPr>
        <w:pStyle w:val="Heading1"/>
      </w:pPr>
      <w:r>
        <w:t>Siguientes pasos obligatorios</w:t>
      </w:r>
    </w:p>
    <w:p>
      <w:pPr>
        <w:pStyle w:val="ListBullet"/>
        <w:spacing w:after="60"/>
      </w:pPr>
      <w:r>
        <w:t>Ampliar pruebas de integracion, concurrencia y contratos hasta obtener cobertura branch de al menos 90 por ciento.</w:t>
      </w:r>
    </w:p>
    <w:p>
      <w:pPr>
        <w:pStyle w:val="ListBullet"/>
        <w:spacing w:after="60"/>
      </w:pPr>
      <w:r>
        <w:t>Repetir pip audit en un entorno de calidad con acceso DNS y resolver cualquier hallazgo antes de aceptar.</w:t>
      </w:r>
    </w:p>
    <w:p>
      <w:pPr>
        <w:pStyle w:val="ListBullet"/>
        <w:spacing w:after="60"/>
      </w:pPr>
      <w:r>
        <w:t>Reejecutar las compuertas completas y actualizar este informe con resultados reproducibles.</w:t>
      </w:r>
    </w:p>
    <w:p>
      <w:pPr>
        <w:pStyle w:val="ListBullet"/>
        <w:spacing w:after="60"/>
      </w:pPr>
      <w:r>
        <w:t>Solo despues de la aceptacion formal, planificar el siguiente sprint desde una nueva copia aislada.</w:t>
      </w:r>
    </w:p>
    <w:p>
      <w:pPr>
        <w:pStyle w:val="Heading1"/>
      </w:pPr>
      <w:r>
        <w:t>Integridad del artefacto</w:t>
      </w:r>
    </w:p>
    <w:p>
      <w:r>
        <w:t>El ZIP de entrega fue creado excluyendo .env, node modules, dist, coverage, caches y archivos Python compilados. Su SHA 256 se registra externamente al empaquetar para evitar que el documento se autoreferencie con un valor obsoleto.</w:t>
      </w:r>
    </w:p>
    <w:sectPr w:rsidR="00FC693F" w:rsidRPr="0006063C" w:rsidSect="00034616">
      <w:footerReference w:type="default" r:id="rId9"/>
      <w:pgSz w:w="12240" w:h="15840"/>
      <w:pgMar w:top="1037"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SentinelAI  Sprint 1B1  Informe de remediacion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