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F3864"/>
          <w:sz w:val="56"/>
        </w:rPr>
        <w:t>为 AI Agent 服务的数据中台</w:t>
      </w:r>
    </w:p>
    <w:p>
      <w:pPr>
        <w:jc w:val="center"/>
      </w:pPr>
      <w:r>
        <w:rPr>
          <w:rFonts w:ascii="Microsoft YaHei" w:hAnsi="Microsoft YaHei" w:eastAsia="Microsoft YaHei"/>
          <w:color w:val="2F5496"/>
          <w:sz w:val="36"/>
        </w:rPr>
        <w:t>技术架构白皮书</w:t>
      </w:r>
    </w:p>
    <w:p/>
    <w:p>
      <w:pPr>
        <w:jc w:val="center"/>
      </w:pPr>
      <w:r>
        <w:rPr>
          <w:rFonts w:ascii="Microsoft YaHei" w:hAnsi="Microsoft YaHei" w:eastAsia="Microsoft YaHei"/>
          <w:i/>
          <w:color w:val="7F7F7F"/>
          <w:sz w:val="22"/>
        </w:rPr>
        <w:t>明略科技  |  2026 年 4 月  |  版本 1.0</w:t>
      </w:r>
    </w:p>
    <w:p/>
    <w:p>
      <w:pPr>
        <w:jc w:val="center"/>
      </w:pPr>
      <w:r>
        <w:rPr>
          <w:rFonts w:ascii="Microsoft YaHei" w:hAnsi="Microsoft YaHei" w:eastAsia="Microsoft YaHei"/>
          <w:color w:val="999999"/>
          <w:sz w:val="18"/>
        </w:rPr>
        <w:t>机密文件，仅限内部及授权客户使用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随着生成式 AI 与 AI Agent 技术的快速演进，企业数据平台正面临深层次的范式转变：数据不再只是服务人的决策工具，更是驱动 AI Agent 自主完成分析、触达、决策的核心基础设施。</w:t>
      </w:r>
    </w:p>
    <w:p/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传统数据中台在面向 Agent 场景时暴露出三大结构性缺陷：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接口不标准：各业务系统各自暴露 API，Agent 无法以统一方式调用数据能力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存储不全模态：只有结构化数据库，无法支撑语义检索（向量）和关系推理（图谱）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不可观测：Agent 调用数据后无法追溯来源、版本和置信度，"AI 幻觉"无从排查</w:t>
      </w:r>
    </w:p>
    <w:p/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明略科技提出的 Agent-Ready 数据中台，以 MCP 标准协议为核心接口，构建结构化、向量、图谱全模态统一存储，并通过完整的数据治理与可观测性体系，为三类 Agent（营销 Agent、问数 Agent、工作流 Agent）提供可信、可追溯、可扩展的数据服务能力。</w:t>
      </w:r>
    </w:p>
    <w:p/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本白皮书将从业务价值、架构设计、关键技术决策和演进路线四个维度，完整呈现这一架构体系。</w:t>
      </w:r>
    </w:p>
    <w:p>
      <w:r>
        <w:br w:type="page"/>
      </w:r>
    </w:p>
    <w:p>
      <w:pPr>
        <w:pStyle w:val="Heading1"/>
      </w:pPr>
      <w:r>
        <w:t>1. 背景与挑战</w:t>
      </w:r>
    </w:p>
    <w:p>
      <w:pPr>
        <w:pStyle w:val="Heading2"/>
      </w:pPr>
      <w:r>
        <w:t>1.1  AI Agent 时代的数据需求变化</w:t>
      </w:r>
    </w:p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传统 BI 与数据平台的设计假设是"人在中间"：数据 → 报表 → 人 → 决策。在这一范式下，查询是被动触发的，延迟可以接受，结果只需人类可读。</w:t>
      </w:r>
    </w:p>
    <w:p/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AI Agent 打破了这一假设，它需要：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主动、高频调用数据能力（每次对话可能触发数十次工具调用）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跨越多种数据类型：结构化查询、非结构化语义检索、实体关系推理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数据来源可追溯，以支撑 Agent 结论的可信度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接口标准化，实现 Agent 框架无关（Claude、GPT、自研 LLM 均可接入）</w:t>
      </w:r>
    </w:p>
    <w:p/>
    <w:p>
      <w:pPr>
        <w:pStyle w:val="Heading2"/>
      </w:pPr>
      <w:r>
        <w:t>1.2  现有数据平台的三大结构性缺陷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缺陷维度</w:t>
            </w:r>
          </w:p>
        </w:tc>
        <w:tc>
          <w:tcPr>
            <w:tcW w:type="dxa" w:w="3685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具体表现</w:t>
            </w:r>
          </w:p>
        </w:tc>
        <w:tc>
          <w:tcPr>
            <w:tcW w:type="dxa" w:w="3402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 Agent 的影响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接口碎片化</w:t>
            </w:r>
          </w:p>
        </w:tc>
        <w:tc>
          <w:tcPr>
            <w:tcW w:type="dxa" w:w="3685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各系统各自暴露 REST API，格式、认证、错误处理不一致</w:t>
            </w:r>
          </w:p>
        </w:tc>
        <w:tc>
          <w:tcPr>
            <w:tcW w:type="dxa" w:w="3402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Agent 需为每个系统单独适配，维护成本高，扩展慢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存储单模态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只有关系型/OLAP 数据库，无向量库和图谱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无法处理非结构化内容的语义检索，无法推理实体关系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黑盒不可观测</w:t>
            </w:r>
          </w:p>
        </w:tc>
        <w:tc>
          <w:tcPr>
            <w:tcW w:type="dxa" w:w="3685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数据调用无溯源，结果无置信度标注</w:t>
            </w:r>
          </w:p>
        </w:tc>
        <w:tc>
          <w:tcPr>
            <w:tcW w:type="dxa" w:w="3402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Agent 输出无法解释，"幻觉"无从排查，企业不敢上线</w:t>
            </w:r>
          </w:p>
        </w:tc>
      </w:tr>
    </w:tbl>
    <w:p/>
    <w:p>
      <w:r>
        <w:br w:type="page"/>
      </w:r>
    </w:p>
    <w:p>
      <w:pPr>
        <w:pStyle w:val="Heading1"/>
      </w:pPr>
      <w:r>
        <w:t>2. 解决方案定位</w:t>
      </w:r>
    </w:p>
    <w:p>
      <w:pPr>
        <w:pStyle w:val="Heading2"/>
      </w:pPr>
      <w:r>
        <w:t>2.1  核心理念：Agent-Ready ≠ 传统数据中台 + AI 补丁</w:t>
      </w:r>
    </w:p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真正的 Agent-Ready 数据中台需要从底层重新设计数据暴露方式：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数据能力以工具（Tool）形式封装，而非 SQL 查询或报表接口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存储层覆盖全模态，Agent 根据查询意图自动路由到最合适的存储引擎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每次调用都有完整的可观测链路，支撑结果溯源和置信度标注</w:t>
      </w:r>
    </w:p>
    <w:p/>
    <w:p>
      <w:pPr>
        <w:pStyle w:val="Heading2"/>
      </w:pPr>
      <w:r>
        <w:t>2.2  适用场景与目标用户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35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典型用户</w:t>
            </w:r>
          </w:p>
        </w:tc>
        <w:tc>
          <w:tcPr>
            <w:tcW w:type="dxa" w:w="3969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核心诉求</w:t>
            </w:r>
          </w:p>
        </w:tc>
      </w:tr>
      <w:tr>
        <w:tc>
          <w:tcPr>
            <w:tcW w:type="dxa" w:w="2268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营销 Agent</w:t>
            </w:r>
          </w:p>
        </w:tc>
        <w:tc>
          <w:tcPr>
            <w:tcW w:type="dxa" w:w="2835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品牌营销团队、CRM 运营</w:t>
            </w:r>
          </w:p>
        </w:tc>
        <w:tc>
          <w:tcPr>
            <w:tcW w:type="dxa" w:w="3969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自动完成用户圈选、旅程编排、多渠道触达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问数 Agent（ChatBI）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业务分析师、管理层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用自然语言查数据，得到可信的分析结论</w:t>
            </w:r>
          </w:p>
        </w:tc>
      </w:tr>
      <w:tr>
        <w:tc>
          <w:tcPr>
            <w:tcW w:type="dxa" w:w="2268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工作流 Agent</w:t>
            </w:r>
          </w:p>
        </w:tc>
        <w:tc>
          <w:tcPr>
            <w:tcW w:type="dxa" w:w="2835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IT 运维、业务流程自动化团队</w:t>
            </w:r>
          </w:p>
        </w:tc>
        <w:tc>
          <w:tcPr>
            <w:tcW w:type="dxa" w:w="3969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多工具协作完成复杂跨系统任务</w:t>
            </w:r>
          </w:p>
        </w:tc>
      </w:tr>
    </w:tbl>
    <w:p/>
    <w:p>
      <w:pPr>
        <w:pStyle w:val="Heading2"/>
      </w:pPr>
      <w:r>
        <w:t>2.3  竞品对比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268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能力维度</w:t>
            </w:r>
          </w:p>
        </w:tc>
        <w:tc>
          <w:tcPr>
            <w:tcW w:type="dxa" w:w="2551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明略 Agent-Ready 数据中台</w:t>
            </w:r>
          </w:p>
        </w:tc>
        <w:tc>
          <w:tcPr>
            <w:tcW w:type="dxa" w:w="2268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传统 CDP</w:t>
              <w:br/>
              <w:t>（神策/GrowingIO）</w:t>
            </w:r>
          </w:p>
        </w:tc>
        <w:tc>
          <w:tcPr>
            <w:tcW w:type="dxa" w:w="1984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通用大数据平台</w:t>
              <w:br/>
              <w:t>（AWS/阿里云）</w:t>
            </w:r>
          </w:p>
        </w:tc>
      </w:tr>
      <w:tr>
        <w:tc>
          <w:tcPr>
            <w:tcW w:type="dxa" w:w="2268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MCP 标准接口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✅ 原生支持</w:t>
            </w:r>
          </w:p>
        </w:tc>
        <w:tc>
          <w:tcPr>
            <w:tcW w:type="dxa" w:w="2268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❌ 自定义 API，无标准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⚠️ 需二次封装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全模态存储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✅ 结构化+向量+图谱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❌ 仅结构化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⚠️ 各自独立，无统一接入</w:t>
            </w:r>
          </w:p>
        </w:tc>
      </w:tr>
      <w:tr>
        <w:tc>
          <w:tcPr>
            <w:tcW w:type="dxa" w:w="2268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数据可观测性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✅ 调用溯源+置信度</w:t>
            </w:r>
          </w:p>
        </w:tc>
        <w:tc>
          <w:tcPr>
            <w:tcW w:type="dxa" w:w="2268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❌ 无 Agent 追踪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⚠️ 基础日志，无 AI 专项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多租户隔离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✅ 行列级权限隔离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✅ 租户隔离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✅ 账号级隔离</w:t>
            </w:r>
          </w:p>
        </w:tc>
      </w:tr>
      <w:tr>
        <w:tc>
          <w:tcPr>
            <w:tcW w:type="dxa" w:w="2268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冷启动能力</w:t>
            </w:r>
          </w:p>
        </w:tc>
        <w:tc>
          <w:tcPr>
            <w:tcW w:type="dxa" w:w="2551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✅ 降级到规则驱动</w:t>
            </w:r>
          </w:p>
        </w:tc>
        <w:tc>
          <w:tcPr>
            <w:tcW w:type="dxa" w:w="2268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❌ 需历史数据训练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❌ 无内置降级机制</w:t>
            </w:r>
          </w:p>
        </w:tc>
      </w:tr>
    </w:tbl>
    <w:p/>
    <w:p>
      <w:r>
        <w:br w:type="page"/>
      </w:r>
    </w:p>
    <w:p>
      <w:pPr>
        <w:pStyle w:val="Heading1"/>
      </w:pPr>
      <w:r>
        <w:t>3. 架构设计</w:t>
      </w:r>
    </w:p>
    <w:p>
      <w:pPr>
        <w:pStyle w:val="Heading2"/>
      </w:pPr>
      <w:r>
        <w:t>3.1  架构驱动因素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850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701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质量属性</w:t>
            </w:r>
          </w:p>
        </w:tc>
        <w:tc>
          <w:tcPr>
            <w:tcW w:type="dxa" w:w="3685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具体要求</w:t>
            </w:r>
          </w:p>
        </w:tc>
        <w:tc>
          <w:tcPr>
            <w:tcW w:type="dxa" w:w="2835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架构影响</w:t>
            </w:r>
          </w:p>
        </w:tc>
      </w:tr>
      <w:tr>
        <w:tc>
          <w:tcPr>
            <w:tcW w:type="dxa" w:w="850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Agent-Ready</w:t>
            </w:r>
          </w:p>
        </w:tc>
        <w:tc>
          <w:tcPr>
            <w:tcW w:type="dxa" w:w="3685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MCP 标准接口 + Text-to-SQL + RAG 三路并行</w:t>
            </w:r>
          </w:p>
        </w:tc>
        <w:tc>
          <w:tcPr>
            <w:tcW w:type="dxa" w:w="2835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L3 Agent 接口层独立分层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多租户隔离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行列级权限，数据不互串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StarRocks RLS + Keycloak RBAC</w:t>
            </w:r>
          </w:p>
        </w:tc>
      </w:tr>
      <w:tr>
        <w:tc>
          <w:tcPr>
            <w:tcW w:type="dxa" w:w="850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全模态存储</w:t>
            </w:r>
          </w:p>
        </w:tc>
        <w:tc>
          <w:tcPr>
            <w:tcW w:type="dxa" w:w="3685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结构化 + 向量 + 图谱同时在线</w:t>
            </w:r>
          </w:p>
        </w:tc>
        <w:tc>
          <w:tcPr>
            <w:tcW w:type="dxa" w:w="2835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L1 统一存储层三引擎并行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可观测性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Agent 调用的数据来源/版本/置信度可追溯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独立可观测层，调用链路全记录</w:t>
            </w:r>
          </w:p>
        </w:tc>
      </w:tr>
      <w:tr>
        <w:tc>
          <w:tcPr>
            <w:tcW w:type="dxa" w:w="850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冷启动</w:t>
            </w:r>
          </w:p>
        </w:tc>
        <w:tc>
          <w:tcPr>
            <w:tcW w:type="dxa" w:w="3685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新租户无历史数据时降级到规则驱动</w:t>
            </w:r>
          </w:p>
        </w:tc>
        <w:tc>
          <w:tcPr>
            <w:tcW w:type="dxa" w:w="2835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规则引擎作为 ML 降级兜底</w:t>
            </w:r>
          </w:p>
        </w:tc>
      </w:tr>
    </w:tbl>
    <w:p/>
    <w:p>
      <w:pPr>
        <w:pStyle w:val="Heading2"/>
      </w:pPr>
      <w:r>
        <w:t>3.2  五层架构总览</w:t>
      </w:r>
    </w:p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架构从下到上分为五层，每层职责单一、层间通过标准接口通信：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850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268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969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核心职责</w:t>
            </w:r>
          </w:p>
        </w:tc>
        <w:tc>
          <w:tcPr>
            <w:tcW w:type="dxa" w:w="1984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关键技术</w:t>
            </w:r>
          </w:p>
        </w:tc>
      </w:tr>
      <w:tr>
        <w:tc>
          <w:tcPr>
            <w:tcW w:type="dxa" w:w="850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L0</w:t>
            </w:r>
          </w:p>
        </w:tc>
        <w:tc>
          <w:tcPr>
            <w:tcW w:type="dxa" w:w="2268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数据接入层</w:t>
            </w:r>
          </w:p>
        </w:tc>
        <w:tc>
          <w:tcPr>
            <w:tcW w:type="dxa" w:w="3969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多源异构数据适配、格式标准化、质量校验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Kafka、Flink CDC、多源适配器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L1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统一存储层（全模态）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结构化 OLAP、实时流、向量、图谱、冷存统一管理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StarRocks、Flink、Milvus、Neo4j、Hive/Iceberg</w:t>
            </w:r>
          </w:p>
        </w:tc>
      </w:tr>
      <w:tr>
        <w:tc>
          <w:tcPr>
            <w:tcW w:type="dxa" w:w="850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L2</w:t>
            </w:r>
          </w:p>
        </w:tc>
        <w:tc>
          <w:tcPr>
            <w:tcW w:type="dxa" w:w="2268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数据治理层</w:t>
            </w:r>
          </w:p>
        </w:tc>
        <w:tc>
          <w:tcPr>
            <w:tcW w:type="dxa" w:w="3969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元数据管理、数据血缘、多租户隔离、安全审计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Keycloak RBAC、数据字典、血缘图谱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L3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Agent 接口层（核心）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标准化暴露数据能力给 Agent 调用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MCP Server、Text-to-SQL 引擎、RAG 检索、OpenAPI 网关</w:t>
            </w:r>
          </w:p>
        </w:tc>
      </w:tr>
      <w:tr>
        <w:tc>
          <w:tcPr>
            <w:tcW w:type="dxa" w:w="850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L4</w:t>
            </w:r>
          </w:p>
        </w:tc>
        <w:tc>
          <w:tcPr>
            <w:tcW w:type="dxa" w:w="2268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应用层</w:t>
            </w:r>
          </w:p>
        </w:tc>
        <w:tc>
          <w:tcPr>
            <w:tcW w:type="dxa" w:w="3969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三类 Agent 上层业务逻辑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营销 Agent、问数 Agent（ChatBI）、工作流 Agent（LangGraph）</w:t>
            </w:r>
          </w:p>
        </w:tc>
      </w:tr>
    </w:tbl>
    <w:p/>
    <w:p>
      <w:pPr>
        <w:pStyle w:val="Heading2"/>
      </w:pPr>
      <w:r>
        <w:t>3.3  L3 Agent 接口层（核心创新点）</w:t>
      </w:r>
    </w:p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L3 是本架构的核心差异所在，提供三路并行的 Agent 数据接入方式：</w:t>
      </w:r>
    </w:p>
    <w:p/>
    <w:p>
      <w:pPr>
        <w:pStyle w:val="Heading3"/>
      </w:pPr>
      <w:r>
        <w:t>3.3.1  MCP Server — 标准化工具接口</w:t>
      </w:r>
    </w:p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将所有数据能力封装为 MCP（Model Context Protocol）标准工具，Agent 框架无关调用：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圈人工具：根据自然语言描述或结构化条件，返回符合条件的用户 ID 列表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标签查询工具：根据用户 ID 批量返回标签值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事件检索工具：检索用户行为事件序列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知识库检索工具：语义相似检索，返回相关文档片段 + 置信度</w:t>
      </w:r>
    </w:p>
    <w:p/>
    <w:p>
      <w:pPr>
        <w:pStyle w:val="Heading3"/>
      </w:pPr>
      <w:r>
        <w:t>3.3.2  Text-to-SQL 引擎 — 问数 Agent 核心</w:t>
      </w:r>
    </w:p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支持自然语言转结构化查询，关键设计：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Schema 感知：自动加载租户数据字典，避免幻觉 SQL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查询沙箱：Text-to-SQL 生成的 SQL 在只读沙箱环境执行，防止数据污染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结果溯源：返回结果的同时附带执行 SQL 和数据来源表信息</w:t>
      </w:r>
    </w:p>
    <w:p/>
    <w:p>
      <w:pPr>
        <w:pStyle w:val="Heading3"/>
      </w:pPr>
      <w:r>
        <w:t>3.3.3  RAG 检索服务 — 非结构化知识问答</w:t>
      </w:r>
    </w:p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基于 Milvus 向量库的语义检索服务：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支持文本、图片、视频多模态内容的向量化与检索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检索结果附带文档来源、版本、更新时间（可观测性）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支持父子分块策略，提升长文档检索召回率</w:t>
      </w:r>
    </w:p>
    <w:p>
      <w:r>
        <w:br w:type="page"/>
      </w:r>
    </w:p>
    <w:p>
      <w:pPr>
        <w:pStyle w:val="Heading1"/>
      </w:pPr>
      <w:r>
        <w:t>4. 关键架构决策（ADR）</w:t>
      </w:r>
    </w:p>
    <w:p>
      <w:pPr>
        <w:pStyle w:val="Heading2"/>
      </w:pPr>
      <w:r>
        <w:t>ADR-01：采用 MCP 而非自定义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984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问题</w:t>
            </w:r>
          </w:p>
        </w:tc>
        <w:tc>
          <w:tcPr>
            <w:tcW w:type="dxa" w:w="7087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Agent 如何以统一方式调用来自不同底层存储的数据能力？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背景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MCP 是 Anthropic 发布的开放协议，已获阿里云 DataWorks、Cursor、各主流 Agent 框架采用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选定方案</w:t>
            </w:r>
          </w:p>
        </w:tc>
        <w:tc>
          <w:tcPr>
            <w:tcW w:type="dxa" w:w="7087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MCP Server — 将所有数据工具封装为 MCP 标准工具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放弃方案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自定义 REST API（生态锁定）、GraphQL（对 Agent 而言过重）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关键影响</w:t>
            </w:r>
          </w:p>
        </w:tc>
        <w:tc>
          <w:tcPr>
            <w:tcW w:type="dxa" w:w="7087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Agent 框架无关：Claude、GPT-4、自研 LLM 均可直接调用，无需二次适配</w:t>
            </w:r>
          </w:p>
        </w:tc>
      </w:tr>
    </w:tbl>
    <w:p/>
    <w:p>
      <w:pPr>
        <w:pStyle w:val="Heading2"/>
      </w:pPr>
      <w:r>
        <w:t>ADR-02：三路存储并存 + 意图路由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984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问题</w:t>
            </w:r>
          </w:p>
        </w:tc>
        <w:tc>
          <w:tcPr>
            <w:tcW w:type="dxa" w:w="7087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不同类型的查询需求差异极大，单一存储引擎无法兼顾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选定方案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StarRocks（精确查询）+ Milvus（语义检索）+ Neo4j（关系推理）并存，Agent 根据意图自动路由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路由规则</w:t>
            </w:r>
          </w:p>
        </w:tc>
        <w:tc>
          <w:tcPr>
            <w:tcW w:type="dxa" w:w="7087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有 Schema 的业务查询 → StarRocks；语义相似搜索 → Milvus；实体关系推理 → Neo4j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关键影响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三者不互斥，同一次 Agent 调用可跨存储引擎联合查询</w:t>
            </w:r>
          </w:p>
        </w:tc>
      </w:tr>
    </w:tbl>
    <w:p/>
    <w:p>
      <w:pPr>
        <w:pStyle w:val="Heading2"/>
      </w:pPr>
      <w:r>
        <w:t>ADR-03：行列级多租户隔离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984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问题</w:t>
            </w:r>
          </w:p>
        </w:tc>
        <w:tc>
          <w:tcPr>
            <w:tcW w:type="dxa" w:w="7087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SaaS 多租户场景下，数据安全隔离 vs 部署成本如何平衡？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选定方案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行列级权限（RLS/CLS）+ 租户 Schema 隔离混合模式</w:t>
            </w:r>
          </w:p>
        </w:tc>
      </w:tr>
      <w:tr>
        <w:tc>
          <w:tcPr>
            <w:tcW w:type="dxa" w:w="198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放弃方案</w:t>
            </w:r>
          </w:p>
        </w:tc>
        <w:tc>
          <w:tcPr>
            <w:tcW w:type="dxa" w:w="7087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纯物理隔离（每租户独立集群，成本不可控）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关键影响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StarRocks RLS + Keycloak RBAC 组合实现，新租户开通无需新增存储实例</w:t>
            </w:r>
          </w:p>
        </w:tc>
      </w:tr>
    </w:tbl>
    <w:p/>
    <w:p>
      <w:r>
        <w:br w:type="page"/>
      </w:r>
    </w:p>
    <w:p>
      <w:pPr>
        <w:pStyle w:val="Heading1"/>
      </w:pPr>
      <w:r>
        <w:t>5. 三类 Agent 应用场景</w:t>
      </w:r>
    </w:p>
    <w:p>
      <w:pPr>
        <w:pStyle w:val="Heading2"/>
      </w:pPr>
      <w:r>
        <w:t>5.1  营销 Agent — 自动化精准触达</w:t>
      </w:r>
    </w:p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营销 Agent 通过调用数据中台的 MCP 工具，自主完成从用户圈选到多渠道触达的完整营销旅程：</w:t>
      </w:r>
    </w:p>
    <w:p/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输入：自然语言策略描述，如"找出近 30 天浏览过新车但未试驾的用户，发送试驾邀请"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圈人：调用 MCP 圈人工具，基于行为标签和时间窗口圈定目标人群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内容生成：结合用户画像，生成个性化触达内容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触达执行：通过渠道插件（短信/APP Push/微信/企微）分发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效果回流：触达结果写回标签系统，驱动下一轮策略优化</w:t>
      </w:r>
    </w:p>
    <w:p/>
    <w:p>
      <w:pPr>
        <w:pStyle w:val="Heading2"/>
      </w:pPr>
      <w:r>
        <w:t>5.2  问数 Agent（ChatBI）— 自然语言数据分析</w:t>
      </w:r>
    </w:p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问数 Agent 让业务人员用自然语言直接提问，获得可信的数据分析结论：</w:t>
      </w:r>
    </w:p>
    <w:p/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用户提问："上周各渠道的触达成功率分别是多少，哪个渠道效果最好？"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意图解析：识别为结构化数据查询，路由到 Text-to-SQL 引擎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SQL 生成：感知租户 Schema 后生成 SQL，在只读沙箱执行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结果展示：返回数据 + 执行 SQL + 数据来源（可溯源）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混合查询：如需结合知识库，自动触发 RAG 检索补充背景信息</w:t>
      </w:r>
    </w:p>
    <w:p/>
    <w:p>
      <w:pPr>
        <w:pStyle w:val="Heading2"/>
      </w:pPr>
      <w:r>
        <w:t>5.3  工作流 Agent — 跨系统复杂任务协作</w:t>
      </w:r>
    </w:p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基于 LangGraph 编排的工作流 Agent，协调多工具完成跨系统复杂任务：</w:t>
      </w:r>
    </w:p>
    <w:p/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典型场景：月度营销复盘报告自动生成（拉数据 → 分析 → 生成报告 → 发送给相关人员）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数据工具：从数据中台 MCP Server 拉取多维度指标数据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知识工具：从 RAG 检索服务获取行业背景和历史案例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执行工具：调用渠道 API 发送报告，触发 CRM 系统更新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结果：全流程自动完成，每步均有执行日志和数据溯源</w:t>
      </w:r>
    </w:p>
    <w:p>
      <w:r>
        <w:br w:type="page"/>
      </w:r>
    </w:p>
    <w:p>
      <w:pPr>
        <w:pStyle w:val="Heading1"/>
      </w:pPr>
      <w:r>
        <w:t>6. 三阶段演进路线</w:t>
      </w:r>
    </w:p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架构设计遵循"先跑通闭环，再扩展深度"原则，分三阶段演进：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134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417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时间周期</w:t>
            </w:r>
          </w:p>
        </w:tc>
        <w:tc>
          <w:tcPr>
            <w:tcW w:type="dxa" w:w="3685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建设重点</w:t>
            </w:r>
          </w:p>
        </w:tc>
        <w:tc>
          <w:tcPr>
            <w:tcW w:type="dxa" w:w="2835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阶段成果</w:t>
            </w:r>
          </w:p>
        </w:tc>
      </w:tr>
      <w:tr>
        <w:tc>
          <w:tcPr>
            <w:tcW w:type="dxa" w:w="113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Phase 1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0–6 个月</w:t>
            </w:r>
          </w:p>
        </w:tc>
        <w:tc>
          <w:tcPr>
            <w:tcW w:type="dxa" w:w="3685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结构化底座 + Text-to-SQL 上线</w:t>
            </w:r>
          </w:p>
        </w:tc>
        <w:tc>
          <w:tcPr>
            <w:tcW w:type="dxa" w:w="2835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问数 Agent Demo 跑通，业务人员可用自然语言查数据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Phase 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6–12 个月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向量库接入 + MCP 标准化 + 营销 Agent 上线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三路存储全部在线，营销 Agent 可执行完整圈选-触达闭环</w:t>
            </w:r>
          </w:p>
        </w:tc>
      </w:tr>
      <w:tr>
        <w:tc>
          <w:tcPr>
            <w:tcW w:type="dxa" w:w="113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Phase 3</w:t>
            </w:r>
          </w:p>
        </w:tc>
        <w:tc>
          <w:tcPr>
            <w:tcW w:type="dxa" w:w="1417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12 个月+</w:t>
            </w:r>
          </w:p>
        </w:tc>
        <w:tc>
          <w:tcPr>
            <w:tcW w:type="dxa" w:w="3685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知识图谱接入 + Multi-Agent 协作框架</w:t>
            </w:r>
          </w:p>
        </w:tc>
        <w:tc>
          <w:tcPr>
            <w:tcW w:type="dxa" w:w="2835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工作流 Agent 上线，跨系统复杂任务全自动化</w:t>
            </w:r>
          </w:p>
        </w:tc>
      </w:tr>
    </w:tbl>
    <w:p/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每个阶段均可独立交付价值，Phase 1 即可形成对外可演示的 Demo，降低投资风险。</w:t>
      </w:r>
    </w:p>
    <w:p>
      <w:r>
        <w:br w:type="page"/>
      </w:r>
    </w:p>
    <w:p>
      <w:pPr>
        <w:pStyle w:val="Heading1"/>
      </w:pPr>
      <w:r>
        <w:t>7. 关键技术选型说明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417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1701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3969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选型理由</w:t>
            </w:r>
          </w:p>
        </w:tc>
        <w:tc>
          <w:tcPr>
            <w:tcW w:type="dxa" w:w="1984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备选方案</w:t>
            </w:r>
          </w:p>
        </w:tc>
      </w:tr>
      <w:tr>
        <w:tc>
          <w:tcPr>
            <w:tcW w:type="dxa" w:w="1417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OLAP 引擎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StarRocks</w:t>
            </w:r>
          </w:p>
        </w:tc>
        <w:tc>
          <w:tcPr>
            <w:tcW w:type="dxa" w:w="3969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亿级数据秒级查询，原生支持 RLS，社区活跃，国内落地案例丰富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ClickHouse（RLS 弱）、Doris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流处理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Flink + Kafka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行业标准，Flink CDC 直接对接数据库变更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Spark Streaming（延迟较高）</w:t>
            </w:r>
          </w:p>
        </w:tc>
      </w:tr>
      <w:tr>
        <w:tc>
          <w:tcPr>
            <w:tcW w:type="dxa" w:w="1417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向量数据库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Milvus</w:t>
            </w:r>
          </w:p>
        </w:tc>
        <w:tc>
          <w:tcPr>
            <w:tcW w:type="dxa" w:w="3969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开源领先，多模态支持，与 LangChain 生态集成好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Pinecone（闭源，数据出境风险）、Weaviate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图数据库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Neo4j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最成熟的图数据库，Cypher 表达力强，有 LLM 插件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NebulaGraph（国产，生态小）</w:t>
            </w:r>
          </w:p>
        </w:tc>
      </w:tr>
      <w:tr>
        <w:tc>
          <w:tcPr>
            <w:tcW w:type="dxa" w:w="1417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权限管理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Keycloak</w:t>
            </w:r>
          </w:p>
        </w:tc>
        <w:tc>
          <w:tcPr>
            <w:tcW w:type="dxa" w:w="3969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开源企业级 IAM，OIDC/OAuth 2.0 完整支持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Auth0（SaaS，数据出境风险）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Agent 编排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LangGraph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有状态图编排，适合复杂多步骤工作流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AutoGen（微软，生态较小）</w:t>
            </w:r>
          </w:p>
        </w:tc>
      </w:tr>
    </w:tbl>
    <w:p/>
    <w:p>
      <w:r>
        <w:br w:type="page"/>
      </w:r>
    </w:p>
    <w:p>
      <w:pPr>
        <w:pStyle w:val="Heading1"/>
      </w:pPr>
      <w:r>
        <w:t>8. 数据安全与合规</w:t>
      </w:r>
    </w:p>
    <w:p>
      <w:pPr>
        <w:pStyle w:val="Heading2"/>
      </w:pPr>
      <w:r>
        <w:t>8.1  多租户数据隔离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StarRocks 行级安全策略（RLS）：每次查询自动注入租户过滤条件，从根本上杜绝跨租户数据泄露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列级掩码（CLS）：敏感字段（手机号、身份证）可按权限配置显示/掩码/脱敏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Keycloak RBAC：统一管理所有租户的用户、角色、权限，支持 SSO（OIDC）集成</w:t>
      </w:r>
    </w:p>
    <w:p/>
    <w:p>
      <w:pPr>
        <w:pStyle w:val="Heading2"/>
      </w:pPr>
      <w:r>
        <w:t>8.2  数据安全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传输加密：所有内外部通信使用 TLS 1.2/1.3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存储加密：静态数据 AES-256 加密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数据主权：所有数据存储于中国境内合规云（阿里云 / 华为云），数据不出境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全操作审计日志：Agent 每次数据调用均记录操作人/租户/调用时间/返回行数，不可篡改</w:t>
      </w:r>
    </w:p>
    <w:p/>
    <w:p>
      <w:pPr>
        <w:pStyle w:val="Heading2"/>
      </w:pPr>
      <w:r>
        <w:t>8.3  Agent 调用安全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MCP 工具调用权限：每个 MCP Tool 独立配置权限，Agent 只能调用被授权的工具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Text-to-SQL 沙箱：LLM 生成的 SQL 仅在只读沙箱执行，无法执行写操作或 DDL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调用频率限制：防止 Agent 异常行为造成的 DDoS 式数据拉取</w:t>
      </w:r>
    </w:p>
    <w:p>
      <w:r>
        <w:br w:type="page"/>
      </w:r>
    </w:p>
    <w:p>
      <w:pPr>
        <w:pStyle w:val="Heading1"/>
      </w:pPr>
      <w:r>
        <w:t>9. 实施建议</w:t>
      </w:r>
    </w:p>
    <w:p>
      <w:pPr>
        <w:pStyle w:val="Heading2"/>
      </w:pPr>
      <w:r>
        <w:t>9.1  快速启动路径</w:t>
      </w:r>
    </w:p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推荐以"最小可用 Demo"为目标快速启动，降低前期投入风险：</w:t>
      </w:r>
    </w:p>
    <w:p/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W1-2：搭建 StarRocks + Flink 基础环境，接入一个核心数据源（如 CRM 或用户行为数据）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W3-4：接入 Text-to-SQL 引擎，连接一个 LLM（Claude/GPT），跑通问数 Agent Demo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W5-8：MCP Server 封装，接入第二个数据源，完成基础多租户隔离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2"/>
        </w:rPr>
        <w:t>W9-12：Milvus 向量库接入，RAG 检索上线，完成 Phase 1 验收</w:t>
      </w:r>
    </w:p>
    <w:p/>
    <w:p>
      <w:pPr>
        <w:pStyle w:val="Heading2"/>
      </w:pPr>
      <w:r>
        <w:t>9.2  关键成功因素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因素</w:t>
            </w:r>
          </w:p>
        </w:tc>
        <w:tc>
          <w:tcPr>
            <w:tcW w:type="dxa" w:w="6803"/>
            <w:shd w:val="clear" w:color="auto" w:fill="2F549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数据质量先行</w:t>
            </w:r>
          </w:p>
        </w:tc>
        <w:tc>
          <w:tcPr>
            <w:tcW w:type="dxa" w:w="6803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Agent 的输出质量完全依赖数据质量，数据治理和字典建设要在 Agent 接入前完成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Schema 文档化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Text-to-SQL 效果取决于数据字典的完整性，字段注释越详细，SQL 生成越准确</w:t>
            </w:r>
          </w:p>
        </w:tc>
      </w:tr>
      <w:tr>
        <w:tc>
          <w:tcPr>
            <w:tcW w:type="dxa" w:w="2268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分阶段验收</w:t>
            </w:r>
          </w:p>
        </w:tc>
        <w:tc>
          <w:tcPr>
            <w:tcW w:type="dxa" w:w="6803"/>
            <w:shd w:val="clear" w:color="auto" w:fill="EBF3FB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每阶段定义明确的验收指标（如 SQL 准确率 ≥85%），避免整体上线后才发现问题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安全评审前置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sz w:val="20"/>
              </w:rPr>
              <w:t>多租户隔离和 Agent 调用权限在 Phase 1 就要定义清楚，后期修改成本极高</w:t>
            </w:r>
          </w:p>
        </w:tc>
      </w:tr>
    </w:tbl>
    <w:p/>
    <w:p>
      <w:r>
        <w:br w:type="page"/>
      </w:r>
    </w:p>
    <w:p>
      <w:pPr>
        <w:pStyle w:val="Heading1"/>
      </w:pPr>
      <w:r>
        <w:t>10. 关于明略科技</w:t>
      </w:r>
    </w:p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明略科技是中国领先的企业智能决策平台提供商，专注于 CDP（客户数据平台）、MA（营销自动化）、Social（社交媒体分析）三大产品线，服务奔驰、欧莱雅、宝洁、联想、蒙牛等 100+ 头部品牌客户。</w:t>
      </w:r>
    </w:p>
    <w:p/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在 AI Agent 技术方向，明略已完成 Hermes Agent 架构调研、AgentPortal 产品内测、MCP 数据接口标准化等前期工作，具备从架构设计到产品落地的完整工程能力。</w:t>
      </w:r>
    </w:p>
    <w:p/>
    <w:p>
      <w:pPr>
        <w:spacing w:before="0" w:after="80"/>
        <w:jc w:val="left"/>
      </w:pPr>
      <w:r>
        <w:rPr>
          <w:rFonts w:ascii="Microsoft YaHei" w:hAnsi="Microsoft YaHei" w:eastAsia="Microsoft YaHei"/>
          <w:b w:val="0"/>
          <w:i w:val="0"/>
        </w:rPr>
        <w:t>如需进一步了解方案详情或安排技术演示，请联系明略科技售前团队。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