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54435">
      <w:pPr>
        <w:shd w:val="clear" w:color="auto" w:fill="FFFFFF" w:themeFill="background1"/>
        <w:spacing w:beforeAutospacing="1" w:after="60" w:line="240" w:lineRule="auto"/>
        <w:jc w:val="center"/>
        <w:rPr>
          <w:rFonts w:hint="eastAsia" w:ascii="微软雅黑" w:hAnsi="微软雅黑" w:eastAsia="微软雅黑" w:cs="微软雅黑"/>
          <w:color w:val="000000" w:themeColor="text1"/>
          <w:sz w:val="48"/>
          <w:szCs w:val="48"/>
          <w:lang w:eastAsia="zh-CN"/>
          <w14:textFill>
            <w14:solidFill>
              <w14:schemeClr w14:val="tx1"/>
            </w14:solidFill>
          </w14:textFill>
        </w:rPr>
      </w:pPr>
      <w:bookmarkStart w:id="0" w:name="_GoBack"/>
      <w:bookmarkEnd w:id="0"/>
      <w:r>
        <w:rPr>
          <w:rFonts w:ascii="微软雅黑" w:hAnsi="微软雅黑" w:eastAsia="微软雅黑" w:cs="微软雅黑"/>
          <w:b/>
          <w:bCs/>
          <w:color w:val="000000" w:themeColor="text1"/>
          <w:sz w:val="48"/>
          <w:szCs w:val="48"/>
          <w:lang w:eastAsia="zh-CN"/>
          <w14:textFill>
            <w14:solidFill>
              <w14:schemeClr w14:val="tx1"/>
            </w14:solidFill>
          </w14:textFill>
        </w:rPr>
        <w:t>雀巢</w:t>
      </w:r>
      <w:r>
        <w:rPr>
          <w:rFonts w:hint="eastAsia" w:ascii="微软雅黑" w:hAnsi="微软雅黑" w:eastAsia="微软雅黑" w:cs="微软雅黑"/>
          <w:b/>
          <w:bCs/>
          <w:color w:val="000000" w:themeColor="text1"/>
          <w:sz w:val="48"/>
          <w:szCs w:val="48"/>
          <w:lang w:eastAsia="zh-CN"/>
          <w14:textFill>
            <w14:solidFill>
              <w14:schemeClr w14:val="tx1"/>
            </w14:solidFill>
          </w14:textFill>
        </w:rPr>
        <w:t>Ad-DMP</w:t>
      </w:r>
      <w:r>
        <w:rPr>
          <w:rFonts w:ascii="微软雅黑" w:hAnsi="微软雅黑" w:eastAsia="微软雅黑" w:cs="微软雅黑"/>
          <w:b/>
          <w:bCs/>
          <w:color w:val="000000" w:themeColor="text1"/>
          <w:sz w:val="48"/>
          <w:szCs w:val="48"/>
          <w:lang w:eastAsia="zh-CN"/>
          <w14:textFill>
            <w14:solidFill>
              <w14:schemeClr w14:val="tx1"/>
            </w14:solidFill>
          </w14:textFill>
        </w:rPr>
        <w:t>项目招标书（RFP）</w:t>
      </w:r>
    </w:p>
    <w:p w14:paraId="66DDE851">
      <w:pPr>
        <w:shd w:val="clear" w:color="auto" w:fill="FFFFFF" w:themeFill="background1"/>
        <w:spacing w:beforeAutospacing="1" w:after="60" w:line="240" w:lineRule="auto"/>
        <w:rPr>
          <w:rFonts w:ascii="微软雅黑" w:hAnsi="微软雅黑" w:eastAsia="微软雅黑" w:cs="微软雅黑"/>
          <w:color w:val="000000" w:themeColor="text1"/>
          <w:sz w:val="36"/>
          <w:szCs w:val="36"/>
          <w:lang w:eastAsia="zh-CN"/>
          <w14:textFill>
            <w14:solidFill>
              <w14:schemeClr w14:val="tx1"/>
            </w14:solidFill>
          </w14:textFill>
        </w:rPr>
      </w:pPr>
      <w:r>
        <w:rPr>
          <w:rFonts w:ascii="微软雅黑" w:hAnsi="微软雅黑" w:eastAsia="微软雅黑" w:cs="微软雅黑"/>
          <w:b/>
          <w:bCs/>
          <w:color w:val="000000" w:themeColor="text1"/>
          <w:sz w:val="36"/>
          <w:szCs w:val="36"/>
          <w:lang w:eastAsia="zh-CN"/>
          <w14:textFill>
            <w14:solidFill>
              <w14:schemeClr w14:val="tx1"/>
            </w14:solidFill>
          </w14:textFill>
        </w:rPr>
        <w:t>一、项目概述</w:t>
      </w:r>
    </w:p>
    <w:p w14:paraId="5EA9BA25">
      <w:pPr>
        <w:shd w:val="clear" w:color="auto" w:fill="FFFFFF" w:themeFill="background1"/>
        <w:spacing w:beforeAutospacing="1" w:after="60" w:line="240" w:lineRule="auto"/>
        <w:rPr>
          <w:rFonts w:ascii="微软雅黑" w:hAnsi="微软雅黑" w:eastAsia="微软雅黑" w:cs="微软雅黑"/>
          <w:color w:val="000000" w:themeColor="text1"/>
          <w:sz w:val="27"/>
          <w:szCs w:val="27"/>
          <w:lang w:eastAsia="zh-CN"/>
          <w14:textFill>
            <w14:solidFill>
              <w14:schemeClr w14:val="tx1"/>
            </w14:solidFill>
          </w14:textFill>
        </w:rPr>
      </w:pPr>
      <w:r>
        <w:rPr>
          <w:rFonts w:ascii="微软雅黑" w:hAnsi="微软雅黑" w:eastAsia="微软雅黑" w:cs="微软雅黑"/>
          <w:b/>
          <w:bCs/>
          <w:color w:val="000000" w:themeColor="text1"/>
          <w:sz w:val="27"/>
          <w:szCs w:val="27"/>
          <w:lang w:eastAsia="zh-CN"/>
          <w14:textFill>
            <w14:solidFill>
              <w14:schemeClr w14:val="tx1"/>
            </w14:solidFill>
          </w14:textFill>
        </w:rPr>
        <w:t>（一）项目背景</w:t>
      </w:r>
    </w:p>
    <w:p w14:paraId="43A9E3F9">
      <w:pPr>
        <w:shd w:val="clear" w:color="auto" w:fill="FFFFFF" w:themeFill="background1"/>
        <w:spacing w:after="0" w:line="240" w:lineRule="auto"/>
        <w:ind w:left="90"/>
        <w:rPr>
          <w:rFonts w:ascii="微软雅黑" w:hAnsi="微软雅黑" w:eastAsia="微软雅黑" w:cs="微软雅黑"/>
          <w:color w:val="000000" w:themeColor="text1"/>
          <w:sz w:val="22"/>
          <w:szCs w:val="22"/>
          <w:lang w:eastAsia="zh-CN"/>
          <w14:textFill>
            <w14:solidFill>
              <w14:schemeClr w14:val="tx1"/>
            </w14:solidFill>
          </w14:textFill>
        </w:rPr>
      </w:pPr>
      <w:r>
        <w:rPr>
          <w:rFonts w:ascii="微软雅黑" w:hAnsi="微软雅黑" w:eastAsia="微软雅黑" w:cs="微软雅黑"/>
          <w:color w:val="000000" w:themeColor="text1"/>
          <w:sz w:val="22"/>
          <w:szCs w:val="22"/>
          <w:lang w:eastAsia="zh-CN"/>
          <w14:textFill>
            <w14:solidFill>
              <w14:schemeClr w14:val="tx1"/>
            </w14:solidFill>
          </w14:textFill>
        </w:rPr>
        <w:t xml:space="preserve">      雀巢作为全球领先的食品饮料企业，产品涵盖咖啡、奶粉、零食等多个品类。在数字化营销时代，消费者需求日益多样化和个性化，线上营销渠道碎片化，数据分散在各个业务系统和营销平台中，导致企业难以精准洞察消费者，无法高效制定营销策略。为提升市场竞争力，实现数据驱动的精准营销，雀巢计划构建基于广告曝光人群的数据管理工具和应用场景，优化营销决策，提高营销投资回报率。</w:t>
      </w:r>
    </w:p>
    <w:p w14:paraId="62B01F79">
      <w:pPr>
        <w:shd w:val="clear" w:color="auto" w:fill="FFFFFF" w:themeFill="background1"/>
        <w:spacing w:after="0" w:line="240" w:lineRule="auto"/>
        <w:rPr>
          <w:rFonts w:ascii="微软雅黑" w:hAnsi="微软雅黑" w:eastAsia="微软雅黑" w:cs="微软雅黑"/>
          <w:color w:val="000000" w:themeColor="text1"/>
          <w:lang w:eastAsia="zh-CN"/>
          <w14:textFill>
            <w14:solidFill>
              <w14:schemeClr w14:val="tx1"/>
            </w14:solidFill>
          </w14:textFill>
        </w:rPr>
      </w:pPr>
    </w:p>
    <w:p w14:paraId="3B1CA6FD">
      <w:pPr>
        <w:shd w:val="clear" w:color="auto" w:fill="FFFFFF" w:themeFill="background1"/>
        <w:spacing w:beforeAutospacing="1" w:after="60" w:line="240" w:lineRule="auto"/>
        <w:rPr>
          <w:rFonts w:ascii="微软雅黑" w:hAnsi="微软雅黑" w:eastAsia="微软雅黑" w:cs="微软雅黑"/>
          <w:color w:val="000000" w:themeColor="text1"/>
          <w:sz w:val="27"/>
          <w:szCs w:val="27"/>
          <w14:textFill>
            <w14:solidFill>
              <w14:schemeClr w14:val="tx1"/>
            </w14:solidFill>
          </w14:textFill>
        </w:rPr>
      </w:pPr>
      <w:r>
        <w:rPr>
          <w:rFonts w:ascii="微软雅黑" w:hAnsi="微软雅黑" w:eastAsia="微软雅黑" w:cs="微软雅黑"/>
          <w:b/>
          <w:bCs/>
          <w:color w:val="000000" w:themeColor="text1"/>
          <w:sz w:val="27"/>
          <w:szCs w:val="27"/>
          <w:lang w:eastAsia="zh-CN"/>
          <w14:textFill>
            <w14:solidFill>
              <w14:schemeClr w14:val="tx1"/>
            </w14:solidFill>
          </w14:textFill>
        </w:rPr>
        <w:t>（二）项目目标</w:t>
      </w:r>
    </w:p>
    <w:p w14:paraId="29954DF2">
      <w:pPr>
        <w:pStyle w:val="35"/>
        <w:numPr>
          <w:ilvl w:val="0"/>
          <w:numId w:val="1"/>
        </w:numPr>
        <w:shd w:val="clear" w:color="auto" w:fill="FFFFFF" w:themeFill="background1"/>
        <w:spacing w:after="0" w:line="240" w:lineRule="auto"/>
        <w:rPr>
          <w:rFonts w:ascii="微软雅黑" w:hAnsi="微软雅黑" w:eastAsia="微软雅黑" w:cs="微软雅黑"/>
          <w:color w:val="222222"/>
          <w:sz w:val="22"/>
          <w:szCs w:val="22"/>
          <w:lang w:eastAsia="zh-CN"/>
        </w:rPr>
      </w:pPr>
      <w:r>
        <w:rPr>
          <w:rFonts w:ascii="微软雅黑" w:hAnsi="微软雅黑" w:eastAsia="微软雅黑" w:cs="微软雅黑"/>
          <w:color w:val="000000" w:themeColor="text1"/>
          <w:sz w:val="22"/>
          <w:szCs w:val="22"/>
          <w:lang w:eastAsia="zh-CN"/>
          <w14:textFill>
            <w14:solidFill>
              <w14:schemeClr w14:val="tx1"/>
            </w14:solidFill>
          </w14:textFill>
        </w:rPr>
        <w:t>建立基于</w:t>
      </w:r>
      <w:r>
        <w:rPr>
          <w:rFonts w:ascii="微软雅黑" w:hAnsi="微软雅黑" w:eastAsia="微软雅黑" w:cs="微软雅黑"/>
          <w:color w:val="222222"/>
          <w:sz w:val="22"/>
          <w:szCs w:val="22"/>
          <w:lang w:eastAsia="zh-CN"/>
        </w:rPr>
        <w:t>雀巢广告曝光人群的数据管理平台，用于提升媒介投资效率</w:t>
      </w:r>
    </w:p>
    <w:p w14:paraId="044C51EA">
      <w:pPr>
        <w:shd w:val="clear" w:color="auto" w:fill="FFFFFF" w:themeFill="background1"/>
        <w:spacing w:after="0" w:line="240" w:lineRule="auto"/>
        <w:ind w:left="440"/>
        <w:rPr>
          <w:rFonts w:ascii="微软雅黑" w:hAnsi="微软雅黑" w:eastAsia="微软雅黑" w:cs="微软雅黑"/>
          <w:color w:val="000000" w:themeColor="text1"/>
          <w:sz w:val="22"/>
          <w:szCs w:val="22"/>
          <w:lang w:eastAsia="zh-CN"/>
          <w14:textFill>
            <w14:solidFill>
              <w14:schemeClr w14:val="tx1"/>
            </w14:solidFill>
          </w14:textFill>
        </w:rPr>
      </w:pPr>
    </w:p>
    <w:p w14:paraId="7D731945">
      <w:pPr>
        <w:pStyle w:val="35"/>
        <w:numPr>
          <w:ilvl w:val="0"/>
          <w:numId w:val="1"/>
        </w:numPr>
        <w:shd w:val="clear" w:color="auto" w:fill="FFFFFF" w:themeFill="background1"/>
        <w:spacing w:after="0" w:line="240" w:lineRule="auto"/>
        <w:rPr>
          <w:rFonts w:ascii="微软雅黑" w:hAnsi="微软雅黑" w:eastAsia="微软雅黑" w:cs="微软雅黑"/>
          <w:color w:val="222222"/>
          <w:sz w:val="22"/>
          <w:szCs w:val="22"/>
          <w:lang w:eastAsia="zh-CN"/>
        </w:rPr>
      </w:pPr>
      <w:r>
        <w:rPr>
          <w:rFonts w:ascii="微软雅黑" w:hAnsi="微软雅黑" w:eastAsia="微软雅黑" w:cs="微软雅黑"/>
          <w:color w:val="000000" w:themeColor="text1"/>
          <w:sz w:val="22"/>
          <w:szCs w:val="22"/>
          <w:lang w:eastAsia="zh-CN"/>
          <w14:textFill>
            <w14:solidFill>
              <w14:schemeClr w14:val="tx1"/>
            </w14:solidFill>
          </w14:textFill>
        </w:rPr>
        <w:t>实现</w:t>
      </w:r>
      <w:r>
        <w:rPr>
          <w:rFonts w:ascii="微软雅黑" w:hAnsi="微软雅黑" w:eastAsia="微软雅黑" w:cs="微软雅黑"/>
          <w:color w:val="222222"/>
          <w:sz w:val="22"/>
          <w:szCs w:val="22"/>
          <w:lang w:eastAsia="zh-CN"/>
        </w:rPr>
        <w:t>每次Campaign被站外广告教育过7次的人群，能被电商站内转化</w:t>
      </w:r>
    </w:p>
    <w:p w14:paraId="260D365A">
      <w:pPr>
        <w:shd w:val="clear" w:color="auto" w:fill="FFFFFF" w:themeFill="background1"/>
        <w:spacing w:after="0" w:line="240" w:lineRule="auto"/>
        <w:ind w:left="440"/>
        <w:rPr>
          <w:rFonts w:ascii="微软雅黑" w:hAnsi="微软雅黑" w:eastAsia="微软雅黑" w:cs="微软雅黑"/>
          <w:color w:val="000000" w:themeColor="text1"/>
          <w:sz w:val="22"/>
          <w:szCs w:val="22"/>
          <w:lang w:eastAsia="zh-CN"/>
          <w14:textFill>
            <w14:solidFill>
              <w14:schemeClr w14:val="tx1"/>
            </w14:solidFill>
          </w14:textFill>
        </w:rPr>
      </w:pPr>
    </w:p>
    <w:p w14:paraId="0F110D78">
      <w:pPr>
        <w:pStyle w:val="35"/>
        <w:numPr>
          <w:ilvl w:val="0"/>
          <w:numId w:val="1"/>
        </w:numPr>
        <w:shd w:val="clear" w:color="auto" w:fill="FFFFFF" w:themeFill="background1"/>
        <w:spacing w:after="0" w:line="240" w:lineRule="auto"/>
        <w:rPr>
          <w:rFonts w:ascii="微软雅黑" w:hAnsi="微软雅黑" w:eastAsia="微软雅黑" w:cs="微软雅黑"/>
          <w:color w:val="222222"/>
          <w:sz w:val="22"/>
          <w:szCs w:val="22"/>
          <w:lang w:eastAsia="zh-CN"/>
        </w:rPr>
      </w:pPr>
      <w:r>
        <w:rPr>
          <w:rFonts w:ascii="微软雅黑" w:hAnsi="微软雅黑" w:eastAsia="微软雅黑" w:cs="微软雅黑"/>
          <w:color w:val="000000" w:themeColor="text1"/>
          <w:sz w:val="22"/>
          <w:szCs w:val="22"/>
          <w:lang w:eastAsia="zh-CN"/>
          <w14:textFill>
            <w14:solidFill>
              <w14:schemeClr w14:val="tx1"/>
            </w14:solidFill>
          </w14:textFill>
        </w:rPr>
        <w:t>实现</w:t>
      </w:r>
      <w:r>
        <w:rPr>
          <w:rFonts w:ascii="微软雅黑" w:hAnsi="微软雅黑" w:eastAsia="微软雅黑" w:cs="微软雅黑"/>
          <w:color w:val="222222"/>
          <w:sz w:val="22"/>
          <w:szCs w:val="22"/>
          <w:lang w:eastAsia="zh-CN"/>
        </w:rPr>
        <w:t>使用电商站内数据（销量，搜索等）评估品牌广告投资效果。清晰了解各营销渠道的转化贡献，指导品牌营销策略优化，助力业务高效增长</w:t>
      </w:r>
    </w:p>
    <w:p w14:paraId="75BB2EA4">
      <w:pPr>
        <w:shd w:val="clear" w:color="auto" w:fill="FFFFFF" w:themeFill="background1"/>
        <w:spacing w:after="0" w:line="240" w:lineRule="auto"/>
        <w:ind w:left="440"/>
        <w:rPr>
          <w:rFonts w:ascii="微软雅黑" w:hAnsi="微软雅黑" w:eastAsia="微软雅黑" w:cs="微软雅黑"/>
          <w:color w:val="000000" w:themeColor="text1"/>
          <w:sz w:val="22"/>
          <w:szCs w:val="22"/>
          <w:lang w:eastAsia="zh-CN"/>
          <w14:textFill>
            <w14:solidFill>
              <w14:schemeClr w14:val="tx1"/>
            </w14:solidFill>
          </w14:textFill>
        </w:rPr>
      </w:pPr>
    </w:p>
    <w:p w14:paraId="44112ECF">
      <w:pPr>
        <w:pStyle w:val="35"/>
        <w:numPr>
          <w:ilvl w:val="0"/>
          <w:numId w:val="1"/>
        </w:numPr>
        <w:shd w:val="clear" w:color="auto" w:fill="FFFFFF" w:themeFill="background1"/>
        <w:spacing w:after="0" w:line="240" w:lineRule="auto"/>
        <w:rPr>
          <w:rFonts w:ascii="微软雅黑" w:hAnsi="微软雅黑" w:eastAsia="微软雅黑" w:cs="微软雅黑"/>
          <w:color w:val="222222"/>
          <w:sz w:val="22"/>
          <w:szCs w:val="22"/>
        </w:rPr>
      </w:pPr>
      <w:r>
        <w:rPr>
          <w:rFonts w:ascii="微软雅黑" w:hAnsi="微软雅黑" w:eastAsia="微软雅黑" w:cs="微软雅黑"/>
          <w:color w:val="000000" w:themeColor="text1"/>
          <w:sz w:val="22"/>
          <w:szCs w:val="22"/>
          <w:lang w:eastAsia="zh-CN"/>
          <w14:textFill>
            <w14:solidFill>
              <w14:schemeClr w14:val="tx1"/>
            </w14:solidFill>
          </w14:textFill>
        </w:rPr>
        <w:t>建立</w:t>
      </w:r>
      <w:r>
        <w:rPr>
          <w:rFonts w:ascii="微软雅黑" w:hAnsi="微软雅黑" w:eastAsia="微软雅黑" w:cs="微软雅黑"/>
          <w:color w:val="222222"/>
          <w:sz w:val="22"/>
          <w:szCs w:val="22"/>
        </w:rPr>
        <w:t xml:space="preserve">Marketing &amp; Sales </w:t>
      </w:r>
      <w:r>
        <w:rPr>
          <w:rFonts w:ascii="微软雅黑" w:hAnsi="微软雅黑" w:eastAsia="微软雅黑" w:cs="微软雅黑"/>
          <w:color w:val="222222"/>
          <w:sz w:val="22"/>
          <w:szCs w:val="22"/>
          <w:lang w:eastAsia="zh-CN"/>
        </w:rPr>
        <w:t>的联动模式</w:t>
      </w:r>
    </w:p>
    <w:p w14:paraId="47ACBA58">
      <w:pPr>
        <w:shd w:val="clear" w:color="auto" w:fill="FFFFFF" w:themeFill="background1"/>
        <w:spacing w:after="0" w:line="240" w:lineRule="auto"/>
        <w:rPr>
          <w:rFonts w:hint="eastAsia" w:ascii="微软雅黑" w:hAnsi="微软雅黑" w:eastAsia="微软雅黑" w:cs="微软雅黑"/>
          <w:color w:val="000000" w:themeColor="text1"/>
          <w:sz w:val="22"/>
          <w:szCs w:val="22"/>
          <w:lang w:eastAsia="zh-CN"/>
          <w14:textFill>
            <w14:solidFill>
              <w14:schemeClr w14:val="tx1"/>
            </w14:solidFill>
          </w14:textFill>
        </w:rPr>
      </w:pPr>
      <w:r>
        <w:drawing>
          <wp:inline distT="0" distB="0" distL="0" distR="0">
            <wp:extent cx="4181475" cy="2444750"/>
            <wp:effectExtent l="0" t="0" r="0" b="0"/>
            <wp:docPr id="839403605" name="Picture 83940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3605" name="Picture 83940360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181475" cy="2444982"/>
                    </a:xfrm>
                    <a:prstGeom prst="rect">
                      <a:avLst/>
                    </a:prstGeom>
                  </pic:spPr>
                </pic:pic>
              </a:graphicData>
            </a:graphic>
          </wp:inline>
        </w:drawing>
      </w:r>
      <w:r>
        <w:rPr>
          <w:rFonts w:ascii="微软雅黑" w:hAnsi="微软雅黑" w:eastAsia="微软雅黑" w:cs="微软雅黑"/>
          <w:color w:val="000000" w:themeColor="text1"/>
          <w:sz w:val="22"/>
          <w:szCs w:val="22"/>
          <w14:textFill>
            <w14:solidFill>
              <w14:schemeClr w14:val="tx1"/>
            </w14:solidFill>
          </w14:textFill>
        </w:rPr>
        <w:t xml:space="preserve">             </w:t>
      </w:r>
    </w:p>
    <w:p w14:paraId="6450D1BD">
      <w:pPr>
        <w:shd w:val="clear" w:color="auto" w:fill="FFFFFF" w:themeFill="background1"/>
        <w:spacing w:before="120" w:afterAutospacing="1" w:line="240" w:lineRule="auto"/>
        <w:rPr>
          <w:rFonts w:ascii="微软雅黑" w:hAnsi="微软雅黑" w:eastAsia="微软雅黑" w:cs="微软雅黑"/>
          <w:color w:val="000000" w:themeColor="text1"/>
          <w:sz w:val="36"/>
          <w:szCs w:val="36"/>
          <w14:textFill>
            <w14:solidFill>
              <w14:schemeClr w14:val="tx1"/>
            </w14:solidFill>
          </w14:textFill>
        </w:rPr>
      </w:pPr>
      <w:r>
        <w:rPr>
          <w:rFonts w:ascii="微软雅黑" w:hAnsi="微软雅黑" w:eastAsia="微软雅黑" w:cs="微软雅黑"/>
          <w:b/>
          <w:bCs/>
          <w:color w:val="000000" w:themeColor="text1"/>
          <w:sz w:val="36"/>
          <w:szCs w:val="36"/>
          <w:lang w:eastAsia="zh-CN"/>
          <w14:textFill>
            <w14:solidFill>
              <w14:schemeClr w14:val="tx1"/>
            </w14:solidFill>
          </w14:textFill>
        </w:rPr>
        <w:t>二、具体需求</w:t>
      </w:r>
    </w:p>
    <w:p w14:paraId="188CAE3A">
      <w:pPr>
        <w:shd w:val="clear" w:color="auto" w:fill="FFFFFF" w:themeFill="background1"/>
        <w:spacing w:beforeAutospacing="1" w:after="60" w:line="240" w:lineRule="auto"/>
        <w:rPr>
          <w:rFonts w:ascii="微软雅黑" w:hAnsi="微软雅黑" w:eastAsia="微软雅黑" w:cs="微软雅黑"/>
          <w:color w:val="000000" w:themeColor="text1"/>
          <w:sz w:val="36"/>
          <w:szCs w:val="36"/>
          <w14:textFill>
            <w14:solidFill>
              <w14:schemeClr w14:val="tx1"/>
            </w14:solidFill>
          </w14:textFill>
        </w:rPr>
      </w:pPr>
    </w:p>
    <w:p w14:paraId="6D8D990F">
      <w:pPr>
        <w:shd w:val="clear" w:color="auto" w:fill="FFFFFF" w:themeFill="background1"/>
        <w:spacing w:beforeAutospacing="1" w:after="60" w:line="240" w:lineRule="auto"/>
        <w:rPr>
          <w:rFonts w:ascii="微软雅黑" w:hAnsi="微软雅黑" w:eastAsia="微软雅黑" w:cs="微软雅黑"/>
          <w:color w:val="000000" w:themeColor="text1"/>
          <w:sz w:val="27"/>
          <w:szCs w:val="27"/>
          <w:lang w:eastAsia="zh-CN"/>
          <w14:textFill>
            <w14:solidFill>
              <w14:schemeClr w14:val="tx1"/>
            </w14:solidFill>
          </w14:textFill>
        </w:rPr>
      </w:pPr>
      <w:r>
        <w:rPr>
          <w:rFonts w:ascii="微软雅黑" w:hAnsi="微软雅黑" w:eastAsia="微软雅黑" w:cs="微软雅黑"/>
          <w:b/>
          <w:bCs/>
          <w:color w:val="000000" w:themeColor="text1"/>
          <w:sz w:val="27"/>
          <w:szCs w:val="27"/>
          <w:lang w:eastAsia="zh-CN"/>
          <w14:textFill>
            <w14:solidFill>
              <w14:schemeClr w14:val="tx1"/>
            </w14:solidFill>
          </w14:textFill>
        </w:rPr>
        <w:t>（一）广告数据管理平台（DMP）搭建需求</w:t>
      </w:r>
    </w:p>
    <w:tbl>
      <w:tblPr>
        <w:tblStyle w:val="14"/>
        <w:tblW w:w="0" w:type="auto"/>
        <w:tblInd w:w="72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130"/>
        <w:gridCol w:w="6795"/>
      </w:tblGrid>
      <w:tr w14:paraId="71F90919">
        <w:trPr>
          <w:trHeight w:val="300" w:hRule="atLeast"/>
        </w:trPr>
        <w:tc>
          <w:tcPr>
            <w:tcW w:w="2130" w:type="dxa"/>
            <w:shd w:val="clear" w:color="auto" w:fill="0070C0"/>
            <w:tcMar>
              <w:left w:w="105" w:type="dxa"/>
              <w:right w:w="105" w:type="dxa"/>
            </w:tcMar>
          </w:tcPr>
          <w:p w14:paraId="500D6D33">
            <w:pPr>
              <w:widowControl w:val="0"/>
              <w:spacing w:after="0" w:line="240" w:lineRule="auto"/>
              <w:rPr>
                <w:rFonts w:ascii="微软雅黑" w:hAnsi="微软雅黑" w:eastAsia="微软雅黑" w:cs="微软雅黑"/>
                <w:color w:val="FFFFFF" w:themeColor="background1"/>
                <w14:textFill>
                  <w14:solidFill>
                    <w14:schemeClr w14:val="bg1"/>
                  </w14:solidFill>
                </w14:textFill>
              </w:rPr>
            </w:pPr>
            <w:r>
              <w:rPr>
                <w:rFonts w:ascii="微软雅黑" w:hAnsi="微软雅黑" w:eastAsia="微软雅黑" w:cs="微软雅黑"/>
                <w:b/>
                <w:bCs/>
                <w:color w:val="FFFFFF" w:themeColor="background1"/>
                <w14:textFill>
                  <w14:solidFill>
                    <w14:schemeClr w14:val="bg1"/>
                  </w14:solidFill>
                </w14:textFill>
              </w:rPr>
              <w:t>主题</w:t>
            </w:r>
          </w:p>
        </w:tc>
        <w:tc>
          <w:tcPr>
            <w:tcW w:w="6795" w:type="dxa"/>
            <w:shd w:val="clear" w:color="auto" w:fill="0070C0"/>
            <w:tcMar>
              <w:left w:w="105" w:type="dxa"/>
              <w:right w:w="105" w:type="dxa"/>
            </w:tcMar>
          </w:tcPr>
          <w:p w14:paraId="6A5FF095">
            <w:pPr>
              <w:widowControl w:val="0"/>
              <w:spacing w:after="0" w:line="240" w:lineRule="auto"/>
              <w:rPr>
                <w:rFonts w:ascii="微软雅黑" w:hAnsi="微软雅黑" w:eastAsia="微软雅黑" w:cs="微软雅黑"/>
                <w:color w:val="FFFFFF" w:themeColor="background1"/>
                <w14:textFill>
                  <w14:solidFill>
                    <w14:schemeClr w14:val="bg1"/>
                  </w14:solidFill>
                </w14:textFill>
              </w:rPr>
            </w:pPr>
            <w:r>
              <w:rPr>
                <w:rFonts w:ascii="微软雅黑" w:hAnsi="微软雅黑" w:eastAsia="微软雅黑" w:cs="微软雅黑"/>
                <w:b/>
                <w:bCs/>
                <w:color w:val="FFFFFF" w:themeColor="background1"/>
                <w14:textFill>
                  <w14:solidFill>
                    <w14:schemeClr w14:val="bg1"/>
                  </w14:solidFill>
                </w14:textFill>
              </w:rPr>
              <w:t>具体内容</w:t>
            </w:r>
          </w:p>
        </w:tc>
      </w:tr>
      <w:tr w14:paraId="49161C3A">
        <w:trPr>
          <w:trHeight w:val="300" w:hRule="atLeast"/>
        </w:trPr>
        <w:tc>
          <w:tcPr>
            <w:tcW w:w="2130" w:type="dxa"/>
            <w:tcMar>
              <w:left w:w="105" w:type="dxa"/>
              <w:right w:w="105" w:type="dxa"/>
            </w:tcMar>
          </w:tcPr>
          <w:p w14:paraId="68E49B04">
            <w:pPr>
              <w:widowControl w:val="0"/>
              <w:spacing w:after="0" w:line="240" w:lineRule="auto"/>
              <w:rPr>
                <w:rFonts w:ascii="微软雅黑" w:hAnsi="微软雅黑" w:eastAsia="微软雅黑" w:cs="微软雅黑"/>
                <w:color w:val="222222"/>
                <w:sz w:val="20"/>
                <w:szCs w:val="20"/>
              </w:rPr>
            </w:pPr>
            <w:r>
              <w:rPr>
                <w:rFonts w:ascii="微软雅黑" w:hAnsi="微软雅黑" w:eastAsia="微软雅黑" w:cs="微软雅黑"/>
                <w:color w:val="222222"/>
                <w:sz w:val="20"/>
                <w:szCs w:val="20"/>
              </w:rPr>
              <w:t>数据采集</w:t>
            </w:r>
          </w:p>
        </w:tc>
        <w:tc>
          <w:tcPr>
            <w:tcW w:w="6795" w:type="dxa"/>
            <w:tcMar>
              <w:left w:w="105" w:type="dxa"/>
              <w:right w:w="105" w:type="dxa"/>
            </w:tcMar>
          </w:tcPr>
          <w:p w14:paraId="00989DA9">
            <w:pPr>
              <w:widowControl w:val="0"/>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1.支持以合规的方式采集主流媒体广告数据（包含且不限曝光、点击数据）并进行数据ETL清洗，数据存储</w:t>
            </w:r>
          </w:p>
          <w:p w14:paraId="05F0048A">
            <w:pPr>
              <w:widowControl w:val="0"/>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2. 数据调研，数据源梳理，有质量追踪及保证体系</w:t>
            </w:r>
          </w:p>
          <w:p w14:paraId="723723E9">
            <w:pPr>
              <w:widowControl w:val="0"/>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3. 支持数据接入和清洗 测试，保证接入数据质量</w:t>
            </w:r>
          </w:p>
        </w:tc>
      </w:tr>
      <w:tr w14:paraId="7B1FE387">
        <w:trPr>
          <w:trHeight w:val="300" w:hRule="atLeast"/>
        </w:trPr>
        <w:tc>
          <w:tcPr>
            <w:tcW w:w="2130" w:type="dxa"/>
            <w:tcMar>
              <w:left w:w="105" w:type="dxa"/>
              <w:right w:w="105" w:type="dxa"/>
            </w:tcMar>
          </w:tcPr>
          <w:p w14:paraId="5B2AE6B2">
            <w:pPr>
              <w:widowControl w:val="0"/>
              <w:spacing w:after="0" w:line="240" w:lineRule="auto"/>
              <w:rPr>
                <w:rFonts w:ascii="微软雅黑" w:hAnsi="微软雅黑" w:eastAsia="微软雅黑" w:cs="微软雅黑"/>
                <w:color w:val="222222"/>
                <w:sz w:val="20"/>
                <w:szCs w:val="20"/>
              </w:rPr>
            </w:pPr>
            <w:r>
              <w:rPr>
                <w:rFonts w:ascii="微软雅黑" w:hAnsi="微软雅黑" w:eastAsia="微软雅黑" w:cs="微软雅黑"/>
                <w:color w:val="222222"/>
                <w:sz w:val="20"/>
                <w:szCs w:val="20"/>
              </w:rPr>
              <w:t>数据管理</w:t>
            </w:r>
          </w:p>
        </w:tc>
        <w:tc>
          <w:tcPr>
            <w:tcW w:w="6795" w:type="dxa"/>
            <w:tcMar>
              <w:left w:w="105" w:type="dxa"/>
              <w:right w:w="105" w:type="dxa"/>
            </w:tcMar>
          </w:tcPr>
          <w:p w14:paraId="18ABB1E2">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1.配合规划、设计适用于各条业务线的用户标签体系并提供三方标签应用咨询与建议，基于标签服务，负责DMP项目短期的开发实施，中长期数据应用服务与优化升级</w:t>
            </w:r>
          </w:p>
          <w:p w14:paraId="33FD631E">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2.保证合理及时更新频率，以满足日常业务使用</w:t>
            </w:r>
          </w:p>
          <w:p w14:paraId="6C7CD60C">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3.有质量追踪及保证体系</w:t>
            </w:r>
          </w:p>
        </w:tc>
      </w:tr>
      <w:tr w14:paraId="5DD69DE0">
        <w:trPr>
          <w:trHeight w:val="300" w:hRule="atLeast"/>
        </w:trPr>
        <w:tc>
          <w:tcPr>
            <w:tcW w:w="2130" w:type="dxa"/>
            <w:tcMar>
              <w:left w:w="105" w:type="dxa"/>
              <w:right w:w="105" w:type="dxa"/>
            </w:tcMar>
          </w:tcPr>
          <w:p w14:paraId="3290DD90">
            <w:pPr>
              <w:widowControl w:val="0"/>
              <w:spacing w:after="0" w:line="240" w:lineRule="auto"/>
              <w:rPr>
                <w:rFonts w:ascii="微软雅黑" w:hAnsi="微软雅黑" w:eastAsia="微软雅黑" w:cs="微软雅黑"/>
                <w:color w:val="222222"/>
                <w:sz w:val="20"/>
                <w:szCs w:val="20"/>
              </w:rPr>
            </w:pPr>
            <w:r>
              <w:rPr>
                <w:rFonts w:ascii="微软雅黑" w:hAnsi="微软雅黑" w:eastAsia="微软雅黑" w:cs="微软雅黑"/>
                <w:color w:val="222222"/>
                <w:sz w:val="20"/>
                <w:szCs w:val="20"/>
              </w:rPr>
              <w:t>数据对接</w:t>
            </w:r>
          </w:p>
        </w:tc>
        <w:tc>
          <w:tcPr>
            <w:tcW w:w="6795" w:type="dxa"/>
            <w:tcMar>
              <w:left w:w="105" w:type="dxa"/>
              <w:right w:w="105" w:type="dxa"/>
            </w:tcMar>
          </w:tcPr>
          <w:p w14:paraId="646CE533">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1.投放平台对接，支持对接行业主流投放平台（包含且不限阿里，京东，拼多多，抖音，小红书，快手，腾讯，Adserving等），可进行人群包推送广告投放</w:t>
            </w:r>
          </w:p>
          <w:p w14:paraId="0F0D8A14">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2.数据分析平台对接，支持对接行业主流分析平台（包含且不限阿里数据银行、策略中心，京东数坊，抖音云图等），可进行人群包推送分析</w:t>
            </w:r>
          </w:p>
          <w:p w14:paraId="56158A7C">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3.一方系统对接，支持对接品牌一方数据平台（包含且不限雀巢CDP等）</w:t>
            </w:r>
          </w:p>
        </w:tc>
      </w:tr>
      <w:tr w14:paraId="41F725CE">
        <w:trPr>
          <w:trHeight w:val="300" w:hRule="atLeast"/>
        </w:trPr>
        <w:tc>
          <w:tcPr>
            <w:tcW w:w="2130" w:type="dxa"/>
            <w:tcMar>
              <w:left w:w="105" w:type="dxa"/>
              <w:right w:w="105" w:type="dxa"/>
            </w:tcMar>
          </w:tcPr>
          <w:p w14:paraId="2BB71167">
            <w:pPr>
              <w:widowControl w:val="0"/>
              <w:spacing w:after="0" w:line="240" w:lineRule="auto"/>
              <w:rPr>
                <w:rFonts w:ascii="微软雅黑" w:hAnsi="微软雅黑" w:eastAsia="微软雅黑" w:cs="微软雅黑"/>
                <w:color w:val="222222"/>
                <w:sz w:val="20"/>
                <w:szCs w:val="20"/>
              </w:rPr>
            </w:pPr>
            <w:r>
              <w:rPr>
                <w:rFonts w:ascii="微软雅黑" w:hAnsi="微软雅黑" w:eastAsia="微软雅黑" w:cs="微软雅黑"/>
                <w:color w:val="222222"/>
                <w:sz w:val="20"/>
                <w:szCs w:val="20"/>
              </w:rPr>
              <w:t>分析洞察</w:t>
            </w:r>
          </w:p>
        </w:tc>
        <w:tc>
          <w:tcPr>
            <w:tcW w:w="6795" w:type="dxa"/>
            <w:tcMar>
              <w:left w:w="105" w:type="dxa"/>
              <w:right w:w="105" w:type="dxa"/>
            </w:tcMar>
          </w:tcPr>
          <w:p w14:paraId="131C14B7">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系统可自动支持人群洞察、活动效果评估等分析</w:t>
            </w:r>
          </w:p>
        </w:tc>
      </w:tr>
      <w:tr w14:paraId="2A65856D">
        <w:trPr>
          <w:trHeight w:val="300" w:hRule="atLeast"/>
        </w:trPr>
        <w:tc>
          <w:tcPr>
            <w:tcW w:w="2130" w:type="dxa"/>
            <w:tcMar>
              <w:left w:w="105" w:type="dxa"/>
              <w:right w:w="105" w:type="dxa"/>
            </w:tcMar>
          </w:tcPr>
          <w:p w14:paraId="195202F6">
            <w:pPr>
              <w:widowControl w:val="0"/>
              <w:spacing w:after="0" w:line="240" w:lineRule="auto"/>
              <w:rPr>
                <w:rFonts w:ascii="微软雅黑" w:hAnsi="微软雅黑" w:eastAsia="微软雅黑" w:cs="微软雅黑"/>
                <w:color w:val="222222"/>
                <w:sz w:val="20"/>
                <w:szCs w:val="20"/>
              </w:rPr>
            </w:pPr>
            <w:r>
              <w:rPr>
                <w:rFonts w:ascii="微软雅黑" w:hAnsi="微软雅黑" w:eastAsia="微软雅黑" w:cs="微软雅黑"/>
                <w:color w:val="222222"/>
                <w:sz w:val="20"/>
                <w:szCs w:val="20"/>
              </w:rPr>
              <w:t>用户权限</w:t>
            </w:r>
          </w:p>
        </w:tc>
        <w:tc>
          <w:tcPr>
            <w:tcW w:w="6795" w:type="dxa"/>
            <w:tcMar>
              <w:left w:w="105" w:type="dxa"/>
              <w:right w:w="105" w:type="dxa"/>
            </w:tcMar>
          </w:tcPr>
          <w:p w14:paraId="47D84845">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支持分层的用户权限设计，支持基于雀巢组织架构进行用户分层及权限管控</w:t>
            </w:r>
          </w:p>
        </w:tc>
      </w:tr>
      <w:tr w14:paraId="652B661D">
        <w:trPr>
          <w:trHeight w:val="300" w:hRule="atLeast"/>
        </w:trPr>
        <w:tc>
          <w:tcPr>
            <w:tcW w:w="2130" w:type="dxa"/>
            <w:tcMar>
              <w:left w:w="105" w:type="dxa"/>
              <w:right w:w="105" w:type="dxa"/>
            </w:tcMar>
          </w:tcPr>
          <w:p w14:paraId="7971F414">
            <w:pPr>
              <w:widowControl w:val="0"/>
              <w:spacing w:after="0" w:line="240" w:lineRule="auto"/>
              <w:rPr>
                <w:rFonts w:ascii="微软雅黑" w:hAnsi="微软雅黑" w:eastAsia="微软雅黑" w:cs="微软雅黑"/>
                <w:color w:val="222222"/>
                <w:sz w:val="20"/>
                <w:szCs w:val="20"/>
              </w:rPr>
            </w:pPr>
            <w:r>
              <w:rPr>
                <w:rFonts w:ascii="微软雅黑" w:hAnsi="微软雅黑" w:eastAsia="微软雅黑" w:cs="微软雅黑"/>
                <w:color w:val="222222"/>
                <w:sz w:val="20"/>
                <w:szCs w:val="20"/>
              </w:rPr>
              <w:t>运维保障</w:t>
            </w:r>
          </w:p>
        </w:tc>
        <w:tc>
          <w:tcPr>
            <w:tcW w:w="6795" w:type="dxa"/>
            <w:tcMar>
              <w:left w:w="105" w:type="dxa"/>
              <w:right w:w="105" w:type="dxa"/>
            </w:tcMar>
          </w:tcPr>
          <w:p w14:paraId="2ECD6FEE">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确保系统日常运营，包含后续服务的debug和运维支持</w:t>
            </w:r>
          </w:p>
        </w:tc>
      </w:tr>
    </w:tbl>
    <w:p w14:paraId="082B447E">
      <w:pPr>
        <w:shd w:val="clear" w:color="auto" w:fill="FFFFFF" w:themeFill="background1"/>
        <w:spacing w:beforeAutospacing="1" w:after="60" w:line="240" w:lineRule="auto"/>
        <w:rPr>
          <w:rFonts w:ascii="微软雅黑" w:hAnsi="微软雅黑" w:eastAsia="微软雅黑" w:cs="微软雅黑"/>
          <w:color w:val="000000" w:themeColor="text1"/>
          <w:sz w:val="27"/>
          <w:szCs w:val="27"/>
          <w:lang w:eastAsia="zh-CN"/>
          <w14:textFill>
            <w14:solidFill>
              <w14:schemeClr w14:val="tx1"/>
            </w14:solidFill>
          </w14:textFill>
        </w:rPr>
      </w:pPr>
    </w:p>
    <w:p w14:paraId="7EF6CB7E">
      <w:pPr>
        <w:shd w:val="clear" w:color="auto" w:fill="FFFFFF" w:themeFill="background1"/>
        <w:spacing w:beforeAutospacing="1" w:after="60" w:line="240" w:lineRule="auto"/>
        <w:rPr>
          <w:rFonts w:ascii="微软雅黑" w:hAnsi="微软雅黑" w:eastAsia="微软雅黑" w:cs="微软雅黑"/>
          <w:color w:val="000000" w:themeColor="text1"/>
          <w:sz w:val="27"/>
          <w:szCs w:val="27"/>
          <w:lang w:eastAsia="zh-CN"/>
          <w14:textFill>
            <w14:solidFill>
              <w14:schemeClr w14:val="tx1"/>
            </w14:solidFill>
          </w14:textFill>
        </w:rPr>
      </w:pPr>
    </w:p>
    <w:p w14:paraId="09A64A70">
      <w:pPr>
        <w:shd w:val="clear" w:color="auto" w:fill="FFFFFF" w:themeFill="background1"/>
        <w:spacing w:beforeAutospacing="1" w:after="60" w:line="240" w:lineRule="auto"/>
        <w:rPr>
          <w:rFonts w:hint="eastAsia" w:ascii="微软雅黑" w:hAnsi="微软雅黑" w:eastAsia="微软雅黑" w:cs="微软雅黑"/>
          <w:color w:val="000000" w:themeColor="text1"/>
          <w:sz w:val="27"/>
          <w:szCs w:val="27"/>
          <w:lang w:eastAsia="zh-CN"/>
          <w14:textFill>
            <w14:solidFill>
              <w14:schemeClr w14:val="tx1"/>
            </w14:solidFill>
          </w14:textFill>
        </w:rPr>
      </w:pPr>
    </w:p>
    <w:p w14:paraId="00A7A4ED">
      <w:pPr>
        <w:shd w:val="clear" w:color="auto" w:fill="FFFFFF" w:themeFill="background1"/>
        <w:spacing w:beforeAutospacing="1" w:after="60" w:line="240" w:lineRule="auto"/>
        <w:rPr>
          <w:rFonts w:ascii="微软雅黑" w:hAnsi="微软雅黑" w:eastAsia="微软雅黑" w:cs="微软雅黑"/>
          <w:color w:val="000000" w:themeColor="text1"/>
          <w:sz w:val="27"/>
          <w:szCs w:val="27"/>
          <w:lang w:eastAsia="zh-CN"/>
          <w14:textFill>
            <w14:solidFill>
              <w14:schemeClr w14:val="tx1"/>
            </w14:solidFill>
          </w14:textFill>
        </w:rPr>
      </w:pPr>
      <w:r>
        <w:rPr>
          <w:rFonts w:ascii="微软雅黑" w:hAnsi="微软雅黑" w:eastAsia="微软雅黑" w:cs="微软雅黑"/>
          <w:b/>
          <w:bCs/>
          <w:color w:val="000000" w:themeColor="text1"/>
          <w:sz w:val="27"/>
          <w:szCs w:val="27"/>
          <w:lang w:eastAsia="zh-CN"/>
          <w14:textFill>
            <w14:solidFill>
              <w14:schemeClr w14:val="tx1"/>
            </w14:solidFill>
          </w14:textFill>
        </w:rPr>
        <w:t>（二）DMP运营及营销提效需求（基础部分）</w:t>
      </w:r>
    </w:p>
    <w:p w14:paraId="52441A9F">
      <w:pPr>
        <w:spacing w:after="0" w:line="240" w:lineRule="auto"/>
        <w:rPr>
          <w:rFonts w:ascii="等线" w:hAnsi="等线" w:eastAsia="等线" w:cs="等线"/>
          <w:color w:val="000000" w:themeColor="text1"/>
          <w:sz w:val="22"/>
          <w:szCs w:val="22"/>
          <w:lang w:eastAsia="zh-CN"/>
          <w14:textFill>
            <w14:solidFill>
              <w14:schemeClr w14:val="tx1"/>
            </w14:solidFill>
          </w14:textFill>
        </w:rPr>
      </w:pPr>
    </w:p>
    <w:tbl>
      <w:tblPr>
        <w:tblStyle w:val="14"/>
        <w:tblW w:w="8925" w:type="dxa"/>
        <w:tblInd w:w="72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370"/>
        <w:gridCol w:w="6555"/>
      </w:tblGrid>
      <w:tr w14:paraId="2F330DE8">
        <w:trPr>
          <w:trHeight w:val="300" w:hRule="atLeast"/>
        </w:trPr>
        <w:tc>
          <w:tcPr>
            <w:tcW w:w="2370" w:type="dxa"/>
            <w:shd w:val="clear" w:color="auto" w:fill="0070C0"/>
            <w:tcMar>
              <w:left w:w="105" w:type="dxa"/>
              <w:right w:w="105" w:type="dxa"/>
            </w:tcMar>
          </w:tcPr>
          <w:p w14:paraId="4A2EC3D2">
            <w:pPr>
              <w:widowControl w:val="0"/>
              <w:spacing w:after="0" w:line="240" w:lineRule="auto"/>
              <w:rPr>
                <w:rFonts w:ascii="微软雅黑" w:hAnsi="微软雅黑" w:eastAsia="微软雅黑" w:cs="微软雅黑"/>
                <w:color w:val="FFFFFF" w:themeColor="background1"/>
                <w14:textFill>
                  <w14:solidFill>
                    <w14:schemeClr w14:val="bg1"/>
                  </w14:solidFill>
                </w14:textFill>
              </w:rPr>
            </w:pPr>
            <w:r>
              <w:rPr>
                <w:rFonts w:ascii="微软雅黑" w:hAnsi="微软雅黑" w:eastAsia="微软雅黑" w:cs="微软雅黑"/>
                <w:b/>
                <w:bCs/>
                <w:color w:val="FFFFFF" w:themeColor="background1"/>
                <w14:textFill>
                  <w14:solidFill>
                    <w14:schemeClr w14:val="bg1"/>
                  </w14:solidFill>
                </w14:textFill>
              </w:rPr>
              <w:t>主题</w:t>
            </w:r>
          </w:p>
        </w:tc>
        <w:tc>
          <w:tcPr>
            <w:tcW w:w="6555" w:type="dxa"/>
            <w:shd w:val="clear" w:color="auto" w:fill="0070C0"/>
            <w:tcMar>
              <w:left w:w="105" w:type="dxa"/>
              <w:right w:w="105" w:type="dxa"/>
            </w:tcMar>
          </w:tcPr>
          <w:p w14:paraId="26CAB80B">
            <w:pPr>
              <w:widowControl w:val="0"/>
              <w:spacing w:after="0" w:line="240" w:lineRule="auto"/>
              <w:rPr>
                <w:rFonts w:ascii="微软雅黑" w:hAnsi="微软雅黑" w:eastAsia="微软雅黑" w:cs="微软雅黑"/>
                <w:color w:val="FFFFFF" w:themeColor="background1"/>
                <w14:textFill>
                  <w14:solidFill>
                    <w14:schemeClr w14:val="bg1"/>
                  </w14:solidFill>
                </w14:textFill>
              </w:rPr>
            </w:pPr>
            <w:r>
              <w:rPr>
                <w:rFonts w:ascii="微软雅黑" w:hAnsi="微软雅黑" w:eastAsia="微软雅黑" w:cs="微软雅黑"/>
                <w:b/>
                <w:bCs/>
                <w:color w:val="FFFFFF" w:themeColor="background1"/>
                <w14:textFill>
                  <w14:solidFill>
                    <w14:schemeClr w14:val="bg1"/>
                  </w14:solidFill>
                </w14:textFill>
              </w:rPr>
              <w:t>具体内容</w:t>
            </w:r>
          </w:p>
        </w:tc>
      </w:tr>
      <w:tr w14:paraId="5E3A2DC7">
        <w:trPr>
          <w:trHeight w:val="300" w:hRule="atLeast"/>
        </w:trPr>
        <w:tc>
          <w:tcPr>
            <w:tcW w:w="2370" w:type="dxa"/>
            <w:tcMar>
              <w:left w:w="105" w:type="dxa"/>
              <w:right w:w="105" w:type="dxa"/>
            </w:tcMar>
          </w:tcPr>
          <w:p w14:paraId="3B6D2F29">
            <w:pPr>
              <w:widowControl w:val="0"/>
              <w:spacing w:after="0" w:line="240" w:lineRule="auto"/>
              <w:rPr>
                <w:rFonts w:ascii="微软雅黑" w:hAnsi="微软雅黑" w:eastAsia="微软雅黑" w:cs="微软雅黑"/>
                <w:color w:val="222222"/>
                <w:sz w:val="20"/>
                <w:szCs w:val="20"/>
              </w:rPr>
            </w:pPr>
            <w:r>
              <w:rPr>
                <w:rFonts w:ascii="微软雅黑" w:hAnsi="微软雅黑" w:eastAsia="微软雅黑" w:cs="微软雅黑"/>
                <w:color w:val="222222"/>
                <w:sz w:val="20"/>
                <w:szCs w:val="20"/>
              </w:rPr>
              <w:t>业务调研及需求设计</w:t>
            </w:r>
          </w:p>
        </w:tc>
        <w:tc>
          <w:tcPr>
            <w:tcW w:w="6555" w:type="dxa"/>
            <w:tcMar>
              <w:left w:w="105" w:type="dxa"/>
              <w:right w:w="105" w:type="dxa"/>
            </w:tcMar>
          </w:tcPr>
          <w:p w14:paraId="1899AEC6">
            <w:pPr>
              <w:widowControl w:val="0"/>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完成雀巢核心业务团队及相关部门调研，梳理整体需求并围绕需求设计整体的运营提效解决方案</w:t>
            </w:r>
          </w:p>
        </w:tc>
      </w:tr>
      <w:tr w14:paraId="1C26A5DB">
        <w:trPr>
          <w:trHeight w:val="300" w:hRule="atLeast"/>
        </w:trPr>
        <w:tc>
          <w:tcPr>
            <w:tcW w:w="2370" w:type="dxa"/>
            <w:tcMar>
              <w:left w:w="105" w:type="dxa"/>
              <w:right w:w="105" w:type="dxa"/>
            </w:tcMar>
          </w:tcPr>
          <w:p w14:paraId="49025615">
            <w:pPr>
              <w:widowControl w:val="0"/>
              <w:spacing w:after="0" w:line="240" w:lineRule="auto"/>
              <w:rPr>
                <w:rFonts w:ascii="微软雅黑" w:hAnsi="微软雅黑" w:eastAsia="微软雅黑" w:cs="微软雅黑"/>
                <w:color w:val="222222"/>
                <w:sz w:val="20"/>
                <w:szCs w:val="20"/>
              </w:rPr>
            </w:pPr>
            <w:r>
              <w:rPr>
                <w:rFonts w:ascii="微软雅黑" w:hAnsi="微软雅黑" w:eastAsia="微软雅黑" w:cs="微软雅黑"/>
                <w:color w:val="222222"/>
                <w:sz w:val="20"/>
                <w:szCs w:val="20"/>
              </w:rPr>
              <w:t>Sales-driven Retargeting运营</w:t>
            </w:r>
          </w:p>
        </w:tc>
        <w:tc>
          <w:tcPr>
            <w:tcW w:w="6555" w:type="dxa"/>
            <w:tcMar>
              <w:left w:w="105" w:type="dxa"/>
              <w:right w:w="105" w:type="dxa"/>
            </w:tcMar>
          </w:tcPr>
          <w:p w14:paraId="497C4F25">
            <w:pPr>
              <w:widowControl w:val="0"/>
              <w:shd w:val="clear" w:color="auto" w:fill="FFFFFF" w:themeFill="background1"/>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1.基于具体业务需求设计人群策略，并与业务方沟通调整确认</w:t>
            </w:r>
          </w:p>
          <w:p w14:paraId="5260D823">
            <w:pPr>
              <w:widowControl w:val="0"/>
              <w:shd w:val="clear" w:color="auto" w:fill="FFFFFF" w:themeFill="background1"/>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2.执行人群圈包并完成人群推送</w:t>
            </w:r>
          </w:p>
          <w:p w14:paraId="0C14434C">
            <w:pPr>
              <w:widowControl w:val="0"/>
              <w:shd w:val="clear" w:color="auto" w:fill="FFFFFF" w:themeFill="background1"/>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3.动态追踪投放效果，动态调优，保证KPI达成</w:t>
            </w:r>
          </w:p>
          <w:p w14:paraId="60FAAA87">
            <w:pPr>
              <w:widowControl w:val="0"/>
              <w:shd w:val="clear" w:color="auto" w:fill="FFFFFF" w:themeFill="background1"/>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4.效果评估，沉淀投放经验，后续持续迭代优化</w:t>
            </w:r>
          </w:p>
        </w:tc>
      </w:tr>
      <w:tr w14:paraId="343A0CEC">
        <w:trPr>
          <w:trHeight w:val="300" w:hRule="atLeast"/>
        </w:trPr>
        <w:tc>
          <w:tcPr>
            <w:tcW w:w="2370" w:type="dxa"/>
            <w:tcMar>
              <w:left w:w="105" w:type="dxa"/>
              <w:right w:w="105" w:type="dxa"/>
            </w:tcMar>
          </w:tcPr>
          <w:p w14:paraId="5971091D">
            <w:pPr>
              <w:widowControl w:val="0"/>
              <w:spacing w:after="0" w:line="240" w:lineRule="auto"/>
              <w:rPr>
                <w:rFonts w:ascii="微软雅黑" w:hAnsi="微软雅黑" w:eastAsia="微软雅黑" w:cs="微软雅黑"/>
                <w:color w:val="000000" w:themeColor="text1"/>
                <w:sz w:val="20"/>
                <w:szCs w:val="20"/>
                <w14:textFill>
                  <w14:solidFill>
                    <w14:schemeClr w14:val="tx1"/>
                  </w14:solidFill>
                </w14:textFill>
              </w:rPr>
            </w:pPr>
            <w:r>
              <w:rPr>
                <w:rFonts w:ascii="微软雅黑" w:hAnsi="微软雅黑" w:eastAsia="微软雅黑" w:cs="微软雅黑"/>
                <w:color w:val="000000" w:themeColor="text1"/>
                <w:sz w:val="20"/>
                <w:szCs w:val="20"/>
                <w14:textFill>
                  <w14:solidFill>
                    <w14:schemeClr w14:val="tx1"/>
                  </w14:solidFill>
                </w14:textFill>
              </w:rPr>
              <w:t>Marketing to Sales效果评估（电商站内外）</w:t>
            </w:r>
          </w:p>
        </w:tc>
        <w:tc>
          <w:tcPr>
            <w:tcW w:w="6555" w:type="dxa"/>
            <w:tcMar>
              <w:left w:w="105" w:type="dxa"/>
              <w:right w:w="105" w:type="dxa"/>
            </w:tcMar>
          </w:tcPr>
          <w:p w14:paraId="426F744A">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1.基于具体业务需求及活动背景，设计合适的效果评估方案，并与业务方沟通调整确认</w:t>
            </w:r>
          </w:p>
          <w:p w14:paraId="467F8BCC">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2.执行人群圈选，推送，打通分析</w:t>
            </w:r>
          </w:p>
          <w:p w14:paraId="6775357E">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3.完成效果评估分析报告，沉淀不同品类不同活动经验，生成雀巢benchmark池</w:t>
            </w:r>
          </w:p>
        </w:tc>
      </w:tr>
      <w:tr w14:paraId="1A93B2B7">
        <w:trPr>
          <w:trHeight w:val="300" w:hRule="atLeast"/>
        </w:trPr>
        <w:tc>
          <w:tcPr>
            <w:tcW w:w="2370" w:type="dxa"/>
            <w:tcMar>
              <w:left w:w="105" w:type="dxa"/>
              <w:right w:w="105" w:type="dxa"/>
            </w:tcMar>
          </w:tcPr>
          <w:p w14:paraId="70859827">
            <w:pPr>
              <w:widowControl w:val="0"/>
              <w:spacing w:after="0" w:line="240" w:lineRule="auto"/>
              <w:rPr>
                <w:rFonts w:hint="eastAsia" w:ascii="微软雅黑" w:hAnsi="微软雅黑" w:eastAsia="微软雅黑" w:cs="微软雅黑"/>
                <w:color w:val="000000" w:themeColor="text1"/>
                <w:sz w:val="20"/>
                <w:szCs w:val="20"/>
                <w:lang w:eastAsia="zh-CN"/>
                <w14:textFill>
                  <w14:solidFill>
                    <w14:schemeClr w14:val="tx1"/>
                  </w14:solidFill>
                </w14:textFill>
              </w:rPr>
            </w:pPr>
            <w:r>
              <w:rPr>
                <w:rFonts w:hint="eastAsia" w:ascii="微软雅黑" w:hAnsi="微软雅黑" w:eastAsia="微软雅黑" w:cs="微软雅黑"/>
                <w:color w:val="000000" w:themeColor="text1"/>
                <w:sz w:val="20"/>
                <w:szCs w:val="20"/>
                <w:lang w:eastAsia="zh-CN"/>
                <w14:textFill>
                  <w14:solidFill>
                    <w14:schemeClr w14:val="tx1"/>
                  </w14:solidFill>
                </w14:textFill>
              </w:rPr>
              <w:t>MTA分析</w:t>
            </w:r>
          </w:p>
        </w:tc>
        <w:tc>
          <w:tcPr>
            <w:tcW w:w="6555" w:type="dxa"/>
            <w:tcMar>
              <w:left w:w="105" w:type="dxa"/>
              <w:right w:w="105" w:type="dxa"/>
            </w:tcMar>
          </w:tcPr>
          <w:p w14:paraId="502AF206">
            <w:pPr>
              <w:widowControl w:val="0"/>
              <w:spacing w:after="0" w:line="288" w:lineRule="auto"/>
              <w:rPr>
                <w:rFonts w:hint="eastAsia" w:ascii="微软雅黑" w:hAnsi="微软雅黑" w:eastAsia="微软雅黑" w:cs="微软雅黑"/>
                <w:color w:val="000000" w:themeColor="text1"/>
                <w:sz w:val="20"/>
                <w:szCs w:val="20"/>
                <w:lang w:eastAsia="zh-CN"/>
                <w14:textFill>
                  <w14:solidFill>
                    <w14:schemeClr w14:val="tx1"/>
                  </w14:solidFill>
                </w14:textFill>
              </w:rPr>
            </w:pPr>
            <w:r>
              <w:rPr>
                <w:rFonts w:hint="eastAsia" w:ascii="微软雅黑" w:hAnsi="微软雅黑" w:eastAsia="微软雅黑" w:cs="微软雅黑"/>
                <w:color w:val="000000" w:themeColor="text1"/>
                <w:sz w:val="20"/>
                <w:szCs w:val="20"/>
                <w:lang w:eastAsia="zh-CN"/>
                <w14:textFill>
                  <w14:solidFill>
                    <w14:schemeClr w14:val="tx1"/>
                  </w14:solidFill>
                </w14:textFill>
              </w:rPr>
              <w:t>基于业务需求进行MTA分析</w:t>
            </w:r>
          </w:p>
        </w:tc>
      </w:tr>
    </w:tbl>
    <w:p w14:paraId="12C41E6A">
      <w:pPr>
        <w:widowControl w:val="0"/>
        <w:rPr>
          <w:rFonts w:hint="eastAsia" w:eastAsia="宋体"/>
          <w:lang w:eastAsia="zh-CN"/>
        </w:rPr>
      </w:pPr>
    </w:p>
    <w:p w14:paraId="703A5514">
      <w:pPr>
        <w:shd w:val="clear" w:color="auto" w:fill="FFFFFF" w:themeFill="background1"/>
        <w:spacing w:beforeAutospacing="1" w:after="60" w:line="240" w:lineRule="auto"/>
        <w:rPr>
          <w:rFonts w:ascii="微软雅黑" w:hAnsi="微软雅黑" w:eastAsia="微软雅黑" w:cs="微软雅黑"/>
          <w:color w:val="000000" w:themeColor="text1"/>
          <w:sz w:val="27"/>
          <w:szCs w:val="27"/>
          <w:lang w:eastAsia="zh-CN"/>
          <w14:textFill>
            <w14:solidFill>
              <w14:schemeClr w14:val="tx1"/>
            </w14:solidFill>
          </w14:textFill>
        </w:rPr>
      </w:pPr>
      <w:r>
        <w:rPr>
          <w:rFonts w:ascii="微软雅黑" w:hAnsi="微软雅黑" w:eastAsia="微软雅黑" w:cs="微软雅黑"/>
          <w:b/>
          <w:bCs/>
          <w:color w:val="000000" w:themeColor="text1"/>
          <w:sz w:val="27"/>
          <w:szCs w:val="27"/>
          <w:lang w:eastAsia="zh-CN"/>
          <w14:textFill>
            <w14:solidFill>
              <w14:schemeClr w14:val="tx1"/>
            </w14:solidFill>
          </w14:textFill>
        </w:rPr>
        <w:t>（三）DMP运营及营销提效需求（升级部分）</w:t>
      </w:r>
    </w:p>
    <w:tbl>
      <w:tblPr>
        <w:tblStyle w:val="14"/>
        <w:tblW w:w="0" w:type="auto"/>
        <w:tblInd w:w="72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370"/>
        <w:gridCol w:w="6555"/>
      </w:tblGrid>
      <w:tr w14:paraId="4C0D2296">
        <w:trPr>
          <w:trHeight w:val="300" w:hRule="atLeast"/>
        </w:trPr>
        <w:tc>
          <w:tcPr>
            <w:tcW w:w="2370" w:type="dxa"/>
            <w:shd w:val="clear" w:color="auto" w:fill="0070C0"/>
            <w:tcMar>
              <w:left w:w="105" w:type="dxa"/>
              <w:right w:w="105" w:type="dxa"/>
            </w:tcMar>
          </w:tcPr>
          <w:p w14:paraId="324D0F3A">
            <w:pPr>
              <w:widowControl w:val="0"/>
              <w:spacing w:after="0" w:line="240" w:lineRule="auto"/>
              <w:rPr>
                <w:rFonts w:ascii="微软雅黑" w:hAnsi="微软雅黑" w:eastAsia="微软雅黑" w:cs="微软雅黑"/>
                <w:color w:val="FFFFFF" w:themeColor="background1"/>
                <w14:textFill>
                  <w14:solidFill>
                    <w14:schemeClr w14:val="bg1"/>
                  </w14:solidFill>
                </w14:textFill>
              </w:rPr>
            </w:pPr>
            <w:r>
              <w:rPr>
                <w:rFonts w:ascii="微软雅黑" w:hAnsi="微软雅黑" w:eastAsia="微软雅黑" w:cs="微软雅黑"/>
                <w:b/>
                <w:bCs/>
                <w:color w:val="FFFFFF" w:themeColor="background1"/>
                <w14:textFill>
                  <w14:solidFill>
                    <w14:schemeClr w14:val="bg1"/>
                  </w14:solidFill>
                </w14:textFill>
              </w:rPr>
              <w:t>主题</w:t>
            </w:r>
          </w:p>
        </w:tc>
        <w:tc>
          <w:tcPr>
            <w:tcW w:w="6555" w:type="dxa"/>
            <w:shd w:val="clear" w:color="auto" w:fill="0070C0"/>
            <w:tcMar>
              <w:left w:w="105" w:type="dxa"/>
              <w:right w:w="105" w:type="dxa"/>
            </w:tcMar>
          </w:tcPr>
          <w:p w14:paraId="2D31088A">
            <w:pPr>
              <w:widowControl w:val="0"/>
              <w:spacing w:after="0" w:line="240" w:lineRule="auto"/>
              <w:rPr>
                <w:rFonts w:ascii="微软雅黑" w:hAnsi="微软雅黑" w:eastAsia="微软雅黑" w:cs="微软雅黑"/>
                <w:color w:val="FFFFFF" w:themeColor="background1"/>
                <w14:textFill>
                  <w14:solidFill>
                    <w14:schemeClr w14:val="bg1"/>
                  </w14:solidFill>
                </w14:textFill>
              </w:rPr>
            </w:pPr>
            <w:r>
              <w:rPr>
                <w:rFonts w:ascii="微软雅黑" w:hAnsi="微软雅黑" w:eastAsia="微软雅黑" w:cs="微软雅黑"/>
                <w:b/>
                <w:bCs/>
                <w:color w:val="FFFFFF" w:themeColor="background1"/>
                <w14:textFill>
                  <w14:solidFill>
                    <w14:schemeClr w14:val="bg1"/>
                  </w14:solidFill>
                </w14:textFill>
              </w:rPr>
              <w:t>具体内容</w:t>
            </w:r>
          </w:p>
        </w:tc>
      </w:tr>
      <w:tr w14:paraId="632C31BE">
        <w:trPr>
          <w:trHeight w:val="300" w:hRule="atLeast"/>
        </w:trPr>
        <w:tc>
          <w:tcPr>
            <w:tcW w:w="2370" w:type="dxa"/>
            <w:tcMar>
              <w:left w:w="105" w:type="dxa"/>
              <w:right w:w="105" w:type="dxa"/>
            </w:tcMar>
          </w:tcPr>
          <w:p w14:paraId="20D347A7">
            <w:pPr>
              <w:widowControl w:val="0"/>
              <w:spacing w:after="0" w:line="240" w:lineRule="auto"/>
              <w:rPr>
                <w:rFonts w:ascii="微软雅黑" w:hAnsi="微软雅黑" w:eastAsia="微软雅黑" w:cs="微软雅黑"/>
                <w:color w:val="000000" w:themeColor="text1"/>
                <w:sz w:val="20"/>
                <w:szCs w:val="20"/>
                <w14:textFill>
                  <w14:solidFill>
                    <w14:schemeClr w14:val="tx1"/>
                  </w14:solidFill>
                </w14:textFill>
              </w:rPr>
            </w:pPr>
            <w:r>
              <w:rPr>
                <w:rFonts w:ascii="微软雅黑" w:hAnsi="微软雅黑" w:eastAsia="微软雅黑" w:cs="微软雅黑"/>
                <w:color w:val="000000" w:themeColor="text1"/>
                <w:sz w:val="20"/>
                <w:szCs w:val="20"/>
                <w14:textFill>
                  <w14:solidFill>
                    <w14:schemeClr w14:val="tx1"/>
                  </w14:solidFill>
                </w14:textFill>
              </w:rPr>
              <w:t>Sales-driven Retargeting升级（高潜人群补充）</w:t>
            </w:r>
          </w:p>
        </w:tc>
        <w:tc>
          <w:tcPr>
            <w:tcW w:w="6555" w:type="dxa"/>
            <w:tcMar>
              <w:left w:w="105" w:type="dxa"/>
              <w:right w:w="105" w:type="dxa"/>
            </w:tcMar>
          </w:tcPr>
          <w:p w14:paraId="213FF995">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基于活动诉求和业务背景，</w:t>
            </w:r>
          </w:p>
          <w:p w14:paraId="59EE4202">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1.通过合适的高潜模型针对二方DMP人群、一方人群进行优选/放大寻求高潜人群，提升Retargeting效果</w:t>
            </w:r>
          </w:p>
          <w:p w14:paraId="789C774A">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2. 通过媒体或电商平台进行建模寻找高潜人群，提升Retargeting效果</w:t>
            </w:r>
          </w:p>
          <w:p w14:paraId="6E61F7E0">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3.提供合规且合适的三方DMP高潜人群，提升Retargeting效果</w:t>
            </w:r>
          </w:p>
        </w:tc>
      </w:tr>
      <w:tr w14:paraId="4F538FC1">
        <w:trPr>
          <w:trHeight w:val="300" w:hRule="atLeast"/>
        </w:trPr>
        <w:tc>
          <w:tcPr>
            <w:tcW w:w="2370" w:type="dxa"/>
            <w:tcMar>
              <w:left w:w="105" w:type="dxa"/>
              <w:right w:w="105" w:type="dxa"/>
            </w:tcMar>
          </w:tcPr>
          <w:p w14:paraId="468C15DA">
            <w:pPr>
              <w:widowControl w:val="0"/>
              <w:spacing w:after="0" w:line="240" w:lineRule="auto"/>
              <w:rPr>
                <w:rFonts w:ascii="微软雅黑" w:hAnsi="微软雅黑" w:eastAsia="微软雅黑" w:cs="微软雅黑"/>
                <w:color w:val="000000" w:themeColor="text1"/>
                <w:sz w:val="20"/>
                <w:szCs w:val="20"/>
                <w14:textFill>
                  <w14:solidFill>
                    <w14:schemeClr w14:val="tx1"/>
                  </w14:solidFill>
                </w14:textFill>
              </w:rPr>
            </w:pPr>
            <w:r>
              <w:rPr>
                <w:rFonts w:ascii="微软雅黑" w:hAnsi="微软雅黑" w:eastAsia="微软雅黑" w:cs="微软雅黑"/>
                <w:color w:val="000000" w:themeColor="text1"/>
                <w:sz w:val="20"/>
                <w:szCs w:val="20"/>
                <w14:textFill>
                  <w14:solidFill>
                    <w14:schemeClr w14:val="tx1"/>
                  </w14:solidFill>
                </w14:textFill>
              </w:rPr>
              <w:t>Marketing to Sales效果评估拓展（二方一方数据打通）</w:t>
            </w:r>
          </w:p>
        </w:tc>
        <w:tc>
          <w:tcPr>
            <w:tcW w:w="6555" w:type="dxa"/>
            <w:tcMar>
              <w:left w:w="105" w:type="dxa"/>
              <w:right w:w="105" w:type="dxa"/>
            </w:tcMar>
          </w:tcPr>
          <w:p w14:paraId="49B52D34">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1.基于具体业务需求及活动背景，设计合适的效果评估方案，并与业务方沟通调整确认</w:t>
            </w:r>
          </w:p>
          <w:p w14:paraId="5E2F7757">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2.支持一方数据与二方DMP数据以合规方式打通（手机号，DID打通）</w:t>
            </w:r>
          </w:p>
          <w:p w14:paraId="7230656D">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3.完成效果评估分析报告</w:t>
            </w:r>
          </w:p>
        </w:tc>
      </w:tr>
      <w:tr w14:paraId="2B420F46">
        <w:trPr>
          <w:trHeight w:val="300" w:hRule="atLeast"/>
        </w:trPr>
        <w:tc>
          <w:tcPr>
            <w:tcW w:w="2370" w:type="dxa"/>
            <w:tcMar>
              <w:left w:w="105" w:type="dxa"/>
              <w:right w:w="105" w:type="dxa"/>
            </w:tcMar>
          </w:tcPr>
          <w:p w14:paraId="72D39F62">
            <w:pPr>
              <w:widowControl w:val="0"/>
              <w:spacing w:after="0" w:line="240" w:lineRule="auto"/>
              <w:rPr>
                <w:rFonts w:ascii="微软雅黑" w:hAnsi="微软雅黑" w:eastAsia="微软雅黑" w:cs="微软雅黑"/>
                <w:color w:val="000000" w:themeColor="text1"/>
                <w:sz w:val="20"/>
                <w:szCs w:val="20"/>
                <w14:textFill>
                  <w14:solidFill>
                    <w14:schemeClr w14:val="tx1"/>
                  </w14:solidFill>
                </w14:textFill>
              </w:rPr>
            </w:pPr>
            <w:r>
              <w:rPr>
                <w:rFonts w:ascii="微软雅黑" w:hAnsi="微软雅黑" w:eastAsia="微软雅黑" w:cs="微软雅黑"/>
                <w:color w:val="000000" w:themeColor="text1"/>
                <w:sz w:val="20"/>
                <w:szCs w:val="20"/>
                <w14:textFill>
                  <w14:solidFill>
                    <w14:schemeClr w14:val="tx1"/>
                  </w14:solidFill>
                </w14:textFill>
              </w:rPr>
              <w:t>分析报告升级</w:t>
            </w:r>
          </w:p>
        </w:tc>
        <w:tc>
          <w:tcPr>
            <w:tcW w:w="6555" w:type="dxa"/>
            <w:tcMar>
              <w:left w:w="105" w:type="dxa"/>
              <w:right w:w="105" w:type="dxa"/>
            </w:tcMar>
          </w:tcPr>
          <w:p w14:paraId="5F6FAA37">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支持提供深度人群洞察报告，MMM归因分析等，提供更深度的策略指导、效果评估</w:t>
            </w:r>
          </w:p>
        </w:tc>
      </w:tr>
      <w:tr w14:paraId="2C534C7C">
        <w:trPr>
          <w:trHeight w:val="300" w:hRule="atLeast"/>
        </w:trPr>
        <w:tc>
          <w:tcPr>
            <w:tcW w:w="2370" w:type="dxa"/>
            <w:tcMar>
              <w:left w:w="105" w:type="dxa"/>
              <w:right w:w="105" w:type="dxa"/>
            </w:tcMar>
          </w:tcPr>
          <w:p w14:paraId="6C1BBD90">
            <w:pPr>
              <w:widowControl w:val="0"/>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数据能力升级（标签增补）</w:t>
            </w:r>
          </w:p>
        </w:tc>
        <w:tc>
          <w:tcPr>
            <w:tcW w:w="6555" w:type="dxa"/>
            <w:tcMar>
              <w:left w:w="105" w:type="dxa"/>
              <w:right w:w="105" w:type="dxa"/>
            </w:tcMar>
          </w:tcPr>
          <w:p w14:paraId="38948153">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支持通过合规方式对DMP人群进行有效的标签增补</w:t>
            </w:r>
          </w:p>
        </w:tc>
      </w:tr>
      <w:tr w14:paraId="428AAB8B">
        <w:trPr>
          <w:trHeight w:val="300" w:hRule="atLeast"/>
        </w:trPr>
        <w:tc>
          <w:tcPr>
            <w:tcW w:w="2370" w:type="dxa"/>
            <w:tcMar>
              <w:left w:w="105" w:type="dxa"/>
              <w:right w:w="105" w:type="dxa"/>
            </w:tcMar>
          </w:tcPr>
          <w:p w14:paraId="4A5D0AF5">
            <w:pPr>
              <w:widowControl w:val="0"/>
              <w:spacing w:after="0" w:line="240"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数据能力升级（运营商数据拓展）</w:t>
            </w:r>
          </w:p>
        </w:tc>
        <w:tc>
          <w:tcPr>
            <w:tcW w:w="6555" w:type="dxa"/>
            <w:tcMar>
              <w:left w:w="105" w:type="dxa"/>
              <w:right w:w="105" w:type="dxa"/>
            </w:tcMar>
          </w:tcPr>
          <w:p w14:paraId="4329F422">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支持通过合规方式使用运营商数据能力，做提效营销不同场景应用</w:t>
            </w:r>
          </w:p>
        </w:tc>
      </w:tr>
      <w:tr w14:paraId="6593A616">
        <w:trPr>
          <w:trHeight w:val="300" w:hRule="atLeast"/>
        </w:trPr>
        <w:tc>
          <w:tcPr>
            <w:tcW w:w="2370" w:type="dxa"/>
            <w:tcMar>
              <w:left w:w="105" w:type="dxa"/>
              <w:right w:w="105" w:type="dxa"/>
            </w:tcMar>
          </w:tcPr>
          <w:p w14:paraId="4CC67367">
            <w:pPr>
              <w:widowControl w:val="0"/>
              <w:spacing w:after="0" w:line="240" w:lineRule="auto"/>
              <w:rPr>
                <w:rFonts w:ascii="微软雅黑" w:hAnsi="微软雅黑" w:eastAsia="微软雅黑" w:cs="微软雅黑"/>
                <w:color w:val="000000" w:themeColor="text1"/>
                <w:sz w:val="20"/>
                <w:szCs w:val="20"/>
                <w14:textFill>
                  <w14:solidFill>
                    <w14:schemeClr w14:val="tx1"/>
                  </w14:solidFill>
                </w14:textFill>
              </w:rPr>
            </w:pPr>
            <w:r>
              <w:rPr>
                <w:rFonts w:ascii="微软雅黑" w:hAnsi="微软雅黑" w:eastAsia="微软雅黑" w:cs="微软雅黑"/>
                <w:color w:val="000000" w:themeColor="text1"/>
                <w:sz w:val="20"/>
                <w:szCs w:val="20"/>
                <w14:textFill>
                  <w14:solidFill>
                    <w14:schemeClr w14:val="tx1"/>
                  </w14:solidFill>
                </w14:textFill>
              </w:rPr>
              <w:t>其他升级能力</w:t>
            </w:r>
          </w:p>
        </w:tc>
        <w:tc>
          <w:tcPr>
            <w:tcW w:w="6555" w:type="dxa"/>
            <w:tcMar>
              <w:left w:w="105" w:type="dxa"/>
              <w:right w:w="105" w:type="dxa"/>
            </w:tcMar>
          </w:tcPr>
          <w:p w14:paraId="599FD374">
            <w:pPr>
              <w:widowControl w:val="0"/>
              <w:spacing w:after="0" w:line="288" w:lineRule="auto"/>
              <w:rPr>
                <w:rFonts w:ascii="微软雅黑" w:hAnsi="微软雅黑" w:eastAsia="微软雅黑" w:cs="微软雅黑"/>
                <w:color w:val="000000" w:themeColor="text1"/>
                <w:sz w:val="20"/>
                <w:szCs w:val="20"/>
                <w:lang w:eastAsia="zh-CN"/>
                <w14:textFill>
                  <w14:solidFill>
                    <w14:schemeClr w14:val="tx1"/>
                  </w14:solidFill>
                </w14:textFill>
              </w:rPr>
            </w:pPr>
            <w:r>
              <w:rPr>
                <w:rFonts w:ascii="微软雅黑" w:hAnsi="微软雅黑" w:eastAsia="微软雅黑" w:cs="微软雅黑"/>
                <w:color w:val="000000" w:themeColor="text1"/>
                <w:sz w:val="20"/>
                <w:szCs w:val="20"/>
                <w:lang w:eastAsia="zh-CN"/>
                <w14:textFill>
                  <w14:solidFill>
                    <w14:schemeClr w14:val="tx1"/>
                  </w14:solidFill>
                </w14:textFill>
              </w:rPr>
              <w:t>此处可提报其他支持营销提效数据及解决方案能力等</w:t>
            </w:r>
          </w:p>
        </w:tc>
      </w:tr>
    </w:tbl>
    <w:p w14:paraId="3B9BDF53">
      <w:pPr>
        <w:spacing w:after="0" w:line="240" w:lineRule="auto"/>
        <w:rPr>
          <w:rFonts w:ascii="等线" w:hAnsi="等线" w:eastAsia="等线" w:cs="等线"/>
          <w:color w:val="000000" w:themeColor="text1"/>
          <w:sz w:val="22"/>
          <w:szCs w:val="22"/>
          <w:lang w:eastAsia="zh-CN"/>
          <w14:textFill>
            <w14:solidFill>
              <w14:schemeClr w14:val="tx1"/>
            </w14:solidFill>
          </w14:textFill>
        </w:rPr>
      </w:pPr>
    </w:p>
    <w:p w14:paraId="1CB94E45">
      <w:pPr>
        <w:shd w:val="clear" w:color="auto" w:fill="FFFFFF" w:themeFill="background1"/>
        <w:spacing w:before="120" w:afterAutospacing="1" w:line="240" w:lineRule="auto"/>
        <w:ind w:left="720"/>
        <w:rPr>
          <w:rFonts w:ascii="微软雅黑" w:hAnsi="微软雅黑" w:eastAsia="微软雅黑" w:cs="微软雅黑"/>
          <w:color w:val="222222"/>
          <w:lang w:eastAsia="zh-CN"/>
        </w:rPr>
      </w:pPr>
    </w:p>
    <w:p w14:paraId="12CFDC6E">
      <w:pPr>
        <w:shd w:val="clear" w:color="auto" w:fill="FFFFFF" w:themeFill="background1"/>
        <w:spacing w:beforeAutospacing="1" w:after="60" w:line="240" w:lineRule="auto"/>
        <w:rPr>
          <w:rFonts w:ascii="微软雅黑" w:hAnsi="微软雅黑" w:eastAsia="微软雅黑" w:cs="微软雅黑"/>
          <w:color w:val="000000" w:themeColor="text1"/>
          <w:sz w:val="36"/>
          <w:szCs w:val="36"/>
          <w14:textFill>
            <w14:solidFill>
              <w14:schemeClr w14:val="tx1"/>
            </w14:solidFill>
          </w14:textFill>
        </w:rPr>
      </w:pPr>
      <w:r>
        <w:rPr>
          <w:rFonts w:ascii="微软雅黑" w:hAnsi="微软雅黑" w:eastAsia="微软雅黑" w:cs="微软雅黑"/>
          <w:b/>
          <w:bCs/>
          <w:color w:val="000000" w:themeColor="text1"/>
          <w:sz w:val="36"/>
          <w:szCs w:val="36"/>
          <w:lang w:eastAsia="zh-CN"/>
          <w14:textFill>
            <w14:solidFill>
              <w14:schemeClr w14:val="tx1"/>
            </w14:solidFill>
          </w14:textFill>
        </w:rPr>
        <w:t>三、投标要求</w:t>
      </w:r>
    </w:p>
    <w:p w14:paraId="520556A9">
      <w:pPr>
        <w:spacing w:after="0" w:line="240" w:lineRule="auto"/>
        <w:rPr>
          <w:rFonts w:ascii="微软雅黑" w:hAnsi="微软雅黑" w:eastAsia="微软雅黑" w:cs="微软雅黑"/>
          <w:color w:val="000000" w:themeColor="text1"/>
          <w14:textFill>
            <w14:solidFill>
              <w14:schemeClr w14:val="tx1"/>
            </w14:solidFill>
          </w14:textFill>
        </w:rPr>
      </w:pPr>
      <w:r>
        <w:br w:type="textWrapping"/>
      </w:r>
    </w:p>
    <w:p w14:paraId="7E5EA8B9">
      <w:pPr>
        <w:pStyle w:val="35"/>
        <w:numPr>
          <w:ilvl w:val="0"/>
          <w:numId w:val="2"/>
        </w:numPr>
        <w:shd w:val="clear" w:color="auto" w:fill="FFFFFF" w:themeFill="background1"/>
        <w:spacing w:beforeAutospacing="1" w:afterAutospacing="1" w:line="240" w:lineRule="auto"/>
        <w:rPr>
          <w:rFonts w:ascii="微软雅黑" w:hAnsi="微软雅黑" w:eastAsia="微软雅黑" w:cs="微软雅黑"/>
          <w:color w:val="222222"/>
          <w:lang w:eastAsia="zh-CN"/>
        </w:rPr>
      </w:pPr>
      <w:r>
        <w:rPr>
          <w:rFonts w:ascii="微软雅黑" w:hAnsi="微软雅黑" w:eastAsia="微软雅黑" w:cs="微软雅黑"/>
          <w:color w:val="222222"/>
          <w:lang w:eastAsia="zh-CN"/>
        </w:rPr>
        <w:t>提供公司资料并确保所有提交资料内容真实、准确、完整</w:t>
      </w:r>
    </w:p>
    <w:p w14:paraId="0A6E8AE4">
      <w:pPr>
        <w:pStyle w:val="35"/>
        <w:numPr>
          <w:ilvl w:val="0"/>
          <w:numId w:val="2"/>
        </w:numPr>
        <w:shd w:val="clear" w:color="auto" w:fill="FFFFFF" w:themeFill="background1"/>
        <w:spacing w:beforeAutospacing="1" w:afterAutospacing="1" w:line="240" w:lineRule="auto"/>
        <w:rPr>
          <w:rFonts w:ascii="微软雅黑" w:hAnsi="微软雅黑" w:eastAsia="微软雅黑" w:cs="微软雅黑"/>
          <w:color w:val="222222"/>
          <w:lang w:eastAsia="zh-CN"/>
        </w:rPr>
      </w:pPr>
      <w:r>
        <w:rPr>
          <w:rFonts w:ascii="微软雅黑" w:hAnsi="微软雅黑" w:eastAsia="微软雅黑" w:cs="微软雅黑"/>
          <w:color w:val="222222"/>
          <w:lang w:eastAsia="zh-CN"/>
        </w:rPr>
        <w:t>内容需要包含公司介绍，能力分享，解决方案，案例分享，团队架构等部分（服务团队核心成员支持接受雀巢面试）</w:t>
      </w:r>
    </w:p>
    <w:p w14:paraId="1BBA72A8">
      <w:pPr>
        <w:pStyle w:val="35"/>
        <w:numPr>
          <w:ilvl w:val="0"/>
          <w:numId w:val="2"/>
        </w:numPr>
        <w:shd w:val="clear" w:color="auto" w:fill="FFFFFF" w:themeFill="background1"/>
        <w:spacing w:beforeAutospacing="1" w:afterAutospacing="1" w:line="240" w:lineRule="auto"/>
        <w:rPr>
          <w:rFonts w:ascii="微软雅黑" w:hAnsi="微软雅黑" w:eastAsia="微软雅黑" w:cs="微软雅黑"/>
          <w:color w:val="222222"/>
          <w:lang w:eastAsia="zh-CN"/>
        </w:rPr>
      </w:pPr>
      <w:r>
        <w:rPr>
          <w:rFonts w:ascii="微软雅黑" w:hAnsi="微软雅黑" w:eastAsia="微软雅黑" w:cs="微软雅黑"/>
          <w:color w:val="222222"/>
          <w:lang w:eastAsia="zh-CN"/>
        </w:rPr>
        <w:t>公司的技术能力，ISO证书/等保证书等，基于个保法的数据处理方案等</w:t>
      </w:r>
    </w:p>
    <w:p w14:paraId="7CA0B904">
      <w:pPr>
        <w:pStyle w:val="35"/>
        <w:numPr>
          <w:ilvl w:val="0"/>
          <w:numId w:val="2"/>
        </w:numPr>
        <w:shd w:val="clear" w:color="auto" w:fill="FFFFFF" w:themeFill="background1"/>
        <w:spacing w:before="120" w:afterAutospacing="1" w:line="240" w:lineRule="auto"/>
        <w:rPr>
          <w:rFonts w:ascii="微软雅黑" w:hAnsi="微软雅黑" w:eastAsia="微软雅黑" w:cs="微软雅黑"/>
          <w:color w:val="222222"/>
          <w:lang w:eastAsia="zh-CN"/>
        </w:rPr>
      </w:pPr>
      <w:r>
        <w:rPr>
          <w:rFonts w:ascii="微软雅黑" w:hAnsi="微软雅黑" w:eastAsia="微软雅黑" w:cs="微软雅黑"/>
          <w:color w:val="222222"/>
          <w:lang w:eastAsia="zh-CN"/>
        </w:rPr>
        <w:t>需提供类似案例参考不少于3家成功客户案例</w:t>
      </w:r>
    </w:p>
    <w:p w14:paraId="18F75C23">
      <w:pPr>
        <w:shd w:val="clear" w:color="auto" w:fill="FFFFFF" w:themeFill="background1"/>
        <w:spacing w:before="120" w:afterAutospacing="1" w:line="240" w:lineRule="auto"/>
        <w:ind w:left="720"/>
        <w:rPr>
          <w:rFonts w:ascii="微软雅黑" w:hAnsi="微软雅黑" w:eastAsia="微软雅黑" w:cs="微软雅黑"/>
          <w:color w:val="222222"/>
          <w:lang w:eastAsia="zh-CN"/>
        </w:rPr>
      </w:pPr>
    </w:p>
    <w:p w14:paraId="7EC9372F">
      <w:pPr>
        <w:shd w:val="clear" w:color="auto" w:fill="FFFFFF" w:themeFill="background1"/>
        <w:spacing w:before="120" w:afterAutospacing="1" w:line="240" w:lineRule="auto"/>
        <w:ind w:left="720"/>
        <w:rPr>
          <w:rFonts w:ascii="微软雅黑" w:hAnsi="微软雅黑" w:eastAsia="微软雅黑" w:cs="微软雅黑"/>
          <w:color w:val="222222"/>
          <w:lang w:eastAsia="zh-CN"/>
        </w:rPr>
      </w:pPr>
    </w:p>
    <w:p w14:paraId="45075917">
      <w:pPr>
        <w:shd w:val="clear" w:color="auto" w:fill="FFFFFF" w:themeFill="background1"/>
        <w:spacing w:beforeAutospacing="1" w:after="60" w:line="240" w:lineRule="auto"/>
        <w:rPr>
          <w:rFonts w:ascii="微软雅黑" w:hAnsi="微软雅黑" w:eastAsia="微软雅黑" w:cs="微软雅黑"/>
          <w:color w:val="000000" w:themeColor="text1"/>
          <w:sz w:val="36"/>
          <w:szCs w:val="36"/>
          <w:lang w:eastAsia="zh-CN"/>
          <w14:textFill>
            <w14:solidFill>
              <w14:schemeClr w14:val="tx1"/>
            </w14:solidFill>
          </w14:textFill>
        </w:rPr>
      </w:pPr>
      <w:r>
        <w:rPr>
          <w:rFonts w:ascii="微软雅黑" w:hAnsi="微软雅黑" w:eastAsia="微软雅黑" w:cs="微软雅黑"/>
          <w:b/>
          <w:bCs/>
          <w:color w:val="000000" w:themeColor="text1"/>
          <w:sz w:val="36"/>
          <w:szCs w:val="36"/>
          <w:lang w:eastAsia="zh-CN"/>
          <w14:textFill>
            <w14:solidFill>
              <w14:schemeClr w14:val="tx1"/>
            </w14:solidFill>
          </w14:textFill>
        </w:rPr>
        <w:t>四、时间安排</w:t>
      </w:r>
    </w:p>
    <w:p w14:paraId="1DC1ED6A">
      <w:pPr>
        <w:shd w:val="clear" w:color="auto" w:fill="FFFFFF" w:themeFill="background1"/>
        <w:spacing w:beforeAutospacing="1" w:after="60" w:line="240" w:lineRule="auto"/>
        <w:rPr>
          <w:rFonts w:ascii="微软雅黑" w:hAnsi="微软雅黑" w:eastAsia="微软雅黑" w:cs="微软雅黑"/>
          <w:b/>
          <w:bCs/>
          <w:color w:val="000000" w:themeColor="text1"/>
          <w:sz w:val="36"/>
          <w:szCs w:val="36"/>
          <w:lang w:eastAsia="zh-CN"/>
          <w14:textFill>
            <w14:solidFill>
              <w14:schemeClr w14:val="tx1"/>
            </w14:solidFill>
          </w14:textFill>
        </w:rPr>
      </w:pPr>
      <w:r>
        <w:rPr>
          <w:rFonts w:ascii="微软雅黑" w:hAnsi="微软雅黑" w:eastAsia="微软雅黑" w:cs="微软雅黑"/>
          <w:b/>
          <w:bCs/>
          <w:color w:val="000000" w:themeColor="text1"/>
          <w:sz w:val="36"/>
          <w:szCs w:val="36"/>
          <w:lang w:eastAsia="zh-CN"/>
          <w14:textFill>
            <w14:solidFill>
              <w14:schemeClr w14:val="tx1"/>
            </w14:solidFill>
          </w14:textFill>
        </w:rPr>
        <w:t xml:space="preserve">      </w:t>
      </w:r>
      <w:r>
        <w:rPr>
          <w:color w:val="222222"/>
          <w:lang w:eastAsia="zh-CN"/>
        </w:rPr>
        <w:t>具体时间以实际通知为准</w:t>
      </w:r>
    </w:p>
    <w:p w14:paraId="6D28EDE2">
      <w:pPr>
        <w:shd w:val="clear" w:color="auto" w:fill="FFFFFF" w:themeFill="background1"/>
        <w:spacing w:beforeAutospacing="1" w:after="60" w:line="240" w:lineRule="auto"/>
        <w:rPr>
          <w:rFonts w:ascii="微软雅黑" w:hAnsi="微软雅黑" w:eastAsia="微软雅黑" w:cs="微软雅黑"/>
          <w:color w:val="222222"/>
          <w:lang w:eastAsia="zh-CN"/>
        </w:rPr>
      </w:pPr>
      <w:r>
        <w:rPr>
          <w:rFonts w:ascii="微软雅黑" w:hAnsi="微软雅黑" w:eastAsia="微软雅黑" w:cs="微软雅黑"/>
          <w:b/>
          <w:bCs/>
          <w:color w:val="000000" w:themeColor="text1"/>
          <w:sz w:val="36"/>
          <w:szCs w:val="36"/>
          <w:lang w:eastAsia="zh-CN"/>
          <w14:textFill>
            <w14:solidFill>
              <w14:schemeClr w14:val="tx1"/>
            </w14:solidFill>
          </w14:textFill>
        </w:rPr>
        <w:t xml:space="preserve">   </w:t>
      </w:r>
      <w:r>
        <w:rPr>
          <w:rFonts w:ascii="微软雅黑" w:hAnsi="微软雅黑" w:eastAsia="微软雅黑" w:cs="微软雅黑"/>
          <w:color w:val="222222"/>
          <w:lang w:eastAsia="zh-CN"/>
        </w:rPr>
        <w:t xml:space="preserve">    </w:t>
      </w:r>
      <w:r>
        <w:rPr>
          <w:rFonts w:hint="eastAsia" w:ascii="微软雅黑" w:hAnsi="微软雅黑" w:eastAsia="微软雅黑" w:cs="微软雅黑"/>
          <w:color w:val="222222"/>
          <w:lang w:eastAsia="zh-CN"/>
        </w:rPr>
        <w:t>10</w:t>
      </w:r>
      <w:r>
        <w:rPr>
          <w:rFonts w:ascii="微软雅黑" w:hAnsi="微软雅黑" w:eastAsia="微软雅黑" w:cs="微软雅黑"/>
          <w:color w:val="222222"/>
          <w:lang w:eastAsia="zh-CN"/>
        </w:rPr>
        <w:t>月</w:t>
      </w:r>
      <w:r>
        <w:rPr>
          <w:rFonts w:hint="eastAsia" w:ascii="微软雅黑" w:hAnsi="微软雅黑" w:eastAsia="微软雅黑" w:cs="微软雅黑"/>
          <w:color w:val="222222"/>
          <w:lang w:eastAsia="zh-CN"/>
        </w:rPr>
        <w:t>30</w:t>
      </w:r>
      <w:r>
        <w:rPr>
          <w:rFonts w:ascii="微软雅黑" w:hAnsi="微软雅黑" w:eastAsia="微软雅黑" w:cs="微软雅黑"/>
          <w:color w:val="222222"/>
          <w:lang w:eastAsia="zh-CN"/>
        </w:rPr>
        <w:t>日——开标时间</w:t>
      </w:r>
    </w:p>
    <w:p w14:paraId="0E1640C5">
      <w:pPr>
        <w:shd w:val="clear" w:color="auto" w:fill="FFFFFF" w:themeFill="background1"/>
        <w:spacing w:beforeAutospacing="1" w:after="60" w:line="240" w:lineRule="auto"/>
        <w:rPr>
          <w:rFonts w:ascii="微软雅黑" w:hAnsi="微软雅黑" w:eastAsia="微软雅黑" w:cs="微软雅黑"/>
          <w:color w:val="222222"/>
          <w:lang w:eastAsia="zh-CN"/>
        </w:rPr>
      </w:pPr>
      <w:r>
        <w:rPr>
          <w:rFonts w:ascii="微软雅黑" w:hAnsi="微软雅黑" w:eastAsia="微软雅黑" w:cs="微软雅黑"/>
          <w:color w:val="222222"/>
          <w:lang w:eastAsia="zh-CN"/>
        </w:rPr>
        <w:t xml:space="preserve">        </w:t>
      </w:r>
      <w:r>
        <w:rPr>
          <w:rFonts w:hint="eastAsia" w:ascii="微软雅黑" w:hAnsi="微软雅黑" w:eastAsia="微软雅黑" w:cs="微软雅黑"/>
          <w:color w:val="222222"/>
          <w:lang w:eastAsia="zh-CN"/>
        </w:rPr>
        <w:t>11</w:t>
      </w:r>
      <w:r>
        <w:rPr>
          <w:rFonts w:ascii="微软雅黑" w:hAnsi="微软雅黑" w:eastAsia="微软雅黑" w:cs="微软雅黑"/>
          <w:color w:val="222222"/>
          <w:lang w:eastAsia="zh-CN"/>
        </w:rPr>
        <w:t>月</w:t>
      </w:r>
      <w:r>
        <w:rPr>
          <w:rFonts w:hint="eastAsia" w:ascii="微软雅黑" w:hAnsi="微软雅黑" w:eastAsia="微软雅黑" w:cs="微软雅黑"/>
          <w:color w:val="222222"/>
          <w:lang w:eastAsia="zh-CN"/>
        </w:rPr>
        <w:t>4</w:t>
      </w:r>
      <w:r>
        <w:rPr>
          <w:rFonts w:ascii="微软雅黑" w:hAnsi="微软雅黑" w:eastAsia="微软雅黑" w:cs="微软雅黑"/>
          <w:color w:val="222222"/>
          <w:lang w:eastAsia="zh-CN"/>
        </w:rPr>
        <w:t>日——资料提交时间</w:t>
      </w:r>
    </w:p>
    <w:p w14:paraId="049F1DD4">
      <w:pPr>
        <w:shd w:val="clear" w:color="auto" w:fill="FFFFFF" w:themeFill="background1"/>
        <w:spacing w:beforeAutospacing="1" w:after="60" w:line="240" w:lineRule="auto"/>
        <w:rPr>
          <w:rFonts w:ascii="微软雅黑" w:hAnsi="微软雅黑" w:eastAsia="微软雅黑" w:cs="微软雅黑"/>
          <w:color w:val="222222"/>
          <w:lang w:eastAsia="zh-CN"/>
        </w:rPr>
      </w:pPr>
      <w:r>
        <w:rPr>
          <w:rFonts w:ascii="微软雅黑" w:hAnsi="微软雅黑" w:eastAsia="微软雅黑" w:cs="微软雅黑"/>
          <w:color w:val="222222"/>
          <w:lang w:eastAsia="zh-CN"/>
        </w:rPr>
        <w:t xml:space="preserve">        </w:t>
      </w:r>
      <w:r>
        <w:rPr>
          <w:rFonts w:hint="eastAsia" w:ascii="微软雅黑" w:hAnsi="微软雅黑" w:eastAsia="微软雅黑" w:cs="微软雅黑"/>
          <w:color w:val="222222"/>
          <w:lang w:eastAsia="zh-CN"/>
        </w:rPr>
        <w:t>11</w:t>
      </w:r>
      <w:r>
        <w:rPr>
          <w:rFonts w:ascii="微软雅黑" w:hAnsi="微软雅黑" w:eastAsia="微软雅黑" w:cs="微软雅黑"/>
          <w:color w:val="222222"/>
          <w:lang w:eastAsia="zh-CN"/>
        </w:rPr>
        <w:t>月</w:t>
      </w:r>
      <w:r>
        <w:rPr>
          <w:rFonts w:hint="eastAsia" w:ascii="微软雅黑" w:hAnsi="微软雅黑" w:eastAsia="微软雅黑" w:cs="微软雅黑"/>
          <w:color w:val="222222"/>
          <w:lang w:eastAsia="zh-CN"/>
        </w:rPr>
        <w:t>4</w:t>
      </w:r>
      <w:r>
        <w:rPr>
          <w:rFonts w:ascii="微软雅黑" w:hAnsi="微软雅黑" w:eastAsia="微软雅黑" w:cs="微软雅黑"/>
          <w:color w:val="222222"/>
          <w:lang w:eastAsia="zh-CN"/>
        </w:rPr>
        <w:t>日/</w:t>
      </w:r>
      <w:r>
        <w:rPr>
          <w:rFonts w:hint="eastAsia" w:ascii="微软雅黑" w:hAnsi="微软雅黑" w:eastAsia="微软雅黑" w:cs="微软雅黑"/>
          <w:color w:val="222222"/>
          <w:lang w:eastAsia="zh-CN"/>
        </w:rPr>
        <w:t>5</w:t>
      </w:r>
      <w:r>
        <w:rPr>
          <w:rFonts w:ascii="微软雅黑" w:hAnsi="微软雅黑" w:eastAsia="微软雅黑" w:cs="微软雅黑"/>
          <w:color w:val="222222"/>
          <w:lang w:eastAsia="zh-CN"/>
        </w:rPr>
        <w:t>日——讲标时间</w:t>
      </w:r>
    </w:p>
    <w:p w14:paraId="5D199ED6">
      <w:pPr>
        <w:shd w:val="clear" w:color="auto" w:fill="FFFFFF" w:themeFill="background1"/>
        <w:spacing w:beforeAutospacing="1" w:after="60" w:line="240" w:lineRule="auto"/>
        <w:rPr>
          <w:rFonts w:ascii="微软雅黑" w:hAnsi="微软雅黑" w:eastAsia="微软雅黑" w:cs="微软雅黑"/>
          <w:color w:val="222222"/>
          <w:lang w:eastAsia="zh-CN"/>
        </w:rPr>
      </w:pPr>
      <w:r>
        <w:rPr>
          <w:rFonts w:ascii="微软雅黑" w:hAnsi="微软雅黑" w:eastAsia="微软雅黑" w:cs="微软雅黑"/>
          <w:color w:val="222222"/>
          <w:lang w:eastAsia="zh-CN"/>
        </w:rPr>
        <w:t xml:space="preserve">   </w:t>
      </w:r>
    </w:p>
    <w:p w14:paraId="1B386994">
      <w:pPr>
        <w:shd w:val="clear" w:color="auto" w:fill="FFFFFF" w:themeFill="background1"/>
        <w:spacing w:beforeAutospacing="1" w:after="60" w:line="240" w:lineRule="auto"/>
        <w:rPr>
          <w:rFonts w:ascii="微软雅黑" w:hAnsi="微软雅黑" w:eastAsia="微软雅黑" w:cs="微软雅黑"/>
          <w:color w:val="222222"/>
          <w:lang w:eastAsia="zh-CN"/>
        </w:rPr>
      </w:pPr>
    </w:p>
    <w:p w14:paraId="440B3065">
      <w:pPr>
        <w:pStyle w:val="12"/>
        <w:widowControl w:val="0"/>
        <w:spacing w:before="120" w:after="120" w:line="288" w:lineRule="auto"/>
        <w:jc w:val="center"/>
        <w:rPr>
          <w:rFonts w:ascii="微软雅黑" w:hAnsi="微软雅黑" w:eastAsia="微软雅黑" w:cs="微软雅黑"/>
          <w:b/>
          <w:bCs/>
          <w:color w:val="000000" w:themeColor="text1"/>
          <w:sz w:val="24"/>
          <w:szCs w:val="24"/>
          <w:lang w:eastAsia="zh-CN"/>
          <w14:textFill>
            <w14:solidFill>
              <w14:schemeClr w14:val="tx1"/>
            </w14:solidFill>
          </w14:textFill>
        </w:rPr>
      </w:pPr>
      <w:r>
        <w:rPr>
          <w:rFonts w:ascii="微软雅黑" w:hAnsi="微软雅黑" w:eastAsia="微软雅黑" w:cs="微软雅黑"/>
          <w:b/>
          <w:bCs/>
          <w:color w:val="000000" w:themeColor="text1"/>
          <w:sz w:val="24"/>
          <w:szCs w:val="24"/>
          <w:lang w:eastAsia="zh-CN"/>
          <w14:textFill>
            <w14:solidFill>
              <w14:schemeClr w14:val="tx1"/>
            </w14:solidFill>
          </w14:textFill>
        </w:rPr>
        <w:t>附件1 – 云服务安全要求</w:t>
      </w:r>
    </w:p>
    <w:p w14:paraId="73FF1827">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适用性和演进</w:t>
      </w:r>
    </w:p>
    <w:p w14:paraId="31BE5092">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供应方将在本协议的整个有效期限内实施和维护，并且将促使其关联方和分包商实施和维护本附件中规定的安全措施（以下简称“</w:t>
      </w:r>
      <w:r>
        <w:rPr>
          <w:rFonts w:ascii="微软雅黑" w:hAnsi="微软雅黑" w:eastAsia="微软雅黑" w:cs="微软雅黑"/>
          <w:color w:val="000000" w:themeColor="text1"/>
          <w:sz w:val="21"/>
          <w:szCs w:val="21"/>
          <w:u w:val="single"/>
          <w:lang w:eastAsia="zh-CN"/>
          <w14:textFill>
            <w14:solidFill>
              <w14:schemeClr w14:val="tx1"/>
            </w14:solidFill>
          </w14:textFill>
        </w:rPr>
        <w:t>安全要求</w:t>
      </w:r>
      <w:r>
        <w:rPr>
          <w:rFonts w:ascii="微软雅黑" w:hAnsi="微软雅黑" w:eastAsia="微软雅黑" w:cs="微软雅黑"/>
          <w:color w:val="000000" w:themeColor="text1"/>
          <w:sz w:val="21"/>
          <w:szCs w:val="21"/>
          <w:lang w:eastAsia="zh-CN"/>
          <w14:textFill>
            <w14:solidFill>
              <w14:schemeClr w14:val="tx1"/>
            </w14:solidFill>
          </w14:textFill>
        </w:rPr>
        <w:t>”），以便始终确保客户数据的保密性、完整性和可用性。</w:t>
      </w:r>
    </w:p>
    <w:p w14:paraId="011DF76C">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安全要求取决于技术进步和演变。因此，供应方及其关联方和分包商可以实施适当的替代措施；</w:t>
      </w:r>
      <w:r>
        <w:rPr>
          <w:rFonts w:ascii="微软雅黑" w:hAnsi="微软雅黑" w:eastAsia="微软雅黑" w:cs="微软雅黑"/>
          <w:color w:val="000000" w:themeColor="text1"/>
          <w:sz w:val="21"/>
          <w:szCs w:val="21"/>
          <w:u w:val="single"/>
          <w:lang w:eastAsia="zh-CN"/>
          <w14:textFill>
            <w14:solidFill>
              <w14:schemeClr w14:val="tx1"/>
            </w14:solidFill>
          </w14:textFill>
        </w:rPr>
        <w:t>但是</w:t>
      </w:r>
      <w:r>
        <w:rPr>
          <w:rFonts w:ascii="微软雅黑" w:hAnsi="微软雅黑" w:eastAsia="微软雅黑" w:cs="微软雅黑"/>
          <w:color w:val="000000" w:themeColor="text1"/>
          <w:sz w:val="21"/>
          <w:szCs w:val="21"/>
          <w:lang w:eastAsia="zh-CN"/>
          <w14:textFill>
            <w14:solidFill>
              <w14:schemeClr w14:val="tx1"/>
            </w14:solidFill>
          </w14:textFill>
        </w:rPr>
        <w:t>，安全级别在任何时候不得降低。</w:t>
      </w:r>
    </w:p>
    <w:p w14:paraId="166D22C9">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供应方将，并且将促使其关联方和分包商（a）记录并通知客户其各自实施的安全要求的所有重大变更；（b）应客户的要求，及时提供任何其他相关信息。</w:t>
      </w:r>
    </w:p>
    <w:p w14:paraId="409C3E53">
      <w:pPr>
        <w:pStyle w:val="35"/>
        <w:numPr>
          <w:ilvl w:val="0"/>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安全标准</w:t>
      </w:r>
    </w:p>
    <w:p w14:paraId="1A98705F">
      <w:pPr>
        <w:pStyle w:val="35"/>
        <w:numPr>
          <w:ilvl w:val="1"/>
          <w:numId w:val="3"/>
        </w:numPr>
        <w:spacing w:before="120" w:after="120" w:line="288" w:lineRule="auto"/>
        <w:ind w:left="567" w:hanging="567"/>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并将使其关联方和分包商，就供应方及其关联方和分包商在处理客户数据时所使用的信息系统（包括程序、人员、软件、数据和基础设施）的安全性、可用性、完整性、机密性和隐私相关的控制而持有并维持：(a)一个ISO/IEC 27001认证（或客户认可的行业标准继任者报告）（“ISO 27001认证”）或(b)服务组织控制2、II型报告，例如SSAE 16 II型或ISAE 3402 II型（或客户认可的继任者报告）（“SOC 2报告”）。</w:t>
      </w:r>
    </w:p>
    <w:p w14:paraId="6359ACD9">
      <w:pPr>
        <w:pStyle w:val="35"/>
        <w:numPr>
          <w:ilvl w:val="1"/>
          <w:numId w:val="3"/>
        </w:numPr>
        <w:spacing w:before="120" w:after="120" w:line="288" w:lineRule="auto"/>
        <w:ind w:left="567" w:hanging="567"/>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应客户要求，供应方将及时向客户提供ISO 27001认证的副本，随附ISO适用性声明(SoA)或SOC 2报告。如果云服务包括运行在平台即服务（PaaS）或基础设施即服务（IaaS）之上的软件即服务（SaaS）解决方案，供应方将应客户要求及时向客户提供托管环境ISO 27001认证，随附SoA或SOC 2报告。</w:t>
      </w:r>
    </w:p>
    <w:p w14:paraId="3CB9D75C">
      <w:pPr>
        <w:pStyle w:val="35"/>
        <w:numPr>
          <w:ilvl w:val="1"/>
          <w:numId w:val="3"/>
        </w:numPr>
        <w:spacing w:before="120" w:after="120" w:line="288" w:lineRule="auto"/>
        <w:ind w:left="567" w:hanging="567"/>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应立即通知客户在这些认证或报告中发现的任何缺陷。供应方应在遵守供应方在本协议项下的义务所需的范围内处理和解决任何此类缺陷，并在任何此类缺陷得到解决时通知客户。如果任何缺陷未能及时解决，则供应方将视为实质违反本协议。</w:t>
      </w:r>
    </w:p>
    <w:p w14:paraId="21E2F7C1">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入侵检测和预防</w:t>
      </w:r>
    </w:p>
    <w:p w14:paraId="3BA2DBA8">
      <w:pPr>
        <w:widowControl w:val="0"/>
        <w:spacing w:before="120" w:after="120" w:line="288" w:lineRule="auto"/>
        <w:ind w:left="480" w:leftChars="200"/>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供应方或供应方授权的第三方将使用公认的行业标准网络入侵检测或预防机制，包括Web应用防火墙（WAF），主动监控服务和系统，以防止任何未经授权存取、截取或中断。</w:t>
      </w:r>
    </w:p>
    <w:p w14:paraId="6EA0F571">
      <w:pPr>
        <w:pStyle w:val="35"/>
        <w:keepNext/>
        <w:numPr>
          <w:ilvl w:val="0"/>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渗透测试</w:t>
      </w:r>
    </w:p>
    <w:p w14:paraId="2151ED6D">
      <w:pPr>
        <w:pStyle w:val="35"/>
        <w:numPr>
          <w:ilvl w:val="1"/>
          <w:numId w:val="3"/>
        </w:numPr>
        <w:spacing w:before="120" w:after="120" w:line="288" w:lineRule="auto"/>
        <w:ind w:left="567" w:hanging="573"/>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每年自费聘用一个独立第三方进行渗透测试，并报告其结果，包括人为手工测试，以评估应用程序的安全控制（包括但不限于网络服务和移动应用程序)、用于提供服务的主机和网络层是否遵循行业标准方法（例如OWASP和OSSTMM）。</w:t>
      </w:r>
    </w:p>
    <w:p w14:paraId="32999DFC">
      <w:pPr>
        <w:pStyle w:val="35"/>
        <w:numPr>
          <w:ilvl w:val="1"/>
          <w:numId w:val="3"/>
        </w:numPr>
        <w:spacing w:before="120" w:after="120" w:line="288" w:lineRule="auto"/>
        <w:ind w:left="567" w:hanging="573"/>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应客户要求，供应方应立即向客户提供报告副本。供应方应立即将发现的任何缺陷通知客户，并采取必要的纠正措施以纠正所有漏洞。如果发现任何关键缺陷，供应商将，并将促使其关联方和分包商，在收到报告后的七（7）个日历日内采取纠正措施。如果发现任何高度缺陷，供应方及其关联方和分包商（根据情况）应在收到报告后三十（30）个日历日内采取纠正措施。</w:t>
      </w:r>
    </w:p>
    <w:p w14:paraId="7F2F15F8">
      <w:pPr>
        <w:pStyle w:val="35"/>
        <w:numPr>
          <w:ilvl w:val="1"/>
          <w:numId w:val="3"/>
        </w:numPr>
        <w:spacing w:before="120" w:after="120" w:line="288" w:lineRule="auto"/>
        <w:ind w:left="567" w:hanging="573"/>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为本条之目的，对已识别的缺陷严重性的定义（即关键、高、中或低）将基于行业标准，例如OWASP风险评级方法。</w:t>
      </w:r>
    </w:p>
    <w:p w14:paraId="30941C02">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身份管理</w:t>
      </w:r>
    </w:p>
    <w:p w14:paraId="7B5FDC3B">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供应方将仅允许授权用户在使用有效凭据通过身份验证后方可访问服务。</w:t>
      </w:r>
    </w:p>
    <w:p w14:paraId="4B0B3B8A">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凭据将使用单向散列算法（SHA-256，或同等或更高安全性的算法）与salt一起静态存储。</w:t>
      </w:r>
    </w:p>
    <w:p w14:paraId="5D4A5D53">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服务将（在适用情况下）提供至少符合以下客户标准的可配置安全控制：ST-19.412（身份和存取管理）。</w:t>
      </w:r>
    </w:p>
    <w:p w14:paraId="03EF10EA">
      <w:pPr>
        <w:pStyle w:val="35"/>
        <w:numPr>
          <w:ilvl w:val="1"/>
          <w:numId w:val="3"/>
        </w:numPr>
        <w:spacing w:before="120" w:after="120" w:line="288" w:lineRule="auto"/>
        <w:ind w:left="567" w:hanging="573"/>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就构成云服务的部分，服务应能够使用身份和访问管理标准，例如：</w:t>
      </w:r>
    </w:p>
    <w:p w14:paraId="457652DA">
      <w:pPr>
        <w:pStyle w:val="35"/>
        <w:numPr>
          <w:ilvl w:val="0"/>
          <w:numId w:val="4"/>
        </w:numPr>
        <w:spacing w:before="120" w:after="120" w:line="288" w:lineRule="auto"/>
        <w:ind w:left="851" w:hanging="283"/>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SCIM和/或API集成，用于创建、修改和删除用户帐户和访问权限，以及交换身份数据；和</w:t>
      </w:r>
    </w:p>
    <w:p w14:paraId="587F9BF5">
      <w:pPr>
        <w:pStyle w:val="35"/>
        <w:numPr>
          <w:ilvl w:val="0"/>
          <w:numId w:val="4"/>
        </w:numPr>
        <w:spacing w:before="120" w:after="120" w:line="288" w:lineRule="auto"/>
        <w:ind w:left="851" w:hanging="283"/>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SAML、OAuth、 OpenID Connect以进行认证和做出授权决定。</w:t>
      </w:r>
    </w:p>
    <w:p w14:paraId="6F5C82F0">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信息安全事件响应</w:t>
      </w:r>
    </w:p>
    <w:p w14:paraId="6A358669">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供应方将至少每年一次或者在发生重大变更时维护和审查安全事件管理政策和程序，包括详细的安全事件升级程序。一旦发生任何信息安全事件，供应方将自行承担费用：</w:t>
      </w:r>
    </w:p>
    <w:p w14:paraId="7E3E87C5">
      <w:pPr>
        <w:pStyle w:val="35"/>
        <w:numPr>
          <w:ilvl w:val="0"/>
          <w:numId w:val="5"/>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迅速（但无论如何不得迟于供应方或其关联方或分包商（或其各自员工）得知信息安全事件后二十四（24）小时内）将该信息安全事件上报给客户协调者和客户安全中心（Customer Security Centre）（全天候运营，可通过+41 21 924 91 91或</w:t>
      </w:r>
      <w:r>
        <w:fldChar w:fldCharType="begin"/>
      </w:r>
      <w:r>
        <w:instrText xml:space="preserve"> HYPERLINK "mailto:gsoc@nestle.com" \h </w:instrText>
      </w:r>
      <w:r>
        <w:fldChar w:fldCharType="separate"/>
      </w:r>
      <w:r>
        <w:rPr>
          <w:rStyle w:val="16"/>
          <w:rFonts w:ascii="微软雅黑" w:hAnsi="微软雅黑" w:eastAsia="微软雅黑" w:cs="微软雅黑"/>
          <w:sz w:val="21"/>
          <w:szCs w:val="21"/>
          <w:lang w:eastAsia="zh-CN"/>
        </w:rPr>
        <w:t>gsoc@nestle.com</w:t>
      </w:r>
      <w:r>
        <w:rPr>
          <w:rStyle w:val="16"/>
          <w:rFonts w:ascii="微软雅黑" w:hAnsi="微软雅黑" w:eastAsia="微软雅黑" w:cs="微软雅黑"/>
          <w:sz w:val="21"/>
          <w:szCs w:val="21"/>
          <w:lang w:eastAsia="zh-CN"/>
        </w:rPr>
        <w:fldChar w:fldCharType="end"/>
      </w:r>
      <w:r>
        <w:rPr>
          <w:rFonts w:ascii="微软雅黑" w:hAnsi="微软雅黑" w:eastAsia="微软雅黑" w:cs="微软雅黑"/>
          <w:color w:val="000000" w:themeColor="text1"/>
          <w:sz w:val="21"/>
          <w:szCs w:val="21"/>
          <w:lang w:eastAsia="zh-CN"/>
          <w14:textFill>
            <w14:solidFill>
              <w14:schemeClr w14:val="tx1"/>
            </w14:solidFill>
          </w14:textFill>
        </w:rPr>
        <w:t>与其联系），并以合理细节概述该信息安全事件对客户及其关联方的影响（如果已知晓）；</w:t>
      </w:r>
    </w:p>
    <w:p w14:paraId="2DF8F620">
      <w:pPr>
        <w:pStyle w:val="35"/>
        <w:numPr>
          <w:ilvl w:val="0"/>
          <w:numId w:val="5"/>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调查（在客户和/或独立第三方法鉴员的参与下）该信息安全事件，进行风险评估，并制定纠正性行动计划；</w:t>
      </w:r>
    </w:p>
    <w:p w14:paraId="77DA5C1A">
      <w:pPr>
        <w:pStyle w:val="35"/>
        <w:numPr>
          <w:ilvl w:val="0"/>
          <w:numId w:val="5"/>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向客户提供上述风险评估的书面报告，其中包含法律分析，以确定供应方采取或将要采取的行动计划是否符合所有适用法律；以及</w:t>
      </w:r>
    </w:p>
    <w:p w14:paraId="1DDC9F89">
      <w:pPr>
        <w:pStyle w:val="35"/>
        <w:numPr>
          <w:ilvl w:val="0"/>
          <w:numId w:val="5"/>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准备并实施整治计划，采取一切必要和可取的纠正措施，全力配合客户及所有客户关联方，以合理合法的方式预防、减轻、纠正和整治信息安全事件的影响。</w:t>
      </w:r>
    </w:p>
    <w:p w14:paraId="17530092">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供应方将至少每个日历年测试一次安全事件响应程序的所有功能，并根据要求向客户提供此类测试的结果。</w:t>
      </w:r>
    </w:p>
    <w:p w14:paraId="60D330AE">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日志记录</w:t>
      </w:r>
    </w:p>
    <w:p w14:paraId="1F911EFF">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供应方将根据适用的法律和雀巢政策（如有），制定全面的日志管理计划，其中应定义日志的范围、生成、传输、存储、分析和处置。系统和服务将根据以下原则提供日志记录功能：</w:t>
      </w:r>
    </w:p>
    <w:p w14:paraId="54D82F6C">
      <w:pPr>
        <w:pStyle w:val="35"/>
        <w:numPr>
          <w:ilvl w:val="0"/>
          <w:numId w:val="6"/>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日志记录范围和留存政策将以基于风险的方法为基础；</w:t>
      </w:r>
    </w:p>
    <w:p w14:paraId="09A74687">
      <w:pPr>
        <w:pStyle w:val="35"/>
        <w:numPr>
          <w:ilvl w:val="0"/>
          <w:numId w:val="6"/>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日志足以允许对信息安全事件进行取证分析；</w:t>
      </w:r>
    </w:p>
    <w:p w14:paraId="7C4B3A71">
      <w:pPr>
        <w:pStyle w:val="35"/>
        <w:numPr>
          <w:ilvl w:val="0"/>
          <w:numId w:val="6"/>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日志将记录对服务的行政管理变更；</w:t>
      </w:r>
    </w:p>
    <w:p w14:paraId="1A62990B">
      <w:pPr>
        <w:pStyle w:val="35"/>
        <w:numPr>
          <w:ilvl w:val="0"/>
          <w:numId w:val="6"/>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日志记录将进行物理和虚拟安全保存，以防止篡改；</w:t>
      </w:r>
    </w:p>
    <w:p w14:paraId="7FBD2D85">
      <w:pPr>
        <w:pStyle w:val="35"/>
        <w:numPr>
          <w:ilvl w:val="0"/>
          <w:numId w:val="6"/>
        </w:numPr>
        <w:spacing w:before="120" w:after="120" w:line="288" w:lineRule="auto"/>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密码在任何情况下均不会记入日志；并且</w:t>
      </w:r>
    </w:p>
    <w:p w14:paraId="426773F0">
      <w:pPr>
        <w:pStyle w:val="35"/>
        <w:numPr>
          <w:ilvl w:val="0"/>
          <w:numId w:val="6"/>
        </w:numPr>
        <w:spacing w:before="120" w:after="120" w:line="288" w:lineRule="auto"/>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在必要且得到客户同意的情况下，API集成将可以向客户SIEM平台传输数据。</w:t>
      </w:r>
    </w:p>
    <w:p w14:paraId="2FCFE0C0">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供应方将向客户提供，并且将促使其关联方和分包商向客户提供合理需要的任何日志文件的副本，以协助分析和调查信息安全事件。</w:t>
      </w:r>
    </w:p>
    <w:p w14:paraId="6B93F6CC">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物理安全</w:t>
      </w:r>
    </w:p>
    <w:p w14:paraId="72A231E8">
      <w:pPr>
        <w:widowControl w:val="0"/>
        <w:spacing w:before="120" w:after="120" w:line="288" w:lineRule="auto"/>
        <w:ind w:left="480" w:leftChars="200" w:firstLine="210" w:firstLineChars="100"/>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内设系统的所有设施至少应当：</w:t>
      </w:r>
    </w:p>
    <w:p w14:paraId="4B2B0378">
      <w:pPr>
        <w:pStyle w:val="35"/>
        <w:numPr>
          <w:ilvl w:val="0"/>
          <w:numId w:val="7"/>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在结构设计方面能够承受恶劣天气和其他合理可预见的自然条件；</w:t>
      </w:r>
    </w:p>
    <w:p w14:paraId="1835B632">
      <w:pPr>
        <w:pStyle w:val="35"/>
        <w:numPr>
          <w:ilvl w:val="0"/>
          <w:numId w:val="7"/>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具有适当的物理环境保护措施，保护系统免受与烟、热、水、火、湿度或电力波动有关的损害；</w:t>
      </w:r>
    </w:p>
    <w:p w14:paraId="504501B4">
      <w:pPr>
        <w:pStyle w:val="35"/>
        <w:numPr>
          <w:ilvl w:val="0"/>
          <w:numId w:val="7"/>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配有现场备用发电系统；以及</w:t>
      </w:r>
    </w:p>
    <w:p w14:paraId="573044F3">
      <w:pPr>
        <w:pStyle w:val="35"/>
        <w:numPr>
          <w:ilvl w:val="0"/>
          <w:numId w:val="7"/>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采取适当的控制措施，确保只有经授权的供应方人员能够进入该设施。</w:t>
      </w:r>
    </w:p>
    <w:p w14:paraId="7DCC69CA">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媒介处置</w:t>
      </w:r>
    </w:p>
    <w:p w14:paraId="4D001E0D">
      <w:pPr>
        <w:widowControl w:val="0"/>
        <w:spacing w:before="120" w:after="120" w:line="288" w:lineRule="auto"/>
        <w:ind w:left="480" w:leftChars="200"/>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供应方将采用适用的法律和雀巢政策（如有）中描述的行业标准流程，处置内含客户数据的媒介。</w:t>
      </w:r>
    </w:p>
    <w:p w14:paraId="44ED8B1C">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备份</w:t>
      </w:r>
    </w:p>
    <w:p w14:paraId="40F7867D">
      <w:pPr>
        <w:widowControl w:val="0"/>
        <w:spacing w:before="120" w:after="120" w:line="288" w:lineRule="auto"/>
        <w:ind w:left="480" w:leftChars="200" w:firstLine="210" w:firstLineChars="100"/>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供应方将：</w:t>
      </w:r>
    </w:p>
    <w:p w14:paraId="33C88BAE">
      <w:pPr>
        <w:pStyle w:val="35"/>
        <w:numPr>
          <w:ilvl w:val="0"/>
          <w:numId w:val="8"/>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确保以可用格式备份客户数据并将其存储在可根据需要进行检索的位置； </w:t>
      </w:r>
    </w:p>
    <w:p w14:paraId="5396ABF7">
      <w:pPr>
        <w:pStyle w:val="35"/>
        <w:numPr>
          <w:ilvl w:val="0"/>
          <w:numId w:val="8"/>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在处理客户数据的主要计算机设备所在地以外的其他地方安全保存客户数据和数据恢复程序的副本；</w:t>
      </w:r>
    </w:p>
    <w:p w14:paraId="19B67384">
      <w:pPr>
        <w:pStyle w:val="35"/>
        <w:numPr>
          <w:ilvl w:val="0"/>
          <w:numId w:val="8"/>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制定管理客户数据副本访问权限的特定规程；</w:t>
      </w:r>
    </w:p>
    <w:p w14:paraId="41D7E389">
      <w:pPr>
        <w:pStyle w:val="35"/>
        <w:numPr>
          <w:ilvl w:val="0"/>
          <w:numId w:val="8"/>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至少每六（6）个月一次或在发生重大变更时审查并测试数据恢复程序；以及</w:t>
      </w:r>
    </w:p>
    <w:p w14:paraId="13D867F2">
      <w:pPr>
        <w:pStyle w:val="35"/>
        <w:numPr>
          <w:ilvl w:val="0"/>
          <w:numId w:val="8"/>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记录数据恢复工作，包括负责人、恢复数据的说明以及在数据恢复过程中必须手动输入的那些数据（如有）。</w:t>
      </w:r>
    </w:p>
    <w:p w14:paraId="71512A63">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灾难恢复</w:t>
      </w:r>
    </w:p>
    <w:p w14:paraId="5BE30D40">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供应方已经并将继续维持适当的灾难恢复、业务连续性和应急计划以及相关政策和程序（统称为“</w:t>
      </w:r>
      <w:r>
        <w:rPr>
          <w:rFonts w:ascii="微软雅黑" w:hAnsi="微软雅黑" w:eastAsia="微软雅黑" w:cs="微软雅黑"/>
          <w:color w:val="000000" w:themeColor="text1"/>
          <w:sz w:val="21"/>
          <w:szCs w:val="21"/>
          <w:u w:val="single"/>
          <w:lang w:eastAsia="zh-CN"/>
          <w14:textFill>
            <w14:solidFill>
              <w14:schemeClr w14:val="tx1"/>
            </w14:solidFill>
          </w14:textFill>
        </w:rPr>
        <w:t>灾难恢复计划</w:t>
      </w:r>
      <w:r>
        <w:rPr>
          <w:rFonts w:ascii="微软雅黑" w:hAnsi="微软雅黑" w:eastAsia="微软雅黑" w:cs="微软雅黑"/>
          <w:color w:val="000000" w:themeColor="text1"/>
          <w:sz w:val="21"/>
          <w:szCs w:val="21"/>
          <w:lang w:eastAsia="zh-CN"/>
          <w14:textFill>
            <w14:solidFill>
              <w14:schemeClr w14:val="tx1"/>
            </w14:solidFill>
          </w14:textFill>
        </w:rPr>
        <w:t>”）。灾难恢复计划将由供应方每年或在发生重大变更时进行审核，以保证在发生影响供应方业务运作的灾难事件时的持续经营，并且不会明显减少或降低功能性和可用性。</w:t>
      </w:r>
    </w:p>
    <w:p w14:paraId="6B9B4AC4">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供应方将至少每个日历年一次地测试其灾难恢复计划的所有功能，并将根据要求向客户提供此类测试的结果。</w:t>
      </w:r>
    </w:p>
    <w:p w14:paraId="3BCF1D26">
      <w:pPr>
        <w:pStyle w:val="35"/>
        <w:numPr>
          <w:ilvl w:val="1"/>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如果由于供应方或其分包商的作为或不作为而导致数据处理错误或数据丢失，则供应方将立即通知客户并自费更正此类错误，同时遵循其灾难恢复程序。如果数据处理错误是由客户或第三方（不包括供应方的分包商）导致的，则供应方在收到客户发出的书面通知和合理费用之后更正此类错误。</w:t>
      </w:r>
    </w:p>
    <w:p w14:paraId="30E4C95D">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恶意软件</w:t>
      </w:r>
    </w:p>
    <w:p w14:paraId="29563666">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应当并且应当促使其关联方和分包商（a）安装和维护行业标准的反恶意软件，并尽可能使用实时保护功能；且（b）按照反恶意软件供应方的推荐做法，维护反恶意软件，以防止系统和/或服务受到恶意代码的感染或影响。</w:t>
      </w:r>
    </w:p>
    <w:p w14:paraId="5623828C">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供应方确保供应方及其关联方和分包商所使用的反恶意软件将至少每天进行一次的新恶意软件更新检查，并确保相关的反恶意软件签名是最新的。</w:t>
      </w:r>
    </w:p>
    <w:p w14:paraId="710D3F7B">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供应方应当并且应当促使其关联方和分包商立即删除其发现的或可能存在于系统或服务中的所有恶意代码。</w:t>
      </w:r>
    </w:p>
    <w:p w14:paraId="34C40DDA">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供应方将对加载到服务中的文件和其他数据进行实时扫描，以便鉴别和排除包含恶意代码的任何文件或其他数据。</w:t>
      </w:r>
    </w:p>
    <w:p w14:paraId="73DF9743">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供应方确保服务不会将任何恶意代码引入系统，或允许或促成任何恶意代码的引入。</w:t>
      </w:r>
    </w:p>
    <w:p w14:paraId="5FCD12D7">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数据加密</w:t>
      </w:r>
    </w:p>
    <w:p w14:paraId="5F846008">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供应方应当并且应当促使其关联方和分包商在通过公共网络传输客户数据的过程中，实施和运用适用的法律和雀巢政策（如有）接受的加密产品来保护客户数据（包括凭据）。</w:t>
      </w:r>
    </w:p>
    <w:p w14:paraId="2DB9BD7C">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在获得客户书面同意的情况下，供应方将会并且将促使其关联方和分包商在通过私用网络传输客户数据的过程中，实施和运用适用的法律和雀巢政策（如有）接受的加密产品来保护客户数据（包括凭据）。</w:t>
      </w:r>
    </w:p>
    <w:p w14:paraId="2D272F94">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在获得客户书面同意的情况下，静态客户数据，包括客户数据的任何备份，均将使用适用的法律和和雀巢政策（如有）批准的加密算法进行加密。</w:t>
      </w:r>
    </w:p>
    <w:p w14:paraId="128B0D8B">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数据访问</w:t>
      </w:r>
    </w:p>
    <w:p w14:paraId="2F490AFE">
      <w:pPr>
        <w:widowControl w:val="0"/>
        <w:spacing w:before="120" w:after="120" w:line="288" w:lineRule="auto"/>
        <w:ind w:left="480" w:leftChars="200"/>
        <w:jc w:val="both"/>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供应方确保，有权在供应方或供应方关联方或分包商的设施处访问客户数据的任何个人，只能基于最小权限/须知原则访问客户数据。供应方通过对客户数据的匿名/混淆处理，确保客户数据在被传输到非实时环境时始终受到保护。</w:t>
      </w:r>
    </w:p>
    <w:p w14:paraId="25797645">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客户数据的所有权和隔离</w:t>
      </w:r>
    </w:p>
    <w:p w14:paraId="5CE9E18C">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客户数据系属并且将继续属于客户独有的财产。</w:t>
      </w:r>
    </w:p>
    <w:p w14:paraId="16D2DF59">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供应方保证，客户提供给供应方或其任何关联方或分包商的所有数据，均将通过适当的技术手段与供应方的数据或供应方或其关联方或分包商的任何其他客户的数据在逻辑上分开保存。</w:t>
      </w:r>
    </w:p>
    <w:p w14:paraId="53F1DD91">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后门</w:t>
      </w:r>
    </w:p>
    <w:p w14:paraId="7D81A8EC">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供应商不得创建任何可用于访问系统和/或客户数据的后门或类似程序，包括但不限于处理客户数据的系统。</w:t>
      </w:r>
    </w:p>
    <w:p w14:paraId="546AAC34">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在收到任何客户数据之前，供应商应确保其所适用的国家法律和法规不要求供应商创建或维护后门，或促使产生对客户数据或系统的访问，也不要求供应商拥有或披露加密密钥。 如果供应商不再能够满足这些要求，必须在法律允许的最大范围内及时通知客户并遵守客户的关于任何客户数据的安全、删除、返回、加密或其他处理的指示。</w:t>
      </w:r>
    </w:p>
    <w:p w14:paraId="443C0789">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漏洞管理</w:t>
      </w:r>
    </w:p>
    <w:p w14:paraId="1C661C4B">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供应方将制定全面的漏洞管理计划，并每年或在发生重大变更时进行审查，以便定期识别、分类和及时修复系统基础设施和应用层的技术和流程漏洞。漏洞管理计划将基于适用的法律和雀巢政策（如有）。</w:t>
      </w:r>
    </w:p>
    <w:p w14:paraId="782824BD">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供应方将尽一切合理努力确保在以下时限内安装和激活用于纠正漏洞的软件补丁：</w:t>
      </w:r>
    </w:p>
    <w:tbl>
      <w:tblPr>
        <w:tblStyle w:val="14"/>
        <w:tblW w:w="0" w:type="auto"/>
        <w:tblInd w:w="55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820"/>
        <w:gridCol w:w="5145"/>
      </w:tblGrid>
      <w:tr w14:paraId="7D1A5489">
        <w:trPr>
          <w:trHeight w:val="300" w:hRule="atLeast"/>
        </w:trPr>
        <w:tc>
          <w:tcPr>
            <w:tcW w:w="2820" w:type="dxa"/>
            <w:tcBorders>
              <w:top w:val="single" w:color="auto" w:sz="6" w:space="0"/>
              <w:left w:val="single" w:color="auto" w:sz="6" w:space="0"/>
              <w:bottom w:val="single" w:color="auto" w:sz="6" w:space="0"/>
              <w:right w:val="single" w:color="auto" w:sz="6" w:space="0"/>
            </w:tcBorders>
            <w:tcMar>
              <w:left w:w="105" w:type="dxa"/>
              <w:right w:w="105" w:type="dxa"/>
            </w:tcMar>
          </w:tcPr>
          <w:p w14:paraId="3FDA22E0">
            <w:pPr>
              <w:widowControl w:val="0"/>
              <w:spacing w:before="120" w:after="120" w:line="288" w:lineRule="auto"/>
              <w:jc w:val="both"/>
              <w:rPr>
                <w:rFonts w:ascii="微软雅黑" w:hAnsi="微软雅黑" w:eastAsia="微软雅黑" w:cs="微软雅黑"/>
                <w:sz w:val="21"/>
                <w:szCs w:val="21"/>
              </w:rPr>
            </w:pPr>
            <w:r>
              <w:rPr>
                <w:rFonts w:ascii="微软雅黑" w:hAnsi="微软雅黑" w:eastAsia="微软雅黑" w:cs="微软雅黑"/>
                <w:b/>
                <w:bCs/>
                <w:sz w:val="21"/>
                <w:szCs w:val="21"/>
                <w:lang w:eastAsia="zh-CN"/>
              </w:rPr>
              <w:t>漏洞严重性</w:t>
            </w:r>
          </w:p>
        </w:tc>
        <w:tc>
          <w:tcPr>
            <w:tcW w:w="5145" w:type="dxa"/>
            <w:tcBorders>
              <w:top w:val="single" w:color="auto" w:sz="6" w:space="0"/>
              <w:left w:val="single" w:color="auto" w:sz="6" w:space="0"/>
              <w:bottom w:val="single" w:color="auto" w:sz="6" w:space="0"/>
              <w:right w:val="single" w:color="auto" w:sz="6" w:space="0"/>
            </w:tcBorders>
            <w:tcMar>
              <w:left w:w="105" w:type="dxa"/>
              <w:right w:w="105" w:type="dxa"/>
            </w:tcMar>
          </w:tcPr>
          <w:p w14:paraId="70E1BF0D">
            <w:pPr>
              <w:widowControl w:val="0"/>
              <w:spacing w:before="120" w:after="120" w:line="288" w:lineRule="auto"/>
              <w:jc w:val="both"/>
              <w:rPr>
                <w:rFonts w:ascii="微软雅黑" w:hAnsi="微软雅黑" w:eastAsia="微软雅黑" w:cs="微软雅黑"/>
                <w:sz w:val="21"/>
                <w:szCs w:val="21"/>
              </w:rPr>
            </w:pPr>
            <w:r>
              <w:rPr>
                <w:rFonts w:ascii="微软雅黑" w:hAnsi="微软雅黑" w:eastAsia="微软雅黑" w:cs="微软雅黑"/>
                <w:b/>
                <w:bCs/>
                <w:sz w:val="21"/>
                <w:szCs w:val="21"/>
                <w:lang w:eastAsia="zh-CN"/>
              </w:rPr>
              <w:t>时限</w:t>
            </w:r>
          </w:p>
        </w:tc>
      </w:tr>
      <w:tr w14:paraId="6523A44E">
        <w:trPr>
          <w:trHeight w:val="300" w:hRule="atLeast"/>
        </w:trPr>
        <w:tc>
          <w:tcPr>
            <w:tcW w:w="2820" w:type="dxa"/>
            <w:tcBorders>
              <w:top w:val="single" w:color="auto" w:sz="6" w:space="0"/>
              <w:left w:val="single" w:color="auto" w:sz="6" w:space="0"/>
              <w:bottom w:val="single" w:color="auto" w:sz="6" w:space="0"/>
              <w:right w:val="single" w:color="auto" w:sz="6" w:space="0"/>
            </w:tcBorders>
            <w:tcMar>
              <w:left w:w="105" w:type="dxa"/>
              <w:right w:w="105" w:type="dxa"/>
            </w:tcMar>
          </w:tcPr>
          <w:p w14:paraId="45F49F67">
            <w:pPr>
              <w:widowControl w:val="0"/>
              <w:spacing w:before="120" w:after="120" w:line="288" w:lineRule="auto"/>
              <w:jc w:val="both"/>
              <w:rPr>
                <w:rFonts w:ascii="微软雅黑" w:hAnsi="微软雅黑" w:eastAsia="微软雅黑" w:cs="微软雅黑"/>
                <w:sz w:val="21"/>
                <w:szCs w:val="21"/>
              </w:rPr>
            </w:pPr>
            <w:r>
              <w:rPr>
                <w:rFonts w:ascii="微软雅黑" w:hAnsi="微软雅黑" w:eastAsia="微软雅黑" w:cs="微软雅黑"/>
                <w:sz w:val="21"/>
                <w:szCs w:val="21"/>
                <w:lang w:eastAsia="zh-CN"/>
              </w:rPr>
              <w:t>关键</w:t>
            </w:r>
          </w:p>
        </w:tc>
        <w:tc>
          <w:tcPr>
            <w:tcW w:w="5145" w:type="dxa"/>
            <w:tcBorders>
              <w:top w:val="single" w:color="auto" w:sz="6" w:space="0"/>
              <w:left w:val="single" w:color="auto" w:sz="6" w:space="0"/>
              <w:bottom w:val="single" w:color="auto" w:sz="6" w:space="0"/>
              <w:right w:val="single" w:color="auto" w:sz="6" w:space="0"/>
            </w:tcBorders>
            <w:tcMar>
              <w:left w:w="105" w:type="dxa"/>
              <w:right w:w="105" w:type="dxa"/>
            </w:tcMar>
          </w:tcPr>
          <w:p w14:paraId="52750779">
            <w:pPr>
              <w:widowControl w:val="0"/>
              <w:spacing w:before="120" w:after="120" w:line="288" w:lineRule="auto"/>
              <w:jc w:val="both"/>
              <w:rPr>
                <w:rFonts w:ascii="微软雅黑" w:hAnsi="微软雅黑" w:eastAsia="微软雅黑" w:cs="微软雅黑"/>
                <w:sz w:val="21"/>
                <w:szCs w:val="21"/>
                <w:lang w:eastAsia="zh-CN"/>
              </w:rPr>
            </w:pPr>
            <w:r>
              <w:rPr>
                <w:rFonts w:ascii="微软雅黑" w:hAnsi="微软雅黑" w:eastAsia="微软雅黑" w:cs="微软雅黑"/>
                <w:sz w:val="21"/>
                <w:szCs w:val="21"/>
                <w:lang w:eastAsia="zh-CN"/>
              </w:rPr>
              <w:t>立即，不迟于7个日历日</w:t>
            </w:r>
          </w:p>
        </w:tc>
      </w:tr>
      <w:tr w14:paraId="4FC14DB0">
        <w:trPr>
          <w:trHeight w:val="300" w:hRule="atLeast"/>
        </w:trPr>
        <w:tc>
          <w:tcPr>
            <w:tcW w:w="2820" w:type="dxa"/>
            <w:tcBorders>
              <w:top w:val="single" w:color="auto" w:sz="6" w:space="0"/>
              <w:left w:val="single" w:color="auto" w:sz="6" w:space="0"/>
              <w:bottom w:val="single" w:color="auto" w:sz="6" w:space="0"/>
              <w:right w:val="single" w:color="auto" w:sz="6" w:space="0"/>
            </w:tcBorders>
            <w:tcMar>
              <w:left w:w="105" w:type="dxa"/>
              <w:right w:w="105" w:type="dxa"/>
            </w:tcMar>
          </w:tcPr>
          <w:p w14:paraId="2A12772A">
            <w:pPr>
              <w:widowControl w:val="0"/>
              <w:spacing w:before="120" w:after="120" w:line="288" w:lineRule="auto"/>
              <w:jc w:val="both"/>
              <w:rPr>
                <w:rFonts w:ascii="微软雅黑" w:hAnsi="微软雅黑" w:eastAsia="微软雅黑" w:cs="微软雅黑"/>
                <w:sz w:val="21"/>
                <w:szCs w:val="21"/>
              </w:rPr>
            </w:pPr>
            <w:r>
              <w:rPr>
                <w:rFonts w:ascii="微软雅黑" w:hAnsi="微软雅黑" w:eastAsia="微软雅黑" w:cs="微软雅黑"/>
                <w:sz w:val="21"/>
                <w:szCs w:val="21"/>
                <w:lang w:eastAsia="zh-CN"/>
              </w:rPr>
              <w:t>高度</w:t>
            </w:r>
          </w:p>
        </w:tc>
        <w:tc>
          <w:tcPr>
            <w:tcW w:w="5145" w:type="dxa"/>
            <w:tcBorders>
              <w:top w:val="single" w:color="auto" w:sz="6" w:space="0"/>
              <w:left w:val="single" w:color="auto" w:sz="6" w:space="0"/>
              <w:bottom w:val="single" w:color="auto" w:sz="6" w:space="0"/>
              <w:right w:val="single" w:color="auto" w:sz="6" w:space="0"/>
            </w:tcBorders>
            <w:tcMar>
              <w:left w:w="105" w:type="dxa"/>
              <w:right w:w="105" w:type="dxa"/>
            </w:tcMar>
          </w:tcPr>
          <w:p w14:paraId="613B6BF6">
            <w:pPr>
              <w:widowControl w:val="0"/>
              <w:spacing w:before="120" w:after="120" w:line="288" w:lineRule="auto"/>
              <w:jc w:val="both"/>
              <w:rPr>
                <w:rFonts w:ascii="微软雅黑" w:hAnsi="微软雅黑" w:eastAsia="微软雅黑" w:cs="微软雅黑"/>
                <w:sz w:val="21"/>
                <w:szCs w:val="21"/>
                <w:lang w:eastAsia="zh-CN"/>
              </w:rPr>
            </w:pPr>
            <w:r>
              <w:rPr>
                <w:rFonts w:ascii="微软雅黑" w:hAnsi="微软雅黑" w:eastAsia="微软雅黑" w:cs="微软雅黑"/>
                <w:sz w:val="21"/>
                <w:szCs w:val="21"/>
                <w:lang w:eastAsia="zh-CN"/>
              </w:rPr>
              <w:t>尽快，不迟于30个日历日</w:t>
            </w:r>
          </w:p>
        </w:tc>
      </w:tr>
      <w:tr w14:paraId="1A490062">
        <w:trPr>
          <w:trHeight w:val="300" w:hRule="atLeast"/>
        </w:trPr>
        <w:tc>
          <w:tcPr>
            <w:tcW w:w="2820" w:type="dxa"/>
            <w:tcBorders>
              <w:top w:val="single" w:color="auto" w:sz="6" w:space="0"/>
              <w:left w:val="single" w:color="auto" w:sz="6" w:space="0"/>
              <w:bottom w:val="single" w:color="auto" w:sz="6" w:space="0"/>
              <w:right w:val="single" w:color="auto" w:sz="6" w:space="0"/>
            </w:tcBorders>
            <w:tcMar>
              <w:left w:w="105" w:type="dxa"/>
              <w:right w:w="105" w:type="dxa"/>
            </w:tcMar>
          </w:tcPr>
          <w:p w14:paraId="1AAFF6F2">
            <w:pPr>
              <w:widowControl w:val="0"/>
              <w:spacing w:before="120" w:after="120" w:line="288" w:lineRule="auto"/>
              <w:jc w:val="both"/>
              <w:rPr>
                <w:rFonts w:ascii="微软雅黑" w:hAnsi="微软雅黑" w:eastAsia="微软雅黑" w:cs="微软雅黑"/>
                <w:sz w:val="21"/>
                <w:szCs w:val="21"/>
              </w:rPr>
            </w:pPr>
            <w:r>
              <w:rPr>
                <w:rFonts w:ascii="微软雅黑" w:hAnsi="微软雅黑" w:eastAsia="微软雅黑" w:cs="微软雅黑"/>
                <w:sz w:val="21"/>
                <w:szCs w:val="21"/>
                <w:lang w:eastAsia="zh-CN"/>
              </w:rPr>
              <w:t>中度</w:t>
            </w:r>
          </w:p>
        </w:tc>
        <w:tc>
          <w:tcPr>
            <w:tcW w:w="5145" w:type="dxa"/>
            <w:tcBorders>
              <w:top w:val="single" w:color="auto" w:sz="6" w:space="0"/>
              <w:left w:val="single" w:color="auto" w:sz="6" w:space="0"/>
              <w:bottom w:val="single" w:color="auto" w:sz="6" w:space="0"/>
              <w:right w:val="single" w:color="auto" w:sz="6" w:space="0"/>
            </w:tcBorders>
            <w:tcMar>
              <w:left w:w="105" w:type="dxa"/>
              <w:right w:w="105" w:type="dxa"/>
            </w:tcMar>
          </w:tcPr>
          <w:p w14:paraId="606CD759">
            <w:pPr>
              <w:widowControl w:val="0"/>
              <w:spacing w:before="120" w:after="120" w:line="288" w:lineRule="auto"/>
              <w:jc w:val="both"/>
              <w:rPr>
                <w:rFonts w:ascii="微软雅黑" w:hAnsi="微软雅黑" w:eastAsia="微软雅黑" w:cs="微软雅黑"/>
                <w:sz w:val="21"/>
                <w:szCs w:val="21"/>
                <w:lang w:eastAsia="zh-CN"/>
              </w:rPr>
            </w:pPr>
            <w:r>
              <w:rPr>
                <w:rFonts w:ascii="微软雅黑" w:hAnsi="微软雅黑" w:eastAsia="微软雅黑" w:cs="微软雅黑"/>
                <w:sz w:val="21"/>
                <w:szCs w:val="21"/>
                <w:lang w:eastAsia="zh-CN"/>
              </w:rPr>
              <w:t>下一次安全性更新，不迟于90个日历日</w:t>
            </w:r>
          </w:p>
        </w:tc>
      </w:tr>
    </w:tbl>
    <w:p w14:paraId="61CEE05C">
      <w:pPr>
        <w:pStyle w:val="35"/>
        <w:numPr>
          <w:ilvl w:val="1"/>
          <w:numId w:val="3"/>
        </w:numPr>
        <w:spacing w:before="120" w:after="120" w:line="288" w:lineRule="auto"/>
        <w:ind w:left="567" w:hanging="567"/>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就本条款目的而言，已发现弱点的严重性定义（即关键、高度、中度或低度）将基于适用的法律和行业标准，例如事件响应和安全团队论坛（FIRST）提供的常见漏洞评分系统（CVSS）。</w:t>
      </w:r>
    </w:p>
    <w:p w14:paraId="463071EA">
      <w:pPr>
        <w:pStyle w:val="35"/>
        <w:numPr>
          <w:ilvl w:val="0"/>
          <w:numId w:val="3"/>
        </w:numPr>
        <w:spacing w:before="120" w:after="120" w:line="288" w:lineRule="auto"/>
        <w:ind w:left="42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b/>
          <w:bCs/>
          <w:color w:val="000000" w:themeColor="text1"/>
          <w:sz w:val="21"/>
          <w:szCs w:val="21"/>
          <w:lang w:eastAsia="zh-CN"/>
          <w14:textFill>
            <w14:solidFill>
              <w14:schemeClr w14:val="tx1"/>
            </w14:solidFill>
          </w14:textFill>
        </w:rPr>
        <w:t xml:space="preserve"> 远程连接</w:t>
      </w:r>
    </w:p>
    <w:p w14:paraId="754EC937">
      <w:pPr>
        <w:pStyle w:val="34"/>
        <w:spacing w:before="120" w:after="120" w:line="288" w:lineRule="auto"/>
        <w:ind w:left="480" w:leftChars="200"/>
        <w:jc w:val="left"/>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val="en-GB" w:eastAsia="zh-CN"/>
          <w14:textFill>
            <w14:solidFill>
              <w14:schemeClr w14:val="tx1"/>
            </w14:solidFill>
          </w14:textFill>
        </w:rPr>
        <w:t xml:space="preserve"> </w:t>
      </w:r>
    </w:p>
    <w:p w14:paraId="0A31250C">
      <w:pPr>
        <w:pStyle w:val="34"/>
        <w:spacing w:before="120" w:after="120" w:line="288" w:lineRule="auto"/>
        <w:ind w:left="480" w:leftChars="200"/>
        <w:jc w:val="left"/>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当供应方直接从互联网或使用</w:t>
      </w:r>
      <w:r>
        <w:rPr>
          <w:rFonts w:ascii="微软雅黑" w:hAnsi="微软雅黑" w:eastAsia="微软雅黑" w:cs="微软雅黑"/>
          <w:color w:val="000000" w:themeColor="text1"/>
          <w:sz w:val="21"/>
          <w:szCs w:val="21"/>
          <w:lang w:val="en-GB" w:eastAsia="zh-CN"/>
          <w14:textFill>
            <w14:solidFill>
              <w14:schemeClr w14:val="tx1"/>
            </w14:solidFill>
          </w14:textFill>
        </w:rPr>
        <w:t>VPN</w:t>
      </w:r>
      <w:r>
        <w:rPr>
          <w:rFonts w:ascii="微软雅黑" w:hAnsi="微软雅黑" w:eastAsia="微软雅黑" w:cs="微软雅黑"/>
          <w:color w:val="000000" w:themeColor="text1"/>
          <w:sz w:val="21"/>
          <w:szCs w:val="21"/>
          <w:lang w:eastAsia="zh-CN"/>
          <w14:textFill>
            <w14:solidFill>
              <w14:schemeClr w14:val="tx1"/>
            </w14:solidFill>
          </w14:textFill>
        </w:rPr>
        <w:t>技术或任何其他连接方法远程连接客户网络和</w:t>
      </w:r>
      <w:r>
        <w:rPr>
          <w:rFonts w:ascii="微软雅黑" w:hAnsi="微软雅黑" w:eastAsia="微软雅黑" w:cs="微软雅黑"/>
          <w:color w:val="000000" w:themeColor="text1"/>
          <w:sz w:val="21"/>
          <w:szCs w:val="21"/>
          <w:lang w:val="en-GB" w:eastAsia="zh-CN"/>
          <w14:textFill>
            <w14:solidFill>
              <w14:schemeClr w14:val="tx1"/>
            </w14:solidFill>
          </w14:textFill>
        </w:rPr>
        <w:t>/</w:t>
      </w:r>
      <w:r>
        <w:rPr>
          <w:rFonts w:ascii="微软雅黑" w:hAnsi="微软雅黑" w:eastAsia="微软雅黑" w:cs="微软雅黑"/>
          <w:color w:val="000000" w:themeColor="text1"/>
          <w:sz w:val="21"/>
          <w:szCs w:val="21"/>
          <w:lang w:eastAsia="zh-CN"/>
          <w14:textFill>
            <w14:solidFill>
              <w14:schemeClr w14:val="tx1"/>
            </w14:solidFill>
          </w14:textFill>
        </w:rPr>
        <w:t>或远程访问客户的私用或公共系统时，供应方承认并接受：</w:t>
      </w:r>
    </w:p>
    <w:p w14:paraId="669C37A2">
      <w:pPr>
        <w:pStyle w:val="35"/>
        <w:numPr>
          <w:ilvl w:val="0"/>
          <w:numId w:val="9"/>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所有网络流量和对客户信息系统的访问均将被记录，并可能受到监控；</w:t>
      </w:r>
    </w:p>
    <w:p w14:paraId="0CC4E8C7">
      <w:pPr>
        <w:pStyle w:val="35"/>
        <w:numPr>
          <w:ilvl w:val="0"/>
          <w:numId w:val="9"/>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网络连接只是用于在供应方和客户之间共享某些数据以及促进供应方对客户的服务执行的手段；</w:t>
      </w:r>
    </w:p>
    <w:p w14:paraId="7DF5E66E">
      <w:pPr>
        <w:pStyle w:val="35"/>
        <w:numPr>
          <w:ilvl w:val="0"/>
          <w:numId w:val="9"/>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供应方对供应方或其代表发布的任何数据和/或修改负责，并且，客户对此类修改或此类数据不承担任何责任，或不承担任何监控或维持任何监督的义务；</w:t>
      </w:r>
    </w:p>
    <w:p w14:paraId="1DA70FF3">
      <w:pPr>
        <w:pStyle w:val="35"/>
        <w:numPr>
          <w:ilvl w:val="0"/>
          <w:numId w:val="9"/>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客户不保证网络访问的安全性；</w:t>
      </w:r>
    </w:p>
    <w:p w14:paraId="60F62414">
      <w:pPr>
        <w:pStyle w:val="35"/>
        <w:numPr>
          <w:ilvl w:val="0"/>
          <w:numId w:val="9"/>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供应方将负责其在使用连接（以及供应方人员和分包商对连接的使用）、客户计算机环境和/或客户数据时的安全性；以及</w:t>
      </w:r>
    </w:p>
    <w:p w14:paraId="6A8411CE">
      <w:pPr>
        <w:pStyle w:val="35"/>
        <w:numPr>
          <w:ilvl w:val="0"/>
          <w:numId w:val="9"/>
        </w:numPr>
        <w:spacing w:before="120" w:after="120" w:line="288" w:lineRule="auto"/>
        <w:ind w:left="900" w:leftChars="200" w:hanging="420" w:hangingChars="200"/>
        <w:rPr>
          <w:rFonts w:ascii="微软雅黑" w:hAnsi="微软雅黑" w:eastAsia="微软雅黑" w:cs="微软雅黑"/>
          <w:color w:val="000000" w:themeColor="text1"/>
          <w:sz w:val="21"/>
          <w:szCs w:val="21"/>
          <w:lang w:eastAsia="zh-CN"/>
          <w14:textFill>
            <w14:solidFill>
              <w14:schemeClr w14:val="tx1"/>
            </w14:solidFill>
          </w14:textFill>
        </w:rPr>
      </w:pPr>
      <w:r>
        <w:rPr>
          <w:rFonts w:ascii="微软雅黑" w:hAnsi="微软雅黑" w:eastAsia="微软雅黑" w:cs="微软雅黑"/>
          <w:color w:val="000000" w:themeColor="text1"/>
          <w:sz w:val="21"/>
          <w:szCs w:val="21"/>
          <w:lang w:eastAsia="zh-CN"/>
          <w14:textFill>
            <w14:solidFill>
              <w14:schemeClr w14:val="tx1"/>
            </w14:solidFill>
          </w14:textFill>
        </w:rPr>
        <w:t xml:space="preserve"> 当客户将凭据分配给供应方的授权用户时，这些凭据对每个用户而言都是保密和专用的，不得以任何理由披露或共享。</w:t>
      </w:r>
    </w:p>
    <w:p w14:paraId="2A048AA3">
      <w:pPr>
        <w:rPr>
          <w:lang w:eastAsia="zh-C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Aptos">
    <w:altName w:val="Helvetica Neue"/>
    <w:panose1 w:val="00000000000000000000"/>
    <w:charset w:val="00"/>
    <w:family w:val="swiss"/>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微软雅黑,Arial">
    <w:altName w:val="Arial"/>
    <w:panose1 w:val="00000000000000000000"/>
    <w:charset w:val="86"/>
    <w:family w:val="roman"/>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5408D4"/>
    <w:multiLevelType w:val="multilevel"/>
    <w:tmpl w:val="095408D4"/>
    <w:lvl w:ilvl="0" w:tentative="0">
      <w:start w:val="1"/>
      <w:numFmt w:val="lowerLetter"/>
      <w:lvlText w:val="%1)"/>
      <w:lvlJc w:val="left"/>
      <w:pPr>
        <w:ind w:left="720" w:hanging="360"/>
      </w:pPr>
      <w:rPr>
        <w:rFonts w:hint="default" w:ascii="微软雅黑,Arial" w:hAnsi="微软雅黑,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78E9DC6"/>
    <w:multiLevelType w:val="multilevel"/>
    <w:tmpl w:val="178E9DC6"/>
    <w:lvl w:ilvl="0" w:tentative="0">
      <w:start w:val="1"/>
      <w:numFmt w:val="lowerLetter"/>
      <w:lvlText w:val="%1)"/>
      <w:lvlJc w:val="left"/>
      <w:pPr>
        <w:ind w:left="780" w:hanging="360"/>
      </w:pPr>
      <w:rPr>
        <w:rFonts w:hint="default" w:ascii="微软雅黑,Arial" w:hAnsi="微软雅黑,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85C9525"/>
    <w:multiLevelType w:val="multilevel"/>
    <w:tmpl w:val="285C9525"/>
    <w:lvl w:ilvl="0" w:tentative="0">
      <w:start w:val="1"/>
      <w:numFmt w:val="lowerLetter"/>
      <w:lvlText w:val="%1)"/>
      <w:lvlJc w:val="left"/>
      <w:pPr>
        <w:ind w:left="780" w:hanging="360"/>
      </w:pPr>
      <w:rPr>
        <w:rFonts w:hint="default" w:ascii="微软雅黑,Arial" w:hAnsi="微软雅黑,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CC83372"/>
    <w:multiLevelType w:val="multilevel"/>
    <w:tmpl w:val="3CC83372"/>
    <w:lvl w:ilvl="0" w:tentative="0">
      <w:start w:val="1"/>
      <w:numFmt w:val="decimal"/>
      <w:lvlText w:val="%1."/>
      <w:lvlJc w:val="left"/>
      <w:pPr>
        <w:ind w:left="440" w:hanging="440"/>
      </w:pPr>
      <w:rPr>
        <w:rFonts w:hint="default" w:ascii="微软雅黑" w:hAnsi="微软雅黑"/>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1147F96"/>
    <w:multiLevelType w:val="multilevel"/>
    <w:tmpl w:val="51147F96"/>
    <w:lvl w:ilvl="0" w:tentative="0">
      <w:start w:val="1"/>
      <w:numFmt w:val="lowerLetter"/>
      <w:lvlText w:val="%1)"/>
      <w:lvlJc w:val="left"/>
      <w:pPr>
        <w:ind w:left="720" w:hanging="360"/>
      </w:pPr>
      <w:rPr>
        <w:rFonts w:hint="default" w:ascii="微软雅黑,Arial" w:hAnsi="微软雅黑,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E9E665F"/>
    <w:multiLevelType w:val="multilevel"/>
    <w:tmpl w:val="5E9E665F"/>
    <w:lvl w:ilvl="0" w:tentative="0">
      <w:start w:val="1"/>
      <w:numFmt w:val="decimal"/>
      <w:lvlText w:val="%1."/>
      <w:lvlJc w:val="left"/>
      <w:pPr>
        <w:ind w:left="720" w:hanging="360"/>
      </w:pPr>
      <w:rPr>
        <w:rFonts w:hint="default" w:ascii="微软雅黑" w:hAnsi="微软雅黑"/>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9BE4AFE"/>
    <w:multiLevelType w:val="multilevel"/>
    <w:tmpl w:val="69BE4AFE"/>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180"/>
      </w:pPr>
    </w:lvl>
    <w:lvl w:ilvl="3" w:tentative="0">
      <w:start w:val="1"/>
      <w:numFmt w:val="decimal"/>
      <w:lvlText w:val="%1.%2.%3.%4."/>
      <w:lvlJc w:val="left"/>
      <w:pPr>
        <w:ind w:left="2880" w:hanging="360"/>
      </w:pPr>
    </w:lvl>
    <w:lvl w:ilvl="4" w:tentative="0">
      <w:start w:val="1"/>
      <w:numFmt w:val="decimal"/>
      <w:lvlText w:val="%1.%2.%3.%4.%5."/>
      <w:lvlJc w:val="left"/>
      <w:pPr>
        <w:ind w:left="3600" w:hanging="360"/>
      </w:pPr>
    </w:lvl>
    <w:lvl w:ilvl="5" w:tentative="0">
      <w:start w:val="1"/>
      <w:numFmt w:val="decimal"/>
      <w:lvlText w:val="%1.%2.%3.%4.%5.%6."/>
      <w:lvlJc w:val="left"/>
      <w:pPr>
        <w:ind w:left="4320" w:hanging="180"/>
      </w:pPr>
    </w:lvl>
    <w:lvl w:ilvl="6" w:tentative="0">
      <w:start w:val="1"/>
      <w:numFmt w:val="decimal"/>
      <w:lvlText w:val="%1.%2.%3.%4.%5.%6.%7."/>
      <w:lvlJc w:val="left"/>
      <w:pPr>
        <w:ind w:left="5040" w:hanging="360"/>
      </w:pPr>
    </w:lvl>
    <w:lvl w:ilvl="7" w:tentative="0">
      <w:start w:val="1"/>
      <w:numFmt w:val="decimal"/>
      <w:lvlText w:val="%1.%2.%3.%4.%5.%6.%7.%8."/>
      <w:lvlJc w:val="left"/>
      <w:pPr>
        <w:ind w:left="5760" w:hanging="360"/>
      </w:pPr>
    </w:lvl>
    <w:lvl w:ilvl="8" w:tentative="0">
      <w:start w:val="1"/>
      <w:numFmt w:val="decimal"/>
      <w:lvlText w:val="%1.%2.%3.%4.%5.%6.%7.%8.%9."/>
      <w:lvlJc w:val="left"/>
      <w:pPr>
        <w:ind w:left="6480" w:hanging="180"/>
      </w:pPr>
    </w:lvl>
  </w:abstractNum>
  <w:abstractNum w:abstractNumId="7">
    <w:nsid w:val="7011B12F"/>
    <w:multiLevelType w:val="multilevel"/>
    <w:tmpl w:val="7011B12F"/>
    <w:lvl w:ilvl="0" w:tentative="0">
      <w:start w:val="1"/>
      <w:numFmt w:val="lowerLetter"/>
      <w:lvlText w:val="%1)"/>
      <w:lvlJc w:val="left"/>
      <w:pPr>
        <w:ind w:left="780" w:hanging="360"/>
      </w:pPr>
      <w:rPr>
        <w:rFonts w:hint="default" w:ascii="微软雅黑,Arial" w:hAnsi="微软雅黑,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F22EF97"/>
    <w:multiLevelType w:val="multilevel"/>
    <w:tmpl w:val="7F22EF97"/>
    <w:lvl w:ilvl="0" w:tentative="0">
      <w:start w:val="1"/>
      <w:numFmt w:val="lowerLetter"/>
      <w:lvlText w:val="%1)"/>
      <w:lvlJc w:val="left"/>
      <w:pPr>
        <w:ind w:left="780" w:hanging="360"/>
      </w:pPr>
      <w:rPr>
        <w:rFonts w:hint="default" w:ascii="微软雅黑,Arial" w:hAnsi="微软雅黑,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5"/>
  </w:num>
  <w:num w:numId="3">
    <w:abstractNumId w:val="6"/>
  </w:num>
  <w:num w:numId="4">
    <w:abstractNumId w:val="1"/>
  </w:num>
  <w:num w:numId="5">
    <w:abstractNumId w:val="4"/>
  </w:num>
  <w:num w:numId="6">
    <w:abstractNumId w:val="7"/>
  </w:num>
  <w:num w:numId="7">
    <w:abstractNumId w:val="0"/>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6AE8FB"/>
    <w:rsid w:val="00163DB4"/>
    <w:rsid w:val="00207005"/>
    <w:rsid w:val="00247251"/>
    <w:rsid w:val="00247FB6"/>
    <w:rsid w:val="002506CA"/>
    <w:rsid w:val="005A86BA"/>
    <w:rsid w:val="00661227"/>
    <w:rsid w:val="00763001"/>
    <w:rsid w:val="00D15E8C"/>
    <w:rsid w:val="00D77ABD"/>
    <w:rsid w:val="07790607"/>
    <w:rsid w:val="089C9D7A"/>
    <w:rsid w:val="09AF2E79"/>
    <w:rsid w:val="0D4F7646"/>
    <w:rsid w:val="1728927E"/>
    <w:rsid w:val="1730DCB4"/>
    <w:rsid w:val="1D110640"/>
    <w:rsid w:val="21B0CCD5"/>
    <w:rsid w:val="24F5A937"/>
    <w:rsid w:val="24F8966E"/>
    <w:rsid w:val="263E06C1"/>
    <w:rsid w:val="2732E4F2"/>
    <w:rsid w:val="2A2DC41C"/>
    <w:rsid w:val="2AA02106"/>
    <w:rsid w:val="2CF38C9D"/>
    <w:rsid w:val="3D7D3227"/>
    <w:rsid w:val="414F9024"/>
    <w:rsid w:val="46648CFF"/>
    <w:rsid w:val="47449099"/>
    <w:rsid w:val="49018D8B"/>
    <w:rsid w:val="526AE8FB"/>
    <w:rsid w:val="5EEB5D69"/>
    <w:rsid w:val="66F7CFBA"/>
    <w:rsid w:val="7363279D"/>
    <w:rsid w:val="744513BC"/>
    <w:rsid w:val="77395678"/>
    <w:rsid w:val="77E5C5F1"/>
    <w:rsid w:val="BDFEA9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4">
    <w:name w:val="Table Grid"/>
    <w:basedOn w:val="13"/>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6">
    <w:name w:val="Hyperlink"/>
    <w:basedOn w:val="15"/>
    <w:unhideWhenUsed/>
    <w:uiPriority w:val="99"/>
    <w:rPr>
      <w:color w:val="467886"/>
      <w:u w:val="single"/>
    </w:rPr>
  </w:style>
  <w:style w:type="character" w:customStyle="1" w:styleId="17">
    <w:name w:val="Heading 1 Char"/>
    <w:basedOn w:val="15"/>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5"/>
    <w:link w:val="3"/>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5"/>
    <w:link w:val="4"/>
    <w:uiPriority w:val="9"/>
    <w:rPr>
      <w:rFonts w:eastAsiaTheme="majorEastAsia" w:cstheme="majorBidi"/>
      <w:color w:val="104862" w:themeColor="accent1" w:themeShade="BF"/>
      <w:sz w:val="28"/>
      <w:szCs w:val="28"/>
    </w:rPr>
  </w:style>
  <w:style w:type="character" w:customStyle="1" w:styleId="20">
    <w:name w:val="Heading 4 Char"/>
    <w:basedOn w:val="15"/>
    <w:link w:val="5"/>
    <w:uiPriority w:val="9"/>
    <w:rPr>
      <w:rFonts w:eastAsiaTheme="majorEastAsia" w:cstheme="majorBidi"/>
      <w:i/>
      <w:iCs/>
      <w:color w:val="104862" w:themeColor="accent1" w:themeShade="BF"/>
    </w:rPr>
  </w:style>
  <w:style w:type="character" w:customStyle="1" w:styleId="21">
    <w:name w:val="Heading 5 Char"/>
    <w:basedOn w:val="15"/>
    <w:link w:val="6"/>
    <w:uiPriority w:val="9"/>
    <w:rPr>
      <w:rFonts w:eastAsiaTheme="majorEastAsia" w:cstheme="majorBidi"/>
      <w:color w:val="104862" w:themeColor="accent1" w:themeShade="BF"/>
    </w:rPr>
  </w:style>
  <w:style w:type="character" w:customStyle="1" w:styleId="22">
    <w:name w:val="Heading 6 Char"/>
    <w:basedOn w:val="15"/>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5"/>
    <w:link w:val="8"/>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5"/>
    <w:link w:val="9"/>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5"/>
    <w:link w:val="10"/>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5"/>
    <w:link w:val="12"/>
    <w:uiPriority w:val="10"/>
    <w:rPr>
      <w:rFonts w:asciiTheme="majorHAnsi" w:hAnsiTheme="majorHAnsi" w:eastAsiaTheme="majorEastAsia" w:cstheme="majorBidi"/>
      <w:spacing w:val="-10"/>
      <w:kern w:val="28"/>
      <w:sz w:val="56"/>
      <w:szCs w:val="56"/>
    </w:rPr>
  </w:style>
  <w:style w:type="character" w:customStyle="1" w:styleId="27">
    <w:name w:val="Subtitle Char"/>
    <w:basedOn w:val="15"/>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8">
    <w:name w:val="Intense Emphasis"/>
    <w:basedOn w:val="15"/>
    <w:qFormat/>
    <w:uiPriority w:val="21"/>
    <w:rPr>
      <w:i/>
      <w:iCs/>
      <w:color w:val="104862" w:themeColor="accent1" w:themeShade="BF"/>
    </w:rPr>
  </w:style>
  <w:style w:type="character" w:customStyle="1" w:styleId="29">
    <w:name w:val="Quote Char"/>
    <w:basedOn w:val="15"/>
    <w:link w:val="30"/>
    <w:uiPriority w:val="29"/>
    <w:rPr>
      <w:i/>
      <w:iCs/>
      <w:color w:val="404040" w:themeColor="text1" w:themeTint="BF"/>
      <w14:textFill>
        <w14:solidFill>
          <w14:schemeClr w14:val="tx1">
            <w14:lumMod w14:val="75000"/>
            <w14:lumOff w14:val="25000"/>
          </w14:schemeClr>
        </w14:solidFill>
      </w14:textFill>
    </w:rPr>
  </w:style>
  <w:style w:type="paragraph" w:styleId="30">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Intense Quote Char"/>
    <w:basedOn w:val="15"/>
    <w:link w:val="32"/>
    <w:uiPriority w:val="30"/>
    <w:rPr>
      <w:i/>
      <w:iCs/>
      <w:color w:val="104862" w:themeColor="accent1" w:themeShade="BF"/>
    </w:rPr>
  </w:style>
  <w:style w:type="paragraph" w:styleId="32">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 w:type="paragraph" w:customStyle="1" w:styleId="34">
    <w:name w:val="Body 10 Centred Condensed"/>
    <w:basedOn w:val="1"/>
    <w:uiPriority w:val="1"/>
    <w:pPr>
      <w:jc w:val="center"/>
    </w:pPr>
    <w:rPr>
      <w:sz w:val="20"/>
      <w:szCs w:val="20"/>
      <w:lang w:eastAsia="en-US"/>
    </w:rPr>
  </w:style>
  <w:style w:type="paragraph" w:styleId="3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ma="http://schemas.microsoft.com/office/2006/metadata/properties/metaAttributes" xmlns:ct="http://schemas.microsoft.com/office/2006/metadata/contentType" ma:contentTypeVersion="3" ct:_="" ma:contentTypeName="Document" ma:_="" ma:contentTypeID="0x010100FA219E7596F5304CBF7E581FBC79BD75" ma:contentTypeDescription="Create a new document." ma:contentTypeScope="" ma:versionID="6bb30bf61b2c98b136197130beb7e4c6">
  <xsd:schema xmlns:ns2="d50d6950-d746-4f75-a394-213b634abf00" xmlns:xs="http://www.w3.org/2001/XMLSchema" xmlns:p="http://schemas.microsoft.com/office/2006/metadata/properties" xmlns:xsd="http://www.w3.org/2001/XMLSchema" ma:root="true" ns2:_="" ma:fieldsID="324d5a45d8cd95da44db92d99f56cd7b" targetNamespace="http://schemas.microsoft.com/office/2006/metadata/properties">
    <xsd:import namespace="d50d6950-d746-4f75-a394-213b634abf0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http://www.w3.org/2001/XMLSchema" xmlns:xsd="http://www.w3.org/2001/XMLSchema" xmlns:dms="http://schemas.microsoft.com/office/2006/documentManagement/types" xmlns:pc="http://schemas.microsoft.com/office/infopath/2007/PartnerControls" elementFormDefault="qualified" targetNamespace="d50d6950-d746-4f75-a394-213b634abf00">
    <xsd:import namespace="http://schemas.microsoft.com/office/2006/documentManagement/types"/>
    <xsd:import namespace="http://schemas.microsoft.com/office/infopath/2007/PartnerControls"/>
    <xsd:element ma:hidden="true" name="MediaServiceMetadata" nillable="true" ma:internalName="MediaServiceMetadata" ma:readOnly="true" ma:displayName="MediaServiceMetadata" ma:index="8">
      <xsd:simpleType>
        <xsd:restriction base="dms:Note"/>
      </xsd:simpleType>
    </xsd:element>
    <xsd:element ma:hidden="true" name="MediaServiceFastMetadata" nillable="true" ma:internalName="MediaServiceFastMetadata" ma:readOnly="true" ma:displayName="MediaServiceFastMetadata" ma:index="9">
      <xsd:simpleType>
        <xsd:restriction base="dms:Note"/>
      </xsd:simpleType>
    </xsd:element>
    <xsd:element ma:hidden="true" name="MediaServiceSearchProperties" nillable="true" ma:internalName="MediaServiceSearchProperties" ma:readOnly="true" ma:displayName="MediaServiceSearchProperties" ma:index="10">
      <xsd:simpleType>
        <xsd:restriction base="dms:Note"/>
      </xsd:simpleType>
    </xsd:element>
  </xsd:schema>
  <xsd:schema xmlns:dcterms="http://purl.org/dc/terms/" xmlns:xsd="http://www.w3.org/2001/XMLSchema" xmlns="http://schemas.openxmlformats.org/package/2006/metadata/core-properties" xmlns:xsi="http://www.w3.org/2001/XMLSchema-instance" xmlns:odoc="http://schemas.microsoft.com/internal/obd" xmlns:dc="http://purl.org/dc/elements/1.1/"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ref="dc:creator" minOccurs="0"/>
        <xsd:element maxOccurs="1" ref="dcterms:created" minOccurs="0"/>
        <xsd:element maxOccurs="1" ref="dc:identifier" minOccurs="0"/>
        <xsd:element name="contentType" maxOccurs="1" minOccurs="0" ma:displayName="Content Type" type="xsd:string" ma:index="0"/>
        <xsd:element maxOccurs="1" ref="dc:title" minOccurs="0" ma:displayName="Title" ma:index="4"/>
        <xsd:element maxOccurs="1" ref="dc:subject" minOccurs="0"/>
        <xsd:element maxOccurs="1" ref="dc:description" minOccurs="0"/>
        <xsd:element name="keywords" maxOccurs="1" minOccurs="0" type="xsd:string"/>
        <xsd:element maxOccurs="1" ref="dc:language"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maxOccurs="1" ref="dcterms:modified" minOccurs="0"/>
        <xsd:element name="contentStatus" maxOccurs="1" minOccurs="0"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D2F434-3E76-4A25-B6BB-A97CFDEE26B7}">
  <ds:schemaRefs/>
</ds:datastoreItem>
</file>

<file path=customXml/itemProps2.xml><?xml version="1.0" encoding="utf-8"?>
<ds:datastoreItem xmlns:ds="http://schemas.openxmlformats.org/officeDocument/2006/customXml" ds:itemID="{5220D2DF-7F9E-459B-8D0F-7D442E0C786B}">
  <ds:schemaRefs/>
</ds:datastoreItem>
</file>

<file path=customXml/itemProps3.xml><?xml version="1.0" encoding="utf-8"?>
<ds:datastoreItem xmlns:ds="http://schemas.openxmlformats.org/officeDocument/2006/customXml" ds:itemID="{0FD79876-C5C0-4FBC-83D0-BD7DCF68948E}">
  <ds:schemaRefs/>
</ds:datastoreItem>
</file>

<file path=docProps/app.xml><?xml version="1.0" encoding="utf-8"?>
<Properties xmlns="http://schemas.openxmlformats.org/officeDocument/2006/extended-properties" xmlns:vt="http://schemas.openxmlformats.org/officeDocument/2006/docPropsVTypes">
  <Template>Normal</Template>
  <Pages>10</Pages>
  <Words>3176</Words>
  <Characters>3463</Characters>
  <Lines>157</Lines>
  <Paragraphs>170</Paragraphs>
  <TotalTime>0</TotalTime>
  <ScaleCrop>false</ScaleCrop>
  <LinksUpToDate>false</LinksUpToDate>
  <CharactersWithSpaces>6469</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2025-04-03T16:28:00Z</dcterms:created>
  <dc:creator>Wang,Mary,CN-Beijing,Digital Hub</dc:creator>
  <cp:lastModifiedBy>Ricky杨纯</cp:lastModifiedBy>
  <dcterms:modified xsi:type="dcterms:W3CDTF">2025-12-10T17:13:59Z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0x010100FA219E7596F5304CBF7E581FBC79BD75</vt:lpwstr>
  </property>
  <property fmtid="{D5CDD505-2E9C-101B-9397-08002B2CF9AE}" pid="3" name="docLangLocale">
    <vt:lpwstr>zh-hans</vt:lpwstr>
  </property>
  <property fmtid="{D5CDD505-2E9C-101B-9397-08002B2CF9AE}" pid="4" name="docLang">
    <vt:lpwstr>zh</vt:lpwstr>
  </property>
  <property fmtid="{D5CDD505-2E9C-101B-9397-08002B2CF9AE}" pid="5" name="KSOProductBuildVer">
    <vt:lpwstr>2052-7.3.1.8967</vt:lpwstr>
  </property>
  <property fmtid="{D5CDD505-2E9C-101B-9397-08002B2CF9AE}" pid="6" name="ICV">
    <vt:lpwstr>6B9A59C21DAF209BD73939696B8341E4_42</vt:lpwstr>
  </property>
</Properties>
</file>