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C8C1E" w14:textId="77777777" w:rsidR="00076EDF" w:rsidRDefault="00076EDF" w:rsidP="004F599D">
      <w:pPr>
        <w:spacing w:line="480" w:lineRule="auto"/>
        <w:jc w:val="center"/>
        <w:rPr>
          <w:sz w:val="32"/>
          <w:szCs w:val="32"/>
        </w:rPr>
      </w:pPr>
      <w:bookmarkStart w:id="0" w:name="OLE_LINK20"/>
      <w:bookmarkStart w:id="1" w:name="OLE_LINK21"/>
      <w:bookmarkStart w:id="2" w:name="_GoBack"/>
      <w:bookmarkEnd w:id="2"/>
    </w:p>
    <w:p w14:paraId="49147C6F" w14:textId="77777777" w:rsidR="00076EDF" w:rsidRPr="00076EDF" w:rsidRDefault="00076EDF" w:rsidP="004F599D">
      <w:pPr>
        <w:spacing w:line="480" w:lineRule="auto"/>
        <w:jc w:val="center"/>
        <w:rPr>
          <w:sz w:val="32"/>
          <w:szCs w:val="32"/>
        </w:rPr>
      </w:pPr>
    </w:p>
    <w:p w14:paraId="1BF5F145" w14:textId="31F68C36" w:rsidR="00E37A8B" w:rsidRPr="00076EDF" w:rsidRDefault="00DD729A" w:rsidP="004F599D">
      <w:pPr>
        <w:spacing w:line="480" w:lineRule="auto"/>
        <w:jc w:val="center"/>
        <w:rPr>
          <w:sz w:val="32"/>
          <w:szCs w:val="32"/>
        </w:rPr>
      </w:pPr>
      <w:r w:rsidRPr="00076EDF">
        <w:rPr>
          <w:sz w:val="32"/>
          <w:szCs w:val="32"/>
        </w:rPr>
        <w:t xml:space="preserve">Ethical Case Study: </w:t>
      </w:r>
      <w:bookmarkStart w:id="3" w:name="OLE_LINK14"/>
      <w:bookmarkStart w:id="4" w:name="OLE_LINK15"/>
      <w:r w:rsidR="00683D90" w:rsidRPr="00076EDF">
        <w:rPr>
          <w:sz w:val="32"/>
          <w:szCs w:val="32"/>
        </w:rPr>
        <w:t xml:space="preserve">BP Texas City Refinery Disaster </w:t>
      </w:r>
      <w:bookmarkEnd w:id="3"/>
      <w:bookmarkEnd w:id="4"/>
    </w:p>
    <w:p w14:paraId="69741541" w14:textId="23A3997C" w:rsidR="00683D90" w:rsidRPr="00683D90" w:rsidRDefault="00683D90" w:rsidP="00683D90">
      <w:pPr>
        <w:jc w:val="center"/>
        <w:rPr>
          <w:sz w:val="32"/>
          <w:szCs w:val="32"/>
        </w:rPr>
      </w:pPr>
      <w:r w:rsidRPr="00683D90">
        <w:rPr>
          <w:sz w:val="32"/>
          <w:szCs w:val="32"/>
        </w:rPr>
        <w:fldChar w:fldCharType="begin"/>
      </w:r>
      <w:r w:rsidRPr="00683D90">
        <w:rPr>
          <w:sz w:val="32"/>
          <w:szCs w:val="32"/>
        </w:rPr>
        <w:instrText xml:space="preserve"> INCLUDEPICTURE "https://upload.wikimedia.org/wikipedia/commons/7/71/BP_PLANT_EXPLOSION-1_lowres2.jpg" \* MERGEFORMATINET </w:instrText>
      </w:r>
      <w:r w:rsidRPr="00683D90">
        <w:rPr>
          <w:sz w:val="32"/>
          <w:szCs w:val="32"/>
        </w:rPr>
        <w:fldChar w:fldCharType="separate"/>
      </w:r>
      <w:r w:rsidRPr="00076EDF">
        <w:rPr>
          <w:noProof/>
          <w:sz w:val="32"/>
          <w:szCs w:val="32"/>
        </w:rPr>
        <w:drawing>
          <wp:inline distT="0" distB="0" distL="0" distR="0" wp14:anchorId="5A2C1D7C" wp14:editId="008B3043">
            <wp:extent cx="5602246" cy="3712685"/>
            <wp:effectExtent l="0" t="0" r="0" b="0"/>
            <wp:docPr id="1" name="Picture 1" descr="A factory with smoke coming out of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933" cy="372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D90">
        <w:rPr>
          <w:sz w:val="32"/>
          <w:szCs w:val="32"/>
        </w:rPr>
        <w:fldChar w:fldCharType="end"/>
      </w:r>
    </w:p>
    <w:p w14:paraId="75A4E856" w14:textId="77777777" w:rsidR="00683D90" w:rsidRPr="00076EDF" w:rsidRDefault="00683D90" w:rsidP="004F599D">
      <w:pPr>
        <w:spacing w:line="480" w:lineRule="auto"/>
        <w:jc w:val="center"/>
        <w:rPr>
          <w:sz w:val="32"/>
          <w:szCs w:val="32"/>
        </w:rPr>
      </w:pPr>
    </w:p>
    <w:p w14:paraId="0C3DF313" w14:textId="22F216EC" w:rsidR="00DD729A" w:rsidRPr="00076EDF" w:rsidRDefault="00DD729A" w:rsidP="004F599D">
      <w:pPr>
        <w:spacing w:line="480" w:lineRule="auto"/>
        <w:jc w:val="center"/>
        <w:rPr>
          <w:sz w:val="32"/>
          <w:szCs w:val="32"/>
        </w:rPr>
      </w:pPr>
      <w:proofErr w:type="spellStart"/>
      <w:r w:rsidRPr="00076EDF">
        <w:rPr>
          <w:sz w:val="32"/>
          <w:szCs w:val="32"/>
        </w:rPr>
        <w:t>Weikeng</w:t>
      </w:r>
      <w:proofErr w:type="spellEnd"/>
      <w:r w:rsidRPr="00076EDF">
        <w:rPr>
          <w:sz w:val="32"/>
          <w:szCs w:val="32"/>
        </w:rPr>
        <w:t xml:space="preserve"> Yang</w:t>
      </w:r>
    </w:p>
    <w:p w14:paraId="3C6628FC" w14:textId="5DAC616B" w:rsidR="00DD729A" w:rsidRPr="00076EDF" w:rsidRDefault="00DD729A" w:rsidP="004F599D">
      <w:pPr>
        <w:spacing w:line="480" w:lineRule="auto"/>
        <w:jc w:val="center"/>
        <w:rPr>
          <w:sz w:val="32"/>
          <w:szCs w:val="32"/>
        </w:rPr>
      </w:pPr>
      <w:r w:rsidRPr="00076EDF">
        <w:rPr>
          <w:sz w:val="32"/>
          <w:szCs w:val="32"/>
        </w:rPr>
        <w:t>UID: 405346443</w:t>
      </w:r>
    </w:p>
    <w:p w14:paraId="39223597" w14:textId="120914DB" w:rsidR="00DD729A" w:rsidRPr="00076EDF" w:rsidRDefault="00DD729A" w:rsidP="004F599D">
      <w:pPr>
        <w:spacing w:line="480" w:lineRule="auto"/>
        <w:jc w:val="center"/>
        <w:rPr>
          <w:sz w:val="32"/>
          <w:szCs w:val="32"/>
        </w:rPr>
      </w:pPr>
      <w:r w:rsidRPr="00076EDF">
        <w:rPr>
          <w:sz w:val="32"/>
          <w:szCs w:val="32"/>
        </w:rPr>
        <w:t>November 6, 2019</w:t>
      </w:r>
    </w:p>
    <w:p w14:paraId="0171DD6B" w14:textId="08480CC5" w:rsidR="00DD729A" w:rsidRDefault="00DD729A" w:rsidP="004F599D">
      <w:pPr>
        <w:spacing w:line="480" w:lineRule="auto"/>
        <w:jc w:val="center"/>
      </w:pPr>
    </w:p>
    <w:p w14:paraId="3B87A402" w14:textId="77777777" w:rsidR="00076EDF" w:rsidRDefault="00076EDF" w:rsidP="004F599D">
      <w:pPr>
        <w:spacing w:line="480" w:lineRule="auto"/>
        <w:rPr>
          <w:b/>
          <w:bCs/>
        </w:rPr>
      </w:pPr>
    </w:p>
    <w:p w14:paraId="1E01D6CB" w14:textId="77777777" w:rsidR="00076EDF" w:rsidRDefault="00076EDF" w:rsidP="004F599D">
      <w:pPr>
        <w:spacing w:line="480" w:lineRule="auto"/>
        <w:rPr>
          <w:b/>
          <w:bCs/>
        </w:rPr>
      </w:pPr>
    </w:p>
    <w:p w14:paraId="7674F21B" w14:textId="77777777" w:rsidR="00076EDF" w:rsidRDefault="00076EDF" w:rsidP="004F599D">
      <w:pPr>
        <w:spacing w:line="480" w:lineRule="auto"/>
        <w:rPr>
          <w:b/>
          <w:bCs/>
        </w:rPr>
      </w:pPr>
    </w:p>
    <w:p w14:paraId="6A5FB81C" w14:textId="77777777" w:rsidR="00153585" w:rsidRDefault="00153585" w:rsidP="00153585">
      <w:pPr>
        <w:spacing w:line="480" w:lineRule="auto"/>
        <w:jc w:val="center"/>
        <w:rPr>
          <w:b/>
          <w:bCs/>
          <w:sz w:val="32"/>
          <w:szCs w:val="32"/>
        </w:rPr>
      </w:pPr>
    </w:p>
    <w:p w14:paraId="7230DFCD" w14:textId="77777777" w:rsidR="00153585" w:rsidRDefault="00153585" w:rsidP="00153585">
      <w:pPr>
        <w:spacing w:line="480" w:lineRule="auto"/>
        <w:jc w:val="center"/>
        <w:rPr>
          <w:b/>
          <w:bCs/>
          <w:sz w:val="32"/>
          <w:szCs w:val="32"/>
        </w:rPr>
      </w:pPr>
    </w:p>
    <w:p w14:paraId="11165EBE" w14:textId="77777777" w:rsidR="00153585" w:rsidRDefault="00153585" w:rsidP="00153585">
      <w:pPr>
        <w:spacing w:line="480" w:lineRule="auto"/>
        <w:jc w:val="center"/>
        <w:rPr>
          <w:b/>
          <w:bCs/>
          <w:sz w:val="32"/>
          <w:szCs w:val="32"/>
        </w:rPr>
      </w:pPr>
    </w:p>
    <w:p w14:paraId="25846AD2" w14:textId="77777777" w:rsidR="00153585" w:rsidRDefault="00153585" w:rsidP="00153585">
      <w:pPr>
        <w:spacing w:line="480" w:lineRule="auto"/>
        <w:jc w:val="center"/>
        <w:rPr>
          <w:b/>
          <w:bCs/>
          <w:sz w:val="32"/>
          <w:szCs w:val="32"/>
        </w:rPr>
      </w:pPr>
    </w:p>
    <w:p w14:paraId="2383D90A" w14:textId="6402C1EB" w:rsidR="00153585" w:rsidRPr="00153585" w:rsidRDefault="00153585" w:rsidP="00153585">
      <w:pPr>
        <w:spacing w:line="480" w:lineRule="auto"/>
        <w:jc w:val="center"/>
        <w:rPr>
          <w:b/>
          <w:bCs/>
          <w:sz w:val="32"/>
          <w:szCs w:val="32"/>
        </w:rPr>
      </w:pPr>
      <w:r w:rsidRPr="00153585">
        <w:rPr>
          <w:b/>
          <w:bCs/>
          <w:sz w:val="32"/>
          <w:szCs w:val="32"/>
        </w:rPr>
        <w:t>Table of Contents</w:t>
      </w:r>
    </w:p>
    <w:p w14:paraId="2D814E13" w14:textId="027BD6B8" w:rsidR="00153585" w:rsidRPr="00153585" w:rsidRDefault="00153585" w:rsidP="00153585">
      <w:pPr>
        <w:spacing w:line="720" w:lineRule="auto"/>
      </w:pPr>
      <w:r w:rsidRPr="00153585">
        <w:t>Abstrac</w:t>
      </w:r>
      <w:r>
        <w:t>t……………………………………………………………………………………………3</w:t>
      </w:r>
    </w:p>
    <w:p w14:paraId="53328716" w14:textId="1A3DC2A3" w:rsidR="00153585" w:rsidRPr="00153585" w:rsidRDefault="00153585" w:rsidP="00153585">
      <w:pPr>
        <w:spacing w:line="720" w:lineRule="auto"/>
      </w:pPr>
      <w:r w:rsidRPr="00153585">
        <w:t>Background</w:t>
      </w:r>
      <w:r w:rsidR="00693645">
        <w:t>………………………………………………………………………………………..</w:t>
      </w:r>
      <w:r w:rsidR="00A32BD1">
        <w:t>3</w:t>
      </w:r>
    </w:p>
    <w:p w14:paraId="5A9323C3" w14:textId="77105BC2" w:rsidR="00153585" w:rsidRPr="00153585" w:rsidRDefault="00153585" w:rsidP="00153585">
      <w:pPr>
        <w:spacing w:line="720" w:lineRule="auto"/>
      </w:pPr>
      <w:r w:rsidRPr="00153585">
        <w:t>The Engineering Failure</w:t>
      </w:r>
      <w:r w:rsidR="00022B79">
        <w:t>………………………………..………………………………………....6</w:t>
      </w:r>
    </w:p>
    <w:p w14:paraId="2DE5F23B" w14:textId="40B18837" w:rsidR="00153585" w:rsidRPr="00153585" w:rsidRDefault="00153585" w:rsidP="00153585">
      <w:pPr>
        <w:spacing w:line="720" w:lineRule="auto"/>
      </w:pPr>
      <w:r w:rsidRPr="00153585">
        <w:t>Ethical Analysis</w:t>
      </w:r>
      <w:r w:rsidR="00022B79">
        <w:t>………………………………..………………………………………………….7</w:t>
      </w:r>
    </w:p>
    <w:p w14:paraId="5A43DD34" w14:textId="62A2C70A" w:rsidR="00153585" w:rsidRPr="00153585" w:rsidRDefault="00153585" w:rsidP="00153585">
      <w:pPr>
        <w:spacing w:line="720" w:lineRule="auto"/>
      </w:pPr>
      <w:r w:rsidRPr="00153585">
        <w:t>Recommendations</w:t>
      </w:r>
      <w:r w:rsidR="00022B79">
        <w:t>………………………………..………………………………………………..8</w:t>
      </w:r>
    </w:p>
    <w:p w14:paraId="5962AE30" w14:textId="6DAC93BC" w:rsidR="00153585" w:rsidRPr="00153585" w:rsidRDefault="00153585" w:rsidP="00153585">
      <w:pPr>
        <w:spacing w:line="720" w:lineRule="auto"/>
      </w:pPr>
      <w:r w:rsidRPr="00153585">
        <w:t>Conclusion</w:t>
      </w:r>
      <w:r w:rsidR="00022B79">
        <w:t>………………………………..……………………………………………………….9</w:t>
      </w:r>
    </w:p>
    <w:p w14:paraId="508FB6F2" w14:textId="2861CD28" w:rsidR="00153585" w:rsidRPr="00153585" w:rsidRDefault="00153585" w:rsidP="00153585">
      <w:pPr>
        <w:spacing w:line="720" w:lineRule="auto"/>
      </w:pPr>
      <w:r w:rsidRPr="00153585">
        <w:t>Works Cited</w:t>
      </w:r>
      <w:r w:rsidR="00022B79">
        <w:t>………………………………..…………………………………………………….10</w:t>
      </w:r>
    </w:p>
    <w:p w14:paraId="5802E2DB" w14:textId="36A8EF54" w:rsidR="00076EDF" w:rsidRDefault="00076EDF" w:rsidP="00153585">
      <w:pPr>
        <w:spacing w:line="720" w:lineRule="auto"/>
        <w:rPr>
          <w:b/>
          <w:bCs/>
        </w:rPr>
      </w:pPr>
      <w:r>
        <w:rPr>
          <w:b/>
          <w:bCs/>
        </w:rPr>
        <w:br w:type="page"/>
      </w:r>
    </w:p>
    <w:p w14:paraId="0587A684" w14:textId="3A88A36E" w:rsidR="00082BE4" w:rsidRDefault="00082BE4" w:rsidP="004F599D">
      <w:pPr>
        <w:spacing w:line="480" w:lineRule="auto"/>
        <w:rPr>
          <w:b/>
          <w:bCs/>
        </w:rPr>
      </w:pPr>
      <w:r w:rsidRPr="00082BE4">
        <w:rPr>
          <w:b/>
          <w:bCs/>
        </w:rPr>
        <w:t>Abstract</w:t>
      </w:r>
    </w:p>
    <w:p w14:paraId="5165632D" w14:textId="5989207B" w:rsidR="00144BB6" w:rsidRPr="00BC619B" w:rsidRDefault="00545EDB" w:rsidP="00A77050">
      <w:pPr>
        <w:spacing w:line="480" w:lineRule="auto"/>
        <w:rPr>
          <w:rFonts w:hint="eastAsia"/>
        </w:rPr>
      </w:pPr>
      <w:r>
        <w:rPr>
          <w:b/>
          <w:bCs/>
        </w:rPr>
        <w:tab/>
      </w:r>
      <w:bookmarkStart w:id="5" w:name="OLE_LINK16"/>
      <w:bookmarkStart w:id="6" w:name="OLE_LINK17"/>
      <w:r w:rsidR="00A10CD9">
        <w:t>T</w:t>
      </w:r>
      <w:r w:rsidR="00A10CD9">
        <w:rPr>
          <w:rFonts w:hint="eastAsia"/>
        </w:rPr>
        <w:t>h</w:t>
      </w:r>
      <w:r w:rsidR="00A10CD9">
        <w:t xml:space="preserve">e purpose of this ethics report is going to study on the </w:t>
      </w:r>
      <w:r w:rsidR="00A10CD9" w:rsidRPr="002D5583">
        <w:t xml:space="preserve">BP Texas City </w:t>
      </w:r>
      <w:r w:rsidR="00A10CD9">
        <w:t>r</w:t>
      </w:r>
      <w:r w:rsidR="00A10CD9" w:rsidRPr="002D5583">
        <w:t>efinery</w:t>
      </w:r>
      <w:r w:rsidR="00A10CD9">
        <w:t xml:space="preserve"> disaster in 2005, discuss particularly the ethical issues that took place before the disaster happened. Furthermore, this report will </w:t>
      </w:r>
      <w:r w:rsidR="00A10CD9" w:rsidRPr="00061BFD">
        <w:t xml:space="preserve">investigate the </w:t>
      </w:r>
      <w:r w:rsidR="00A10CD9">
        <w:t xml:space="preserve">proper </w:t>
      </w:r>
      <w:r w:rsidR="00A10CD9" w:rsidRPr="00061BFD">
        <w:t>moral obligations</w:t>
      </w:r>
      <w:r w:rsidR="00A10CD9">
        <w:t xml:space="preserve"> and the </w:t>
      </w:r>
      <w:r w:rsidR="00A10CD9" w:rsidRPr="00061BFD">
        <w:t>social responsibility at an individual and organizational level</w:t>
      </w:r>
      <w:r w:rsidR="00A10CD9">
        <w:t xml:space="preserve"> to prevent similar cases in the future. </w:t>
      </w:r>
      <w:r>
        <w:t xml:space="preserve">BP, formerly known as British Petroleum Product </w:t>
      </w:r>
      <w:r>
        <w:rPr>
          <w:rFonts w:hint="eastAsia"/>
        </w:rPr>
        <w:t>No</w:t>
      </w:r>
      <w:r>
        <w:t>rth America Inc, is one of the world’s leading international oil compan</w:t>
      </w:r>
      <w:r w:rsidR="00147547">
        <w:t>ies</w:t>
      </w:r>
      <w:r>
        <w:t xml:space="preserve">. </w:t>
      </w:r>
      <w:bookmarkEnd w:id="5"/>
      <w:bookmarkEnd w:id="6"/>
      <w:r w:rsidR="00305EF4">
        <w:t xml:space="preserve">A series of explosions happened in </w:t>
      </w:r>
      <w:r w:rsidR="000454CF">
        <w:t xml:space="preserve">The </w:t>
      </w:r>
      <w:r w:rsidR="000F7436">
        <w:t>BP</w:t>
      </w:r>
      <w:r w:rsidR="000454CF">
        <w:t xml:space="preserve"> </w:t>
      </w:r>
      <w:r w:rsidR="004C3417">
        <w:t>Texas City Refinery</w:t>
      </w:r>
      <w:r w:rsidR="002A38DD">
        <w:t>.</w:t>
      </w:r>
      <w:r w:rsidR="00F97C6D">
        <w:t xml:space="preserve"> The incident </w:t>
      </w:r>
      <w:r w:rsidR="002803CE">
        <w:t>was caused by organization and safety deficiencies.</w:t>
      </w:r>
      <w:r w:rsidR="00F97C6D">
        <w:t xml:space="preserve"> </w:t>
      </w:r>
      <w:bookmarkStart w:id="7" w:name="OLE_LINK6"/>
      <w:bookmarkStart w:id="8" w:name="OLE_LINK7"/>
      <w:r w:rsidR="002803CE">
        <w:t>A</w:t>
      </w:r>
      <w:r w:rsidR="00F97C6D">
        <w:t xml:space="preserve"> raffinate split</w:t>
      </w:r>
      <w:r w:rsidR="006D37EA">
        <w:t>t</w:t>
      </w:r>
      <w:r w:rsidR="00F97C6D">
        <w:t xml:space="preserve">er tower </w:t>
      </w:r>
      <w:r w:rsidR="006D37EA">
        <w:t>was</w:t>
      </w:r>
      <w:r w:rsidR="00F97C6D">
        <w:t xml:space="preserve"> overfilled</w:t>
      </w:r>
      <w:r w:rsidR="006D37EA">
        <w:t xml:space="preserve"> with hydrocarbon, the overpressure forced</w:t>
      </w:r>
      <w:r w:rsidR="002803CE">
        <w:t xml:space="preserve"> the pressure relief device to open, </w:t>
      </w:r>
      <w:r w:rsidR="006D37EA">
        <w:t>thereby</w:t>
      </w:r>
      <w:r w:rsidR="002803CE">
        <w:t xml:space="preserve"> a large amount of </w:t>
      </w:r>
      <w:r w:rsidR="002803CE" w:rsidRPr="002803CE">
        <w:t>flammable liquid</w:t>
      </w:r>
      <w:r w:rsidR="002803CE">
        <w:t xml:space="preserve"> gey</w:t>
      </w:r>
      <w:r w:rsidR="006D37EA">
        <w:t>ser from the vent stack.</w:t>
      </w:r>
      <w:r w:rsidR="007D2C72">
        <w:t xml:space="preserve"> </w:t>
      </w:r>
      <w:bookmarkEnd w:id="7"/>
      <w:bookmarkEnd w:id="8"/>
      <w:r w:rsidR="000A6B3E">
        <w:t>In th</w:t>
      </w:r>
      <w:r w:rsidR="007D2C72">
        <w:t>is</w:t>
      </w:r>
      <w:r w:rsidR="000A6B3E">
        <w:t xml:space="preserve"> </w:t>
      </w:r>
      <w:r w:rsidR="00BA2B4A">
        <w:t>inci</w:t>
      </w:r>
      <w:r w:rsidR="000A6B3E">
        <w:t xml:space="preserve">dent, </w:t>
      </w:r>
      <w:r w:rsidR="004C3417">
        <w:t>15 employees were</w:t>
      </w:r>
      <w:r w:rsidR="00B22193">
        <w:t xml:space="preserve"> </w:t>
      </w:r>
      <w:r w:rsidR="004C3417">
        <w:t>kill</w:t>
      </w:r>
      <w:r w:rsidR="000454CF">
        <w:t>ed</w:t>
      </w:r>
      <w:r w:rsidR="00B22193">
        <w:t xml:space="preserve"> </w:t>
      </w:r>
      <w:r w:rsidR="004C3417">
        <w:t xml:space="preserve">and </w:t>
      </w:r>
      <w:r w:rsidR="000454CF">
        <w:t>another</w:t>
      </w:r>
      <w:r w:rsidR="00D221DF">
        <w:t xml:space="preserve"> </w:t>
      </w:r>
      <w:r w:rsidR="004C3417">
        <w:t xml:space="preserve">180 were </w:t>
      </w:r>
      <w:r w:rsidR="000A6B3E">
        <w:t xml:space="preserve">injured. </w:t>
      </w:r>
      <w:r w:rsidR="004D3D6C">
        <w:t xml:space="preserve">It </w:t>
      </w:r>
      <w:r w:rsidR="000454CF">
        <w:t xml:space="preserve">resulted in </w:t>
      </w:r>
      <w:r w:rsidR="00BA2B4A">
        <w:t xml:space="preserve">direct </w:t>
      </w:r>
      <w:r w:rsidR="000454CF">
        <w:t xml:space="preserve">financial losses exceeding </w:t>
      </w:r>
      <w:r w:rsidR="00BA2B4A">
        <w:t>$1.5 billions.</w:t>
      </w:r>
      <w:bookmarkStart w:id="9" w:name="OLE_LINK4"/>
      <w:bookmarkStart w:id="10" w:name="OLE_LINK5"/>
      <w:r w:rsidR="001434FA">
        <w:t xml:space="preserve"> </w:t>
      </w:r>
      <w:r w:rsidR="00B120FF">
        <w:t>BP</w:t>
      </w:r>
      <w:r w:rsidR="00876F27">
        <w:t xml:space="preserve"> was found that </w:t>
      </w:r>
      <w:r w:rsidR="00D622B7">
        <w:t>it</w:t>
      </w:r>
      <w:r w:rsidR="00B120FF">
        <w:t xml:space="preserve"> had</w:t>
      </w:r>
      <w:r w:rsidR="00B120FF" w:rsidRPr="00B120FF">
        <w:t xml:space="preserve"> activated equipment at the plant</w:t>
      </w:r>
      <w:r w:rsidR="00B120FF">
        <w:t xml:space="preserve"> while </w:t>
      </w:r>
      <w:r w:rsidR="00B120FF" w:rsidRPr="00B120FF">
        <w:t>knowing that some alarms and a level transmitter had failed, causing the device to explode.</w:t>
      </w:r>
      <w:bookmarkEnd w:id="9"/>
      <w:bookmarkEnd w:id="10"/>
      <w:r w:rsidR="00BC619B">
        <w:t xml:space="preserve"> </w:t>
      </w:r>
      <w:r w:rsidR="00405472">
        <w:t>As one of the responsible parties, BP should have taken additional precautionary measures to prevent this disaster.</w:t>
      </w:r>
      <w:r w:rsidR="00E72AE0">
        <w:t xml:space="preserve"> And in the future, </w:t>
      </w:r>
      <w:r w:rsidR="000D03E6">
        <w:t xml:space="preserve">the risk management should be enhanced and set up more </w:t>
      </w:r>
      <w:r w:rsidR="001625B6">
        <w:t>regulations</w:t>
      </w:r>
      <w:r w:rsidR="000D03E6">
        <w:t xml:space="preserve"> </w:t>
      </w:r>
      <w:r w:rsidR="000D0B42">
        <w:t xml:space="preserve">to </w:t>
      </w:r>
    </w:p>
    <w:p w14:paraId="259875C3" w14:textId="2EFEC0FB" w:rsidR="00006C50" w:rsidRPr="00006C50" w:rsidRDefault="00006C50" w:rsidP="004F599D">
      <w:pPr>
        <w:spacing w:line="480" w:lineRule="auto"/>
        <w:rPr>
          <w:b/>
          <w:bCs/>
        </w:rPr>
      </w:pPr>
      <w:r w:rsidRPr="00006C50">
        <w:rPr>
          <w:b/>
          <w:bCs/>
        </w:rPr>
        <w:t>Background</w:t>
      </w:r>
    </w:p>
    <w:p w14:paraId="0DCA2E51" w14:textId="4145CACD" w:rsidR="00E56004" w:rsidRPr="009872EA" w:rsidRDefault="004C3417" w:rsidP="009872EA">
      <w:pPr>
        <w:spacing w:line="480" w:lineRule="auto"/>
        <w:ind w:firstLine="720"/>
        <w:rPr>
          <w:rFonts w:ascii="SimSun" w:eastAsia="SimSun" w:hAnsi="SimSun" w:cs="SimSun"/>
        </w:rPr>
      </w:pPr>
      <w:r>
        <w:t xml:space="preserve"> </w:t>
      </w:r>
      <w:r w:rsidR="00061C9A">
        <w:t xml:space="preserve">The British Petroleum (BP) Texas City Refinery, which was the third-largest oil refinery in the United States. It made an engineering failure, which led to a series of </w:t>
      </w:r>
      <w:r w:rsidR="00061C9A">
        <w:rPr>
          <w:rFonts w:hint="eastAsia"/>
        </w:rPr>
        <w:t>fire</w:t>
      </w:r>
      <w:r w:rsidR="00061C9A">
        <w:t xml:space="preserve">s </w:t>
      </w:r>
      <w:r w:rsidR="00061C9A">
        <w:rPr>
          <w:rFonts w:hint="eastAsia"/>
        </w:rPr>
        <w:t>and</w:t>
      </w:r>
      <w:r w:rsidR="00061C9A">
        <w:t xml:space="preserve"> explosions occurred at approximately 1:20 p.m. on March 23, 2005</w:t>
      </w:r>
      <w:r w:rsidR="00FD5F7F">
        <w:t>. The incident occurred</w:t>
      </w:r>
      <w:r w:rsidR="00061C9A">
        <w:t xml:space="preserve"> during the restarting of a hydrocarbon isomerization (ISOM) uni</w:t>
      </w:r>
      <w:r w:rsidR="00F0295F">
        <w:t>t</w:t>
      </w:r>
      <w:r w:rsidR="00061C9A" w:rsidRPr="00F97C6D">
        <w:t>.</w:t>
      </w:r>
      <w:r w:rsidR="00061C9A">
        <w:t xml:space="preserve"> The </w:t>
      </w:r>
      <w:r w:rsidR="00087798">
        <w:rPr>
          <w:rFonts w:hint="eastAsia"/>
        </w:rPr>
        <w:t>explosion</w:t>
      </w:r>
      <w:r w:rsidR="00061C9A">
        <w:t xml:space="preserve"> was caused by organization and safety deficiencies. </w:t>
      </w:r>
      <w:r w:rsidR="000953EF">
        <w:t>Because of the wrong information transmitted from the alarm and the control system, the control room was unaware of the high liquid level in the raffinate splitter tower. The</w:t>
      </w:r>
      <w:r w:rsidR="00061C9A">
        <w:t xml:space="preserve"> tower was overfilled with hydrocarbons</w:t>
      </w:r>
      <w:r w:rsidR="00FD5F7F">
        <w:t xml:space="preserve"> liquid</w:t>
      </w:r>
      <w:r w:rsidR="00061C9A">
        <w:t xml:space="preserve">, the overpressure forced the </w:t>
      </w:r>
      <w:r w:rsidR="00FD5F7F">
        <w:t>safety relief val</w:t>
      </w:r>
      <w:r w:rsidR="00F0295F">
        <w:t xml:space="preserve">ves </w:t>
      </w:r>
      <w:r w:rsidR="00061C9A">
        <w:t>to ope</w:t>
      </w:r>
      <w:r w:rsidR="00F97264">
        <w:t>n, thereby the liquid transmitted to the blowdown drum through the pipeline and flooded the blowdown drum,</w:t>
      </w:r>
      <w:r w:rsidR="00061C9A">
        <w:t xml:space="preserve"> </w:t>
      </w:r>
      <w:r w:rsidR="00F97264">
        <w:t>eventually</w:t>
      </w:r>
      <w:r w:rsidR="00061C9A">
        <w:t xml:space="preserve"> a large amount of </w:t>
      </w:r>
      <w:r w:rsidR="00061C9A" w:rsidRPr="002803CE">
        <w:t>flammable liquid</w:t>
      </w:r>
      <w:r w:rsidR="00061C9A">
        <w:t xml:space="preserve"> geyser from the </w:t>
      </w:r>
      <w:r w:rsidR="00F97264">
        <w:rPr>
          <w:rFonts w:hint="eastAsia"/>
        </w:rPr>
        <w:t>blowdown</w:t>
      </w:r>
      <w:r w:rsidR="00F97264">
        <w:t xml:space="preserve"> </w:t>
      </w:r>
      <w:r w:rsidR="00061C9A">
        <w:t xml:space="preserve">stack. </w:t>
      </w:r>
      <w:r w:rsidR="00C80CBD" w:rsidRPr="00C80CBD">
        <w:t>When the leaked flammable liquid evaporates, it forms a vapor cloud.</w:t>
      </w:r>
      <w:r w:rsidR="00C80CBD">
        <w:t xml:space="preserve"> </w:t>
      </w:r>
      <w:r w:rsidR="00061C9A">
        <w:rPr>
          <w:rFonts w:hint="eastAsia"/>
        </w:rPr>
        <w:t>T</w:t>
      </w:r>
      <w:r w:rsidR="00061C9A">
        <w:t>here was a truck nearby without the engine</w:t>
      </w:r>
      <w:r w:rsidR="000F3085">
        <w:t xml:space="preserve"> on</w:t>
      </w:r>
      <w:r w:rsidR="00061C9A">
        <w:t xml:space="preserve">, </w:t>
      </w:r>
      <w:r w:rsidR="00061C9A">
        <w:rPr>
          <w:rFonts w:hint="eastAsia"/>
        </w:rPr>
        <w:t>and</w:t>
      </w:r>
      <w:r w:rsidR="00061C9A">
        <w:t xml:space="preserve"> the sparks from the engine ignited the flammable </w:t>
      </w:r>
      <w:r w:rsidR="00766E80">
        <w:t>vapor cloud</w:t>
      </w:r>
      <w:r w:rsidR="00061C9A">
        <w:t>,</w:t>
      </w:r>
      <w:r w:rsidR="00061C9A">
        <w:rPr>
          <w:rFonts w:hint="eastAsia"/>
        </w:rPr>
        <w:t xml:space="preserve"> </w:t>
      </w:r>
      <w:r w:rsidR="00061C9A">
        <w:t xml:space="preserve">triggering the unprecedented explosion. </w:t>
      </w:r>
      <w:r w:rsidR="00A97B7D">
        <w:t>The incident took the lives of</w:t>
      </w:r>
      <w:r w:rsidR="00061C9A">
        <w:t xml:space="preserve"> 15 employees and</w:t>
      </w:r>
      <w:r w:rsidR="00A97B7D">
        <w:t xml:space="preserve"> injured</w:t>
      </w:r>
      <w:r w:rsidR="00061C9A">
        <w:t xml:space="preserve"> another</w:t>
      </w:r>
      <w:r w:rsidR="00A97B7D">
        <w:t xml:space="preserve"> 180. </w:t>
      </w:r>
      <w:r w:rsidR="00061C9A">
        <w:t xml:space="preserve">At the same time, </w:t>
      </w:r>
      <w:r w:rsidR="00061C9A">
        <w:rPr>
          <w:rFonts w:hint="eastAsia"/>
        </w:rPr>
        <w:t>peo</w:t>
      </w:r>
      <w:r w:rsidR="00061C9A">
        <w:t>ple who work and live nearby have fallen victim to the smoke smudge from the explosion, the community was alarmed, and resulted in direct financial losses exceeding $1.5 billions</w:t>
      </w:r>
      <w:r w:rsidR="002F662B">
        <w:t xml:space="preserve"> (</w:t>
      </w:r>
      <w:r w:rsidR="002F662B">
        <w:rPr>
          <w:rFonts w:hint="eastAsia"/>
        </w:rPr>
        <w:t>C</w:t>
      </w:r>
      <w:r w:rsidR="002F662B">
        <w:t>SB, 200</w:t>
      </w:r>
      <w:r w:rsidR="00801A4B">
        <w:t>7</w:t>
      </w:r>
      <w:r w:rsidR="002F662B">
        <w:t>)</w:t>
      </w:r>
      <w:r w:rsidR="00061C9A">
        <w:t xml:space="preserve">. </w:t>
      </w:r>
      <w:r w:rsidR="00A92479">
        <w:t xml:space="preserve">After the explosion, </w:t>
      </w:r>
      <w:r w:rsidR="00CC357B" w:rsidRPr="009B7DE4">
        <w:t xml:space="preserve">OSHA </w:t>
      </w:r>
      <w:r w:rsidR="00CC357B">
        <w:rPr>
          <w:rFonts w:hint="eastAsia"/>
        </w:rPr>
        <w:t>issued</w:t>
      </w:r>
      <w:r w:rsidR="00CC357B">
        <w:t xml:space="preserve"> $21 million in proposed penalties to </w:t>
      </w:r>
      <w:bookmarkStart w:id="11" w:name="OLE_LINK12"/>
      <w:bookmarkStart w:id="12" w:name="OLE_LINK13"/>
      <w:r w:rsidR="00CC357B">
        <w:t>BP</w:t>
      </w:r>
      <w:bookmarkEnd w:id="11"/>
      <w:bookmarkEnd w:id="12"/>
      <w:r w:rsidR="00A92479">
        <w:t xml:space="preserve">. </w:t>
      </w:r>
    </w:p>
    <w:p w14:paraId="35C3210B" w14:textId="6B90EA40" w:rsidR="00061C9A" w:rsidRDefault="00F0295F" w:rsidP="004F599D">
      <w:pPr>
        <w:spacing w:line="480" w:lineRule="auto"/>
      </w:pPr>
      <w:r>
        <w:tab/>
      </w:r>
      <w:r w:rsidR="00BF77A4">
        <w:t>The ISOM unit</w:t>
      </w:r>
      <w:r w:rsidR="005A4912">
        <w:t xml:space="preserve"> </w:t>
      </w:r>
      <w:r w:rsidR="006B539D">
        <w:t xml:space="preserve">was installed at the refinery in the mid-1980s, it </w:t>
      </w:r>
      <w:r w:rsidR="005A4912">
        <w:t>consist</w:t>
      </w:r>
      <w:r w:rsidR="006B539D">
        <w:t>ed</w:t>
      </w:r>
      <w:r w:rsidR="005A4912">
        <w:t xml:space="preserve"> of 4 sections</w:t>
      </w:r>
      <w:r w:rsidR="003471E0">
        <w:t xml:space="preserve"> </w:t>
      </w:r>
      <w:r w:rsidR="0096702C">
        <w:rPr>
          <w:rFonts w:hint="eastAsia"/>
        </w:rPr>
        <w:t>as</w:t>
      </w:r>
      <w:r w:rsidR="005A4912">
        <w:t xml:space="preserve"> </w:t>
      </w:r>
      <w:r w:rsidR="00BF77A4">
        <w:t>shown in figure 1</w:t>
      </w:r>
      <w:r w:rsidR="00870A81">
        <w:t>.</w:t>
      </w:r>
      <w:r w:rsidR="007839EF">
        <w:t xml:space="preserve"> </w:t>
      </w:r>
      <w:r w:rsidR="00A33C83">
        <w:t xml:space="preserve">To observe and maintain the </w:t>
      </w:r>
      <w:r w:rsidR="00C32468">
        <w:t xml:space="preserve">liquid level in the </w:t>
      </w:r>
      <w:r w:rsidR="0096702C">
        <w:t xml:space="preserve">raffinate splitter </w:t>
      </w:r>
      <w:r w:rsidR="00C32468">
        <w:t>tower,</w:t>
      </w:r>
      <w:r w:rsidR="00A33C83">
        <w:t xml:space="preserve"> </w:t>
      </w:r>
      <w:r w:rsidR="00FA6CA4">
        <w:t>this section was equipped with a</w:t>
      </w:r>
      <w:r w:rsidR="007839EF">
        <w:t xml:space="preserve"> level </w:t>
      </w:r>
      <w:r w:rsidR="0029131E">
        <w:t>indicator</w:t>
      </w:r>
      <w:r w:rsidR="007839EF">
        <w:t xml:space="preserve"> which could </w:t>
      </w:r>
      <w:r w:rsidR="0029131E">
        <w:t>measure</w:t>
      </w:r>
      <w:r w:rsidR="00652E61">
        <w:t xml:space="preserve"> the liquid level</w:t>
      </w:r>
      <w:r w:rsidR="00C32468">
        <w:t xml:space="preserve"> </w:t>
      </w:r>
      <w:r w:rsidR="00652E61">
        <w:t xml:space="preserve">inside </w:t>
      </w:r>
      <w:r w:rsidR="00C32468">
        <w:t>and</w:t>
      </w:r>
      <w:r w:rsidR="009B5C68">
        <w:t xml:space="preserve"> </w:t>
      </w:r>
      <w:r w:rsidR="00C32468">
        <w:rPr>
          <w:rFonts w:hint="eastAsia"/>
        </w:rPr>
        <w:t>tr</w:t>
      </w:r>
      <w:r w:rsidR="00652E61">
        <w:t>ansmitted</w:t>
      </w:r>
      <w:r w:rsidR="00C32468">
        <w:t xml:space="preserve"> th</w:t>
      </w:r>
      <w:r w:rsidR="00652E61">
        <w:t>is</w:t>
      </w:r>
      <w:r w:rsidR="00C32468">
        <w:t xml:space="preserve"> information </w:t>
      </w:r>
      <w:r w:rsidR="007839EF">
        <w:t>to the control operator</w:t>
      </w:r>
      <w:r w:rsidR="00652E61">
        <w:t>s</w:t>
      </w:r>
      <w:r w:rsidR="007839EF">
        <w:t xml:space="preserve">. </w:t>
      </w:r>
      <w:r w:rsidR="00BF18BC">
        <w:t>I</w:t>
      </w:r>
      <w:r w:rsidR="00BF18BC">
        <w:rPr>
          <w:rFonts w:hint="eastAsia"/>
        </w:rPr>
        <w:t>n</w:t>
      </w:r>
      <w:r w:rsidR="00BF18BC">
        <w:t xml:space="preserve"> addition</w:t>
      </w:r>
      <w:r w:rsidR="007839EF">
        <w:t xml:space="preserve">, there are two </w:t>
      </w:r>
      <w:r w:rsidR="00A33C83">
        <w:t xml:space="preserve">separate </w:t>
      </w:r>
      <w:r w:rsidR="00C11A45">
        <w:t xml:space="preserve">high liquid level </w:t>
      </w:r>
      <w:r w:rsidR="00A33C83">
        <w:t>alarms</w:t>
      </w:r>
      <w:r w:rsidR="00C32468">
        <w:t xml:space="preserve">, one was set to 72% (a height of </w:t>
      </w:r>
      <w:r w:rsidR="00C11A45">
        <w:t>7.6 feet</w:t>
      </w:r>
      <w:r w:rsidR="00C32468">
        <w:t xml:space="preserve"> in the tower)</w:t>
      </w:r>
      <w:r w:rsidR="00AF7471">
        <w:t xml:space="preserve"> for the alarm value</w:t>
      </w:r>
      <w:r w:rsidR="00C32468">
        <w:t xml:space="preserve">, the second one was set to 78% (a height of </w:t>
      </w:r>
      <w:r w:rsidR="00C11A45">
        <w:t xml:space="preserve">7.9 feet </w:t>
      </w:r>
      <w:r w:rsidR="00C32468">
        <w:t>in the tower)</w:t>
      </w:r>
      <w:r w:rsidR="00AF7471">
        <w:t xml:space="preserve">. Once the liquid level reached the </w:t>
      </w:r>
      <w:r w:rsidR="008C7F4A">
        <w:rPr>
          <w:rFonts w:hint="eastAsia"/>
        </w:rPr>
        <w:t>contrived</w:t>
      </w:r>
      <w:r w:rsidR="00AF7471">
        <w:t xml:space="preserve"> alarm </w:t>
      </w:r>
      <w:r w:rsidR="00635BA5">
        <w:t>level</w:t>
      </w:r>
      <w:r w:rsidR="00AF7471">
        <w:t xml:space="preserve">, </w:t>
      </w:r>
      <w:r w:rsidR="00D734D8">
        <w:t xml:space="preserve">the alarm would </w:t>
      </w:r>
      <w:r w:rsidR="00B3121D">
        <w:t xml:space="preserve">be </w:t>
      </w:r>
      <w:r w:rsidR="00D734D8">
        <w:t xml:space="preserve">activated </w:t>
      </w:r>
      <w:r w:rsidR="005E2491">
        <w:rPr>
          <w:rFonts w:hint="eastAsia"/>
        </w:rPr>
        <w:t>within</w:t>
      </w:r>
      <w:r w:rsidR="005E2491">
        <w:t xml:space="preserve"> </w:t>
      </w:r>
      <w:r w:rsidR="00AF7471">
        <w:t xml:space="preserve">the </w:t>
      </w:r>
      <w:r w:rsidR="00D734D8">
        <w:t>control room</w:t>
      </w:r>
      <w:r w:rsidR="00AF7471">
        <w:t xml:space="preserve"> (CSB, 200</w:t>
      </w:r>
      <w:r w:rsidR="00801A4B">
        <w:t>7</w:t>
      </w:r>
      <w:r w:rsidR="00AF7471">
        <w:t>).</w:t>
      </w:r>
      <w:r w:rsidR="0029131E">
        <w:t xml:space="preserve"> </w:t>
      </w:r>
      <w:r w:rsidR="00F05911">
        <w:t>I9</w:t>
      </w:r>
      <w:r w:rsidR="00652E61">
        <w:t xml:space="preserve">, there is a </w:t>
      </w:r>
      <w:r w:rsidR="00635BA5">
        <w:t>fatal</w:t>
      </w:r>
      <w:r w:rsidR="00D734D8">
        <w:t xml:space="preserve"> </w:t>
      </w:r>
      <w:r w:rsidR="00652E61">
        <w:t xml:space="preserve">design </w:t>
      </w:r>
      <w:r w:rsidR="00652E61">
        <w:rPr>
          <w:rFonts w:hint="eastAsia"/>
        </w:rPr>
        <w:t>f</w:t>
      </w:r>
      <w:r w:rsidR="00652E61">
        <w:t xml:space="preserve">law </w:t>
      </w:r>
      <w:r w:rsidR="00635BA5">
        <w:t>in</w:t>
      </w:r>
      <w:r w:rsidR="00652E61">
        <w:t xml:space="preserve"> the indic</w:t>
      </w:r>
      <w:r w:rsidR="00A402FF">
        <w:t>a</w:t>
      </w:r>
      <w:r w:rsidR="00652E61">
        <w:t>tor</w:t>
      </w:r>
      <w:r w:rsidR="00635BA5">
        <w:t xml:space="preserve"> itself. </w:t>
      </w:r>
      <w:r w:rsidR="00652E61">
        <w:t>The indic</w:t>
      </w:r>
      <w:r w:rsidR="00A402FF">
        <w:t>a</w:t>
      </w:r>
      <w:r w:rsidR="00652E61">
        <w:t xml:space="preserve">tor cannot measure </w:t>
      </w:r>
      <w:r w:rsidR="00B3121D">
        <w:t>the liquid level</w:t>
      </w:r>
      <w:r w:rsidR="00652E61">
        <w:t xml:space="preserve"> above the 10-foot mark (Stannous, 2008).</w:t>
      </w:r>
      <w:r w:rsidR="00D734D8">
        <w:t xml:space="preserve"> In other words, the control room would have no information about the liquid level and how dangerous the level was</w:t>
      </w:r>
      <w:r w:rsidR="00176111">
        <w:t xml:space="preserve"> if the liquid level exceeded 10 feet. </w:t>
      </w:r>
    </w:p>
    <w:p w14:paraId="2DBCA7A3" w14:textId="72A42241" w:rsidR="00061C9A" w:rsidRDefault="00061C9A" w:rsidP="00061C9A">
      <w:pPr>
        <w:jc w:val="center"/>
      </w:pPr>
      <w:r>
        <w:fldChar w:fldCharType="begin"/>
      </w:r>
      <w:r>
        <w:instrText xml:space="preserve"> INCLUDEPICTURE "https://upload.wikimedia.org/wikipedia/commons/9/9d/BP_Texas_City_incident_diagram.png" \* MERGEFORMATINET </w:instrText>
      </w:r>
      <w:r>
        <w:fldChar w:fldCharType="separate"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1E51DFF" wp14:editId="39FA4EE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87140"/>
            <wp:effectExtent l="0" t="0" r="0" b="0"/>
            <wp:wrapTight wrapText="bothSides">
              <wp:wrapPolygon edited="0">
                <wp:start x="0" y="0"/>
                <wp:lineTo x="0" y="21513"/>
                <wp:lineTo x="21554" y="21513"/>
                <wp:lineTo x="21554" y="0"/>
                <wp:lineTo x="0" y="0"/>
              </wp:wrapPolygon>
            </wp:wrapTight>
            <wp:docPr id="3" name="Picture 3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end"/>
      </w:r>
    </w:p>
    <w:p w14:paraId="1DC31B57" w14:textId="6CD49678" w:rsidR="00061C9A" w:rsidRDefault="00061C9A" w:rsidP="00061C9A">
      <w:pPr>
        <w:jc w:val="center"/>
      </w:pPr>
      <w:r w:rsidRPr="00D737B6">
        <w:rPr>
          <w:u w:val="single"/>
        </w:rPr>
        <w:t>Figure 1</w:t>
      </w:r>
      <w:r>
        <w:t>: Raffinate section of the ISOM (CSB, 2007)</w:t>
      </w:r>
    </w:p>
    <w:p w14:paraId="1AE295A5" w14:textId="77777777" w:rsidR="009A544A" w:rsidRDefault="009A544A" w:rsidP="009A544A">
      <w:r>
        <w:tab/>
      </w:r>
    </w:p>
    <w:p w14:paraId="152D9F6F" w14:textId="2D55BC93" w:rsidR="009A544A" w:rsidRDefault="004A7E94" w:rsidP="00281124">
      <w:pPr>
        <w:spacing w:line="480" w:lineRule="auto"/>
        <w:ind w:firstLine="720"/>
      </w:pPr>
      <w:r>
        <w:t xml:space="preserve">An </w:t>
      </w:r>
      <w:r w:rsidR="006E7730">
        <w:t>e</w:t>
      </w:r>
      <w:r w:rsidR="009E5B96" w:rsidRPr="0086195E">
        <w:t>nvironment</w:t>
      </w:r>
      <w:r>
        <w:t xml:space="preserve"> </w:t>
      </w:r>
      <w:r w:rsidR="00D360D9">
        <w:t>investigations</w:t>
      </w:r>
      <w:r w:rsidR="009E5B96">
        <w:t xml:space="preserve"> stated that,</w:t>
      </w:r>
      <w:r w:rsidR="00263DC4" w:rsidRPr="00263DC4">
        <w:t xml:space="preserve"> </w:t>
      </w:r>
      <w:r w:rsidR="00263DC4" w:rsidRPr="0086195E">
        <w:t>the blast</w:t>
      </w:r>
      <w:r w:rsidR="00263DC4">
        <w:t xml:space="preserve"> released</w:t>
      </w:r>
      <w:r w:rsidR="009E5B96">
        <w:t xml:space="preserve"> </w:t>
      </w:r>
      <w:r w:rsidR="009E5B96" w:rsidRPr="0086195E">
        <w:t>approximately 2500 pounds of benzene and 3</w:t>
      </w:r>
      <w:r w:rsidR="009B5C68">
        <w:t>0</w:t>
      </w:r>
      <w:r>
        <w:t>,0</w:t>
      </w:r>
      <w:r w:rsidR="009E5B96" w:rsidRPr="0086195E">
        <w:t xml:space="preserve">00 of other potentially dangerous air pollutants </w:t>
      </w:r>
      <w:r w:rsidR="00263DC4">
        <w:t xml:space="preserve">in the surrounding area. </w:t>
      </w:r>
      <w:r w:rsidR="005E6C4B">
        <w:t xml:space="preserve">And according to </w:t>
      </w:r>
      <w:r w:rsidR="00604781">
        <w:t xml:space="preserve">a </w:t>
      </w:r>
      <w:r w:rsidR="004552C1">
        <w:t>research report from University of Texas Medical Branch</w:t>
      </w:r>
      <w:r w:rsidR="007D3AE2">
        <w:t>,</w:t>
      </w:r>
      <w:r w:rsidR="00281124">
        <w:t xml:space="preserve"> the refinery incident had an important influence on both perceived mental and physical health of</w:t>
      </w:r>
      <w:r w:rsidR="007D3AE2">
        <w:t xml:space="preserve"> </w:t>
      </w:r>
      <w:r w:rsidR="007C3400">
        <w:t>Texas City residents</w:t>
      </w:r>
      <w:r w:rsidR="00281124">
        <w:t xml:space="preserve">. </w:t>
      </w:r>
      <w:r w:rsidR="00BD6AD7">
        <w:t xml:space="preserve">From a </w:t>
      </w:r>
      <w:r w:rsidR="00AC420E">
        <w:t xml:space="preserve">table of data as shown in figure 2, </w:t>
      </w:r>
      <w:r w:rsidR="00FA5651">
        <w:rPr>
          <w:rFonts w:hint="eastAsia"/>
        </w:rPr>
        <w:t>ther</w:t>
      </w:r>
      <w:r w:rsidR="00FA5651">
        <w:t>e were</w:t>
      </w:r>
      <w:r w:rsidR="00FA5651" w:rsidRPr="00FA5651">
        <w:t xml:space="preserve"> significant declines in mental health scores from pre to post-explosion exist for many of the pre-accident variables.</w:t>
      </w:r>
      <w:r w:rsidR="000211DA">
        <w:t xml:space="preserve"> For instances, women had a 2-point decline in mental health and 3.9-point decline in physical health. </w:t>
      </w:r>
      <w:r>
        <w:t xml:space="preserve">Similarly, </w:t>
      </w:r>
      <w:r w:rsidR="000211DA">
        <w:t>men had 3.7</w:t>
      </w:r>
      <w:r w:rsidR="00CE5EA0">
        <w:t>-</w:t>
      </w:r>
      <w:r w:rsidR="000211DA">
        <w:t>point decline in mental health and 3.1</w:t>
      </w:r>
      <w:r w:rsidR="00CE5EA0">
        <w:t>-</w:t>
      </w:r>
      <w:r w:rsidR="000211DA">
        <w:t>point decline in physical health</w:t>
      </w:r>
      <w:r w:rsidR="00CE5EA0">
        <w:t xml:space="preserve"> (Peek</w:t>
      </w:r>
      <w:r w:rsidR="000D56D8">
        <w:t xml:space="preserve"> et al, 2008).</w:t>
      </w:r>
    </w:p>
    <w:p w14:paraId="15B521FE" w14:textId="70511ECC" w:rsidR="000B201C" w:rsidRDefault="00281124" w:rsidP="000B201C">
      <w:pPr>
        <w:spacing w:line="480" w:lineRule="auto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178C3C16" wp14:editId="33745214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5943600" cy="3630295"/>
            <wp:effectExtent l="0" t="0" r="0" b="1905"/>
            <wp:wrapTopAndBottom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11-17 at 17.31.3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356" w:rsidRPr="00D737B6">
        <w:rPr>
          <w:u w:val="single"/>
        </w:rPr>
        <w:t>Figure 2</w:t>
      </w:r>
      <w:r w:rsidR="00D90356">
        <w:t>. Comparison of the change in the physical health for Texas City Residents</w:t>
      </w:r>
      <w:r w:rsidR="00D737B6">
        <w:t xml:space="preserve"> (Peek, et al., 2008).</w:t>
      </w:r>
    </w:p>
    <w:p w14:paraId="7A8A3883" w14:textId="7956E5A7" w:rsidR="00400B92" w:rsidRPr="000B201C" w:rsidRDefault="00683D90" w:rsidP="000B201C">
      <w:pPr>
        <w:spacing w:line="480" w:lineRule="auto"/>
      </w:pPr>
      <w:r>
        <w:rPr>
          <w:b/>
          <w:bCs/>
        </w:rPr>
        <w:t xml:space="preserve">The </w:t>
      </w:r>
      <w:r w:rsidRPr="00683D90">
        <w:rPr>
          <w:b/>
          <w:bCs/>
        </w:rPr>
        <w:t>Engineering Failure</w:t>
      </w:r>
    </w:p>
    <w:p w14:paraId="00B7DF21" w14:textId="1E03594F" w:rsidR="009C7199" w:rsidRDefault="00652E61" w:rsidP="00E23650">
      <w:pPr>
        <w:spacing w:line="480" w:lineRule="auto"/>
      </w:pPr>
      <w:r>
        <w:tab/>
      </w:r>
      <w:r w:rsidR="002F662B">
        <w:t>A</w:t>
      </w:r>
      <w:r w:rsidR="002F662B">
        <w:rPr>
          <w:rFonts w:hint="eastAsia"/>
        </w:rPr>
        <w:t>ft</w:t>
      </w:r>
      <w:r w:rsidR="002F662B">
        <w:t>e</w:t>
      </w:r>
      <w:r w:rsidR="002F662B">
        <w:rPr>
          <w:rFonts w:hint="eastAsia"/>
        </w:rPr>
        <w:t>r</w:t>
      </w:r>
      <w:r w:rsidR="002F662B">
        <w:t xml:space="preserve"> </w:t>
      </w:r>
      <w:r w:rsidR="006B17D0">
        <w:t xml:space="preserve">the </w:t>
      </w:r>
      <w:r w:rsidR="002F662B">
        <w:t>explosion, the U.S. Chemical Safety and hazard Investigation B</w:t>
      </w:r>
      <w:r w:rsidR="002F662B">
        <w:rPr>
          <w:rFonts w:hint="eastAsia"/>
        </w:rPr>
        <w:t>oard</w:t>
      </w:r>
      <w:r w:rsidR="002F662B">
        <w:t xml:space="preserve"> (CSB) deplo</w:t>
      </w:r>
      <w:r w:rsidR="00F6012D">
        <w:rPr>
          <w:rFonts w:hint="eastAsia"/>
        </w:rPr>
        <w:t>y</w:t>
      </w:r>
      <w:r w:rsidR="002F662B">
        <w:t>ed a team to Texas City to investigate the root cause on March 27. L</w:t>
      </w:r>
      <w:r w:rsidR="002F662B">
        <w:rPr>
          <w:rFonts w:hint="eastAsia"/>
        </w:rPr>
        <w:t>ater</w:t>
      </w:r>
      <w:r w:rsidR="002F662B">
        <w:t xml:space="preserve"> the CSB released the results of its investigation, </w:t>
      </w:r>
      <w:r w:rsidR="00BE44CC">
        <w:t>claimed that</w:t>
      </w:r>
      <w:r w:rsidR="002F662B">
        <w:t xml:space="preserve"> they f</w:t>
      </w:r>
      <w:r w:rsidR="00F6012D">
        <w:rPr>
          <w:rFonts w:hint="eastAsia"/>
        </w:rPr>
        <w:t>oun</w:t>
      </w:r>
      <w:r w:rsidR="00BE44CC">
        <w:t xml:space="preserve">d </w:t>
      </w:r>
      <w:r w:rsidR="002F662B">
        <w:t xml:space="preserve">a couple of pre-existing latent conditions, </w:t>
      </w:r>
      <w:r w:rsidR="00BE44CC">
        <w:t>the disaster was caused by “</w:t>
      </w:r>
      <w:r w:rsidR="002F662B">
        <w:t>organization and safety deficiencies at all levels of the BP corporation</w:t>
      </w:r>
      <w:r w:rsidR="00E0481B">
        <w:t>”</w:t>
      </w:r>
      <w:r w:rsidR="00BE44CC">
        <w:t xml:space="preserve"> (CSB, 2007)</w:t>
      </w:r>
      <w:r w:rsidR="002F662B">
        <w:t>.</w:t>
      </w:r>
      <w:r w:rsidR="00E23650">
        <w:t xml:space="preserve"> </w:t>
      </w:r>
    </w:p>
    <w:p w14:paraId="2D4A6699" w14:textId="46082821" w:rsidR="006C2A5D" w:rsidRDefault="009C7199" w:rsidP="006C2A5D">
      <w:pPr>
        <w:spacing w:line="480" w:lineRule="auto"/>
        <w:ind w:firstLine="720"/>
      </w:pPr>
      <w:r>
        <w:t>The first error is that the fluid level indicator in the splitter tower was not calibrated and it was design</w:t>
      </w:r>
      <w:r w:rsidR="001A5AA6">
        <w:t>ed</w:t>
      </w:r>
      <w:r>
        <w:t xml:space="preserve"> with a serious flaw. </w:t>
      </w:r>
      <w:r w:rsidR="00FC7AA6">
        <w:t xml:space="preserve">As mentioned before, the </w:t>
      </w:r>
      <w:r w:rsidR="008644E6">
        <w:t xml:space="preserve">maximum </w:t>
      </w:r>
      <w:r w:rsidR="00FC7AA6">
        <w:t>liquid level</w:t>
      </w:r>
      <w:r w:rsidR="00D70008">
        <w:t xml:space="preserve"> measur</w:t>
      </w:r>
      <w:r w:rsidR="00E574B5">
        <w:t>e</w:t>
      </w:r>
      <w:r w:rsidR="00D70008">
        <w:t>men</w:t>
      </w:r>
      <w:r w:rsidR="00E574B5">
        <w:t>t</w:t>
      </w:r>
      <w:r w:rsidR="00FC7AA6">
        <w:t xml:space="preserve"> </w:t>
      </w:r>
      <w:r w:rsidR="008644E6">
        <w:t xml:space="preserve">in the </w:t>
      </w:r>
      <w:r w:rsidR="00FC7AA6">
        <w:t xml:space="preserve">indicator </w:t>
      </w:r>
      <w:r w:rsidR="008644E6">
        <w:t>is 10 feet</w:t>
      </w:r>
      <w:r w:rsidR="00866F2F">
        <w:t>, which is 100% of the</w:t>
      </w:r>
      <w:r w:rsidR="00B065F3">
        <w:t xml:space="preserve"> value of</w:t>
      </w:r>
      <w:r w:rsidR="00866F2F">
        <w:t xml:space="preserve"> </w:t>
      </w:r>
      <w:r w:rsidR="001A5AA6">
        <w:t xml:space="preserve">the </w:t>
      </w:r>
      <w:r w:rsidR="00866F2F">
        <w:t>height on the control gau</w:t>
      </w:r>
      <w:r w:rsidR="00F66CA4">
        <w:t>g</w:t>
      </w:r>
      <w:r w:rsidR="00866F2F">
        <w:t>e</w:t>
      </w:r>
      <w:r w:rsidR="00F66CA4">
        <w:t xml:space="preserve">. </w:t>
      </w:r>
      <w:r w:rsidR="00093FC9">
        <w:t>W</w:t>
      </w:r>
      <w:r w:rsidR="00093FC9">
        <w:rPr>
          <w:rFonts w:hint="eastAsia"/>
        </w:rPr>
        <w:t>hen</w:t>
      </w:r>
      <w:r w:rsidR="00F66CA4">
        <w:t xml:space="preserve"> the liquid level exceeded 10 feet, the indicator even show</w:t>
      </w:r>
      <w:r w:rsidR="00093FC9">
        <w:rPr>
          <w:rFonts w:hint="eastAsia"/>
        </w:rPr>
        <w:t>ed</w:t>
      </w:r>
      <w:r w:rsidR="00311F56">
        <w:t xml:space="preserve"> a</w:t>
      </w:r>
      <w:r w:rsidR="00F66CA4">
        <w:t xml:space="preserve"> </w:t>
      </w:r>
      <w:r w:rsidR="00F6012D">
        <w:rPr>
          <w:rFonts w:hint="eastAsia"/>
        </w:rPr>
        <w:t>de</w:t>
      </w:r>
      <w:r w:rsidR="00F6012D">
        <w:t xml:space="preserve">creasing </w:t>
      </w:r>
      <w:r w:rsidR="00311F56">
        <w:t xml:space="preserve">height. </w:t>
      </w:r>
      <w:r w:rsidR="00CB73F9">
        <w:t>T</w:t>
      </w:r>
      <w:r w:rsidR="00CB73F9">
        <w:rPr>
          <w:rFonts w:hint="eastAsia"/>
        </w:rPr>
        <w:t>he</w:t>
      </w:r>
      <w:r w:rsidR="00CB73F9">
        <w:t xml:space="preserve"> </w:t>
      </w:r>
      <w:r w:rsidR="001A5AA6">
        <w:t>im</w:t>
      </w:r>
      <w:r w:rsidR="00CB73F9">
        <w:rPr>
          <w:rFonts w:hint="eastAsia"/>
        </w:rPr>
        <w:t>proper</w:t>
      </w:r>
      <w:r w:rsidR="00CB73F9">
        <w:t xml:space="preserve"> </w:t>
      </w:r>
      <w:r w:rsidR="00CB73F9">
        <w:rPr>
          <w:rFonts w:hint="eastAsia"/>
        </w:rPr>
        <w:t>reading</w:t>
      </w:r>
      <w:r w:rsidR="00CB73F9">
        <w:t xml:space="preserve"> </w:t>
      </w:r>
      <w:r w:rsidR="00B059DA">
        <w:t>m</w:t>
      </w:r>
      <w:r w:rsidR="00943B57">
        <w:t>isle</w:t>
      </w:r>
      <w:r w:rsidR="003370C5">
        <w:t>d</w:t>
      </w:r>
      <w:r w:rsidR="00943B57">
        <w:t xml:space="preserve"> the operators</w:t>
      </w:r>
      <w:r w:rsidR="00B059DA">
        <w:t xml:space="preserve"> </w:t>
      </w:r>
      <w:r w:rsidR="00DF2E3F">
        <w:t>to the</w:t>
      </w:r>
      <w:r w:rsidR="00B059DA">
        <w:t xml:space="preserve"> </w:t>
      </w:r>
      <w:r w:rsidR="00F95789">
        <w:rPr>
          <w:rFonts w:hint="eastAsia"/>
        </w:rPr>
        <w:t>li</w:t>
      </w:r>
      <w:r w:rsidR="00F95789">
        <w:t>quid level</w:t>
      </w:r>
      <w:r w:rsidR="007E701E">
        <w:t xml:space="preserve"> in the tower. </w:t>
      </w:r>
      <w:r w:rsidR="0033691C">
        <w:t xml:space="preserve">According </w:t>
      </w:r>
      <w:r w:rsidR="005B5E3E">
        <w:t>the</w:t>
      </w:r>
      <w:r w:rsidR="0033691C">
        <w:t xml:space="preserve"> table record of</w:t>
      </w:r>
      <w:r w:rsidR="005B5E3E">
        <w:t xml:space="preserve"> timeline of event from ISOM unit shutdown to the incident, </w:t>
      </w:r>
      <w:r w:rsidR="0033691C">
        <w:t xml:space="preserve">at 11:50 </w:t>
      </w:r>
      <w:r w:rsidR="007176FA">
        <w:t>a.m.</w:t>
      </w:r>
      <w:r w:rsidR="0033691C">
        <w:t xml:space="preserve">, </w:t>
      </w:r>
      <w:r w:rsidR="005B5E3E">
        <w:t>t</w:t>
      </w:r>
      <w:r w:rsidR="002829F5">
        <w:t xml:space="preserve">he </w:t>
      </w:r>
      <w:r w:rsidR="001B2091">
        <w:t xml:space="preserve">transmitter read 88%, </w:t>
      </w:r>
      <w:r w:rsidR="002829F5">
        <w:t xml:space="preserve">showed that the flammable fluid level was 8.4 feet which was </w:t>
      </w:r>
      <w:r w:rsidR="001B2091">
        <w:t xml:space="preserve">still </w:t>
      </w:r>
      <w:r w:rsidR="002829F5">
        <w:t xml:space="preserve">dropping. </w:t>
      </w:r>
      <w:r w:rsidR="00AF65C4">
        <w:t xml:space="preserve">However, </w:t>
      </w:r>
      <w:r w:rsidR="00212AAA">
        <w:t>the actual tower level is 98 ft</w:t>
      </w:r>
      <w:r w:rsidR="00BE58ED">
        <w:t xml:space="preserve"> and it was still increasing</w:t>
      </w:r>
      <w:r w:rsidR="00C265EF">
        <w:t xml:space="preserve"> (CSB, 200</w:t>
      </w:r>
      <w:r w:rsidR="00801A4B">
        <w:t>7</w:t>
      </w:r>
      <w:r w:rsidR="00C265EF">
        <w:t xml:space="preserve">). </w:t>
      </w:r>
      <w:r w:rsidR="00256CDC">
        <w:t>The liquid continued increase, and u</w:t>
      </w:r>
      <w:r w:rsidR="007176FA">
        <w:t xml:space="preserve">ntil 1:04 p.m. the liquid level has been increased to </w:t>
      </w:r>
      <w:r w:rsidR="00C855D1">
        <w:t>158 feet</w:t>
      </w:r>
      <w:r w:rsidR="007D2146">
        <w:t>. However, the computerized control system read</w:t>
      </w:r>
      <w:r w:rsidR="00633DC5">
        <w:t xml:space="preserve"> 78% (7.9 feet) to operators</w:t>
      </w:r>
      <w:r w:rsidR="002A0A1A">
        <w:t xml:space="preserve"> (CSB, 200</w:t>
      </w:r>
      <w:r w:rsidR="00801A4B">
        <w:t>7</w:t>
      </w:r>
      <w:r w:rsidR="002A0A1A">
        <w:t xml:space="preserve">). </w:t>
      </w:r>
      <w:r w:rsidR="007E701E">
        <w:t xml:space="preserve">Although there </w:t>
      </w:r>
      <w:r w:rsidR="00443811">
        <w:t>was</w:t>
      </w:r>
      <w:r w:rsidR="0058506C">
        <w:t xml:space="preserve"> a standby alarm </w:t>
      </w:r>
      <w:r w:rsidR="00443811">
        <w:t>at</w:t>
      </w:r>
      <w:r w:rsidR="0058506C">
        <w:t xml:space="preserve"> 10 feet, it was found that</w:t>
      </w:r>
      <w:r w:rsidR="0058506C" w:rsidRPr="0058506C">
        <w:t xml:space="preserve"> the alarm had failed before the explosion but had not been maintained</w:t>
      </w:r>
      <w:r w:rsidR="0058506C">
        <w:t>.</w:t>
      </w:r>
      <w:r w:rsidR="00DF3BDE">
        <w:t xml:space="preserve"> </w:t>
      </w:r>
      <w:r w:rsidR="00265958">
        <w:t>T</w:t>
      </w:r>
      <w:r w:rsidR="00DF3BDE">
        <w:t>he high</w:t>
      </w:r>
      <w:r w:rsidR="000606DB">
        <w:t>-</w:t>
      </w:r>
      <w:r w:rsidR="00DF3BDE">
        <w:t>level alarm on the blowdown drum</w:t>
      </w:r>
      <w:r w:rsidR="00265958">
        <w:t xml:space="preserve"> didn’t go off during </w:t>
      </w:r>
      <w:r w:rsidR="00CC3195">
        <w:t xml:space="preserve">the </w:t>
      </w:r>
      <w:r w:rsidR="00265958">
        <w:t>incident as well.</w:t>
      </w:r>
    </w:p>
    <w:p w14:paraId="659DAD88" w14:textId="199139D4" w:rsidR="009C6FDE" w:rsidRDefault="007D5891" w:rsidP="006C2A5D">
      <w:pPr>
        <w:spacing w:line="480" w:lineRule="auto"/>
        <w:ind w:firstLine="720"/>
      </w:pPr>
      <w:r>
        <w:t xml:space="preserve">To </w:t>
      </w:r>
      <w:r w:rsidR="005F19CA">
        <w:t xml:space="preserve">ensure </w:t>
      </w:r>
      <w:r>
        <w:t>safe plant operation, th</w:t>
      </w:r>
      <w:r w:rsidR="0035620C">
        <w:t>e</w:t>
      </w:r>
      <w:r w:rsidR="009771A2">
        <w:t xml:space="preserve"> </w:t>
      </w:r>
      <w:r w:rsidR="0088718A">
        <w:t xml:space="preserve">OSHA </w:t>
      </w:r>
      <w:r w:rsidR="009771A2">
        <w:t xml:space="preserve">PSM Standard </w:t>
      </w:r>
      <w:r w:rsidR="00FD19F4">
        <w:t>[</w:t>
      </w:r>
      <w:r w:rsidR="00BC2D61" w:rsidRPr="00BC2D61">
        <w:t>1910.119(d)(2)(</w:t>
      </w:r>
      <w:proofErr w:type="spellStart"/>
      <w:r w:rsidR="00BC2D61" w:rsidRPr="00BC2D61">
        <w:t>i</w:t>
      </w:r>
      <w:proofErr w:type="spellEnd"/>
      <w:r w:rsidR="00BC2D61" w:rsidRPr="00BC2D61">
        <w:t>)(D)</w:t>
      </w:r>
      <w:r w:rsidR="00E71343">
        <w:t xml:space="preserve"> </w:t>
      </w:r>
      <w:r w:rsidR="00FD19F4">
        <w:t>&amp;</w:t>
      </w:r>
      <w:r w:rsidR="00E71343">
        <w:t xml:space="preserve"> </w:t>
      </w:r>
      <w:r w:rsidR="00FD19F4">
        <w:t>(E)]</w:t>
      </w:r>
      <w:r w:rsidR="0035620C">
        <w:t xml:space="preserve"> required fi</w:t>
      </w:r>
      <w:r w:rsidR="00ED01FA">
        <w:t>r</w:t>
      </w:r>
      <w:r w:rsidR="0035620C">
        <w:t>ms to set</w:t>
      </w:r>
      <w:r w:rsidR="00FD19F4">
        <w:t xml:space="preserve"> </w:t>
      </w:r>
      <w:r w:rsidR="00197E5E">
        <w:t xml:space="preserve">safe upper and lower limits for </w:t>
      </w:r>
      <w:r w:rsidR="0035620C">
        <w:t>process parameters such as pressure</w:t>
      </w:r>
      <w:r w:rsidR="00E71343">
        <w:t xml:space="preserve"> </w:t>
      </w:r>
      <w:r w:rsidR="00ED01FA">
        <w:t xml:space="preserve">and </w:t>
      </w:r>
      <w:r w:rsidR="00287F03">
        <w:t xml:space="preserve">evaluate the consequences of deviations including those </w:t>
      </w:r>
      <w:r w:rsidR="00287F03" w:rsidRPr="00287F03">
        <w:t>affecting the safety and health of employees.</w:t>
      </w:r>
      <w:r w:rsidR="005F19CA">
        <w:t xml:space="preserve"> </w:t>
      </w:r>
      <w:r w:rsidR="00EF7ACA">
        <w:t>The vapor pressure</w:t>
      </w:r>
      <w:r w:rsidR="005F19CA">
        <w:t xml:space="preserve"> </w:t>
      </w:r>
      <w:r w:rsidR="00EF7ACA">
        <w:t xml:space="preserve">of the liquid is required </w:t>
      </w:r>
      <w:r w:rsidR="003904CC">
        <w:t xml:space="preserve">to be less </w:t>
      </w:r>
      <w:r w:rsidR="00625557">
        <w:t>‘</w:t>
      </w:r>
      <w:r w:rsidR="00EF7ACA">
        <w:t>than</w:t>
      </w:r>
      <w:r w:rsidR="001A024A">
        <w:t xml:space="preserve"> </w:t>
      </w:r>
      <w:r w:rsidR="00EF7ACA">
        <w:t>275.8 k</w:t>
      </w:r>
      <w:r w:rsidR="001614B4">
        <w:t>P</w:t>
      </w:r>
      <w:r w:rsidR="001A024A">
        <w:t>a</w:t>
      </w:r>
      <w:r w:rsidR="00EF7ACA">
        <w:t>, as determined by ASTM Standa</w:t>
      </w:r>
      <w:r w:rsidR="00214637">
        <w:t>rd</w:t>
      </w:r>
      <w:r w:rsidR="00EF7ACA">
        <w:t xml:space="preserve"> D323-06</w:t>
      </w:r>
      <w:r w:rsidR="00214637">
        <w:t xml:space="preserve">. However, </w:t>
      </w:r>
      <w:r w:rsidR="001A024A">
        <w:t>BP set an incorrect operating limit for safe operation of the raffinate splitter, which is listed at 482.6 kP</w:t>
      </w:r>
      <w:r w:rsidR="009C6FDE">
        <w:t>a.</w:t>
      </w:r>
    </w:p>
    <w:p w14:paraId="1E0A30F0" w14:textId="10FAE514" w:rsidR="00E25946" w:rsidRDefault="00E25946" w:rsidP="00E25946">
      <w:pPr>
        <w:spacing w:line="480" w:lineRule="auto"/>
        <w:ind w:firstLine="720"/>
      </w:pPr>
      <w:r w:rsidRPr="00E25946">
        <w:t>Undermanned crew as many experienced workers were fired led to only a junior control board operator running three separate units on the accident day.</w:t>
      </w:r>
    </w:p>
    <w:p w14:paraId="3201A8FA" w14:textId="78B6EB1F" w:rsidR="00BE2787" w:rsidRDefault="009C6FDE" w:rsidP="004F599D">
      <w:pPr>
        <w:spacing w:line="480" w:lineRule="auto"/>
      </w:pPr>
      <w:r>
        <w:tab/>
        <w:t>The above causes</w:t>
      </w:r>
      <w:r w:rsidR="008E69EA">
        <w:t xml:space="preserve"> ultimately</w:t>
      </w:r>
      <w:r w:rsidR="007417F2">
        <w:t xml:space="preserve"> pointed to the </w:t>
      </w:r>
      <w:r w:rsidR="001F364E" w:rsidRPr="001F364E">
        <w:t>unscrupulous cost reduction where</w:t>
      </w:r>
      <w:r w:rsidR="00593B34">
        <w:t xml:space="preserve"> the</w:t>
      </w:r>
      <w:r w:rsidR="001F364E" w:rsidRPr="001F364E">
        <w:t xml:space="preserve"> safety of the employees had been severely compromised.</w:t>
      </w:r>
      <w:r w:rsidR="00AC4D12">
        <w:t xml:space="preserve"> </w:t>
      </w:r>
      <w:r w:rsidR="00830A4D">
        <w:t>The root cause of the tragedy was t</w:t>
      </w:r>
      <w:r w:rsidR="00F6171C">
        <w:t>he poor ris</w:t>
      </w:r>
      <w:r w:rsidR="00D45870">
        <w:t>k</w:t>
      </w:r>
      <w:r w:rsidR="00F6171C">
        <w:t xml:space="preserve"> management of </w:t>
      </w:r>
      <w:bookmarkStart w:id="13" w:name="OLE_LINK10"/>
      <w:bookmarkStart w:id="14" w:name="OLE_LINK11"/>
      <w:r w:rsidR="00F6171C">
        <w:t>BP</w:t>
      </w:r>
      <w:bookmarkEnd w:id="13"/>
      <w:bookmarkEnd w:id="14"/>
      <w:r w:rsidR="00830A4D">
        <w:t xml:space="preserve"> group. </w:t>
      </w:r>
      <w:r w:rsidR="00C06599" w:rsidRPr="00C06599">
        <w:t xml:space="preserve">Risk management refers to the management process of how to minimize </w:t>
      </w:r>
      <w:r w:rsidR="005215A9">
        <w:t xml:space="preserve">the </w:t>
      </w:r>
      <w:r w:rsidR="00C06599" w:rsidRPr="00C06599">
        <w:t>risks in project</w:t>
      </w:r>
      <w:r w:rsidR="00487A91">
        <w:t>s</w:t>
      </w:r>
      <w:r w:rsidR="00C06599" w:rsidRPr="00C06599">
        <w:t xml:space="preserve"> or</w:t>
      </w:r>
      <w:r w:rsidR="005215A9">
        <w:t xml:space="preserve"> workplace. </w:t>
      </w:r>
      <w:r w:rsidR="00830A4D">
        <w:t>BP group lacked focus on controlling major hazard risk.</w:t>
      </w:r>
      <w:r w:rsidR="00BC619B">
        <w:t xml:space="preserve"> </w:t>
      </w:r>
      <w:r w:rsidR="00AC4D12">
        <w:t>The i</w:t>
      </w:r>
      <w:r w:rsidR="00913275">
        <w:t>mproper operation, equipment not repair</w:t>
      </w:r>
      <w:r w:rsidR="004E1064">
        <w:t>e</w:t>
      </w:r>
      <w:r w:rsidR="00913275">
        <w:t xml:space="preserve">d in time, </w:t>
      </w:r>
      <w:r w:rsidR="000606DB">
        <w:rPr>
          <w:rFonts w:hint="eastAsia"/>
        </w:rPr>
        <w:t>sen</w:t>
      </w:r>
      <w:r w:rsidR="000606DB">
        <w:t>ior ex</w:t>
      </w:r>
      <w:r w:rsidR="00200E75">
        <w:t>e</w:t>
      </w:r>
      <w:r w:rsidR="000606DB">
        <w:t>cuti</w:t>
      </w:r>
      <w:r w:rsidR="00200E75">
        <w:t>v</w:t>
      </w:r>
      <w:r w:rsidR="000606DB">
        <w:t>es didn’t provide effective safety culture leadership</w:t>
      </w:r>
      <w:r w:rsidR="004E1064">
        <w:t xml:space="preserve">, these human errors directly led to the incident. </w:t>
      </w:r>
    </w:p>
    <w:p w14:paraId="04736266" w14:textId="24CCA226" w:rsidR="00F0295F" w:rsidRDefault="00683D90" w:rsidP="00F0295F">
      <w:pPr>
        <w:spacing w:line="480" w:lineRule="auto"/>
        <w:rPr>
          <w:b/>
          <w:bCs/>
        </w:rPr>
      </w:pPr>
      <w:r>
        <w:rPr>
          <w:b/>
          <w:bCs/>
        </w:rPr>
        <w:t>Ethical Analysis</w:t>
      </w:r>
    </w:p>
    <w:p w14:paraId="0DC07E1C" w14:textId="3630CF6C" w:rsidR="00157CC8" w:rsidRDefault="0008505C" w:rsidP="0032646D">
      <w:pPr>
        <w:spacing w:line="480" w:lineRule="auto"/>
        <w:ind w:firstLine="720"/>
      </w:pPr>
      <w:r>
        <w:t xml:space="preserve">To analysis the </w:t>
      </w:r>
      <w:r w:rsidR="00A80804">
        <w:t>ethical issues</w:t>
      </w:r>
      <w:r w:rsidR="005A642D">
        <w:t xml:space="preserve"> </w:t>
      </w:r>
      <w:r w:rsidR="00025333">
        <w:t>for the disaster</w:t>
      </w:r>
      <w:r w:rsidR="00A80804">
        <w:t>, applying an ethical framework</w:t>
      </w:r>
      <w:r w:rsidR="00347300">
        <w:t xml:space="preserve"> is </w:t>
      </w:r>
      <w:r w:rsidR="00025333">
        <w:t>a systematic and helpful approach</w:t>
      </w:r>
      <w:r w:rsidR="00A80804">
        <w:t xml:space="preserve">. </w:t>
      </w:r>
      <w:r w:rsidR="007A4BAA">
        <w:t>One s</w:t>
      </w:r>
      <w:r w:rsidR="00A80804">
        <w:t xml:space="preserve">uch </w:t>
      </w:r>
      <w:r w:rsidR="000A6B3E">
        <w:t xml:space="preserve">framework </w:t>
      </w:r>
      <w:r w:rsidR="004D597F">
        <w:t>is</w:t>
      </w:r>
      <w:r w:rsidR="000A6B3E">
        <w:t xml:space="preserve"> </w:t>
      </w:r>
      <w:r w:rsidR="004D597F">
        <w:t>deontology</w:t>
      </w:r>
      <w:r w:rsidR="004338C3">
        <w:t xml:space="preserve">, a </w:t>
      </w:r>
      <w:r w:rsidR="004F68BA">
        <w:t>term</w:t>
      </w:r>
      <w:r w:rsidR="004338C3">
        <w:t xml:space="preserve"> comes from the Greek work </w:t>
      </w:r>
      <w:proofErr w:type="spellStart"/>
      <w:r w:rsidR="004338C3" w:rsidRPr="004338C3">
        <w:rPr>
          <w:i/>
          <w:iCs/>
        </w:rPr>
        <w:t>deon</w:t>
      </w:r>
      <w:proofErr w:type="spellEnd"/>
      <w:r w:rsidR="004338C3">
        <w:t>, meaning duty</w:t>
      </w:r>
      <w:r w:rsidR="0036068A">
        <w:t xml:space="preserve"> (Ali, 2013)</w:t>
      </w:r>
      <w:r w:rsidR="004338C3">
        <w:t xml:space="preserve">, </w:t>
      </w:r>
      <w:r w:rsidR="004F68BA">
        <w:t xml:space="preserve">thus </w:t>
      </w:r>
      <w:r w:rsidR="004338C3">
        <w:t>it is also known as duty ethic. The best-known system of d</w:t>
      </w:r>
      <w:r w:rsidR="00F0295F">
        <w:t>uty e</w:t>
      </w:r>
      <w:r w:rsidR="00A13EFA">
        <w:t>thic</w:t>
      </w:r>
      <w:r w:rsidR="00AE37FE">
        <w:t xml:space="preserve"> </w:t>
      </w:r>
      <w:r w:rsidR="000A40F0">
        <w:t>has been developed by Immanuel Kan</w:t>
      </w:r>
      <w:r w:rsidR="00D9326D">
        <w:rPr>
          <w:rFonts w:hint="eastAsia"/>
        </w:rPr>
        <w:t>t</w:t>
      </w:r>
      <w:r w:rsidR="00AE3ACC">
        <w:t xml:space="preserve">. </w:t>
      </w:r>
      <w:r w:rsidR="00AF1C9B">
        <w:t>In Kantian ethics</w:t>
      </w:r>
      <w:r w:rsidR="00AF1C9B" w:rsidRPr="009F0090">
        <w:t xml:space="preserve">, the only thing unqualifiedly good is </w:t>
      </w:r>
      <w:r w:rsidR="00AF1C9B">
        <w:rPr>
          <w:rFonts w:hint="eastAsia"/>
        </w:rPr>
        <w:t>the</w:t>
      </w:r>
      <w:r w:rsidR="00AF1C9B" w:rsidRPr="009F0090">
        <w:t xml:space="preserve"> good wi</w:t>
      </w:r>
      <w:r w:rsidR="00AF1C9B">
        <w:t>ll, which requires people’s actions are led by the categorical imperative</w:t>
      </w:r>
      <w:r w:rsidR="00AF1C9B" w:rsidRPr="009F0090">
        <w:t xml:space="preserve"> (Kant 1785). </w:t>
      </w:r>
      <w:r w:rsidR="00AE3ACC">
        <w:t>According to Kant, d</w:t>
      </w:r>
      <w:r w:rsidR="00D9326D">
        <w:t>uty ethics</w:t>
      </w:r>
      <w:r w:rsidR="00AF1C9B">
        <w:t xml:space="preserve"> concerns if the human actions followed the absolute moral code (doing the good thing), even if that products less good than doing the wrong thing.</w:t>
      </w:r>
      <w:r w:rsidR="00D9326D">
        <w:t xml:space="preserve"> </w:t>
      </w:r>
    </w:p>
    <w:p w14:paraId="4B5585E4" w14:textId="2AFE5F1C" w:rsidR="00E229C0" w:rsidRDefault="00F52A42" w:rsidP="00E229C0">
      <w:pPr>
        <w:spacing w:line="480" w:lineRule="auto"/>
        <w:ind w:firstLine="720"/>
      </w:pPr>
      <w:r>
        <w:t xml:space="preserve">Deontology ethics consists of two main principles, which are helpful to analyze the 2005 tragedy. </w:t>
      </w:r>
      <w:r w:rsidR="00CA481D">
        <w:t xml:space="preserve">One of the principles in duty ethics is that no one should be regarded </w:t>
      </w:r>
      <w:r w:rsidR="00E43B58">
        <w:t xml:space="preserve">as a means to another’s end, everyone can only be a unique end in itself. </w:t>
      </w:r>
    </w:p>
    <w:p w14:paraId="3014E7AF" w14:textId="33403ECF" w:rsidR="00B94947" w:rsidRDefault="00B94947" w:rsidP="00054127">
      <w:pPr>
        <w:spacing w:line="480" w:lineRule="auto"/>
        <w:ind w:firstLine="720"/>
      </w:pPr>
      <w:r>
        <w:t xml:space="preserve">As </w:t>
      </w:r>
      <w:r w:rsidR="00E1138B">
        <w:t>one of the world’s leading</w:t>
      </w:r>
      <w:r>
        <w:t xml:space="preserve"> international </w:t>
      </w:r>
      <w:r w:rsidR="00E1138B">
        <w:t xml:space="preserve">oil </w:t>
      </w:r>
      <w:r>
        <w:t xml:space="preserve">company, BP </w:t>
      </w:r>
      <w:r w:rsidR="004226BD">
        <w:t>was</w:t>
      </w:r>
      <w:r>
        <w:t xml:space="preserve"> </w:t>
      </w:r>
      <w:r w:rsidR="00E1138B">
        <w:t>supported</w:t>
      </w:r>
      <w:r>
        <w:t xml:space="preserve"> to </w:t>
      </w:r>
      <w:r w:rsidR="00E1138B">
        <w:t xml:space="preserve">provide a safety </w:t>
      </w:r>
      <w:r w:rsidR="00E229C0">
        <w:t>environment for its employees</w:t>
      </w:r>
      <w:r>
        <w:t xml:space="preserve">. However, </w:t>
      </w:r>
      <w:r w:rsidR="00AA7829">
        <w:t xml:space="preserve">BP chose to ignore the repeatedly warning about the </w:t>
      </w:r>
      <w:r w:rsidR="001D252E">
        <w:t xml:space="preserve">potential hazards, fail to </w:t>
      </w:r>
      <w:r w:rsidR="00E229C0">
        <w:t xml:space="preserve">enhance its </w:t>
      </w:r>
      <w:r w:rsidR="00FC7908">
        <w:t>risk management,</w:t>
      </w:r>
      <w:r w:rsidR="00AA7829">
        <w:t xml:space="preserve"> and put profit in higher priority than safety. </w:t>
      </w:r>
      <w:r w:rsidR="00054127">
        <w:t>A</w:t>
      </w:r>
      <w:r w:rsidR="00054127">
        <w:rPr>
          <w:rFonts w:hint="eastAsia"/>
        </w:rPr>
        <w:t>l</w:t>
      </w:r>
      <w:r w:rsidR="00054127">
        <w:t>though some warning signs of possible disasters have been present for several years and local engineers have asked for safety upgrades, the BP b</w:t>
      </w:r>
      <w:r w:rsidR="00054127">
        <w:rPr>
          <w:rFonts w:hint="eastAsia"/>
        </w:rPr>
        <w:t>oar</w:t>
      </w:r>
      <w:r w:rsidR="00054127">
        <w:t xml:space="preserve">d of directors didn’t pay attention. </w:t>
      </w:r>
    </w:p>
    <w:p w14:paraId="1E101BA5" w14:textId="5ED511AD" w:rsidR="00683D90" w:rsidRPr="0032646D" w:rsidRDefault="00683D90" w:rsidP="00FD1A4D">
      <w:pPr>
        <w:spacing w:line="480" w:lineRule="auto"/>
      </w:pPr>
      <w:bookmarkStart w:id="15" w:name="OLE_LINK18"/>
      <w:bookmarkStart w:id="16" w:name="OLE_LINK19"/>
      <w:r>
        <w:rPr>
          <w:b/>
          <w:bCs/>
        </w:rPr>
        <w:t>Recommendations</w:t>
      </w:r>
    </w:p>
    <w:bookmarkEnd w:id="15"/>
    <w:bookmarkEnd w:id="16"/>
    <w:p w14:paraId="66CC11DE" w14:textId="1C7E40B3" w:rsidR="004C3417" w:rsidRDefault="00F14846" w:rsidP="004F599D">
      <w:pPr>
        <w:spacing w:line="480" w:lineRule="auto"/>
      </w:pPr>
      <w:r>
        <w:tab/>
        <w:t xml:space="preserve">To prevent such </w:t>
      </w:r>
      <w:r w:rsidR="00661ABF">
        <w:t>incid</w:t>
      </w:r>
      <w:r>
        <w:t xml:space="preserve">ents in the future, </w:t>
      </w:r>
      <w:r w:rsidR="00790ECF">
        <w:rPr>
          <w:rFonts w:hint="eastAsia"/>
        </w:rPr>
        <w:t>a</w:t>
      </w:r>
      <w:r w:rsidR="000C20C3">
        <w:rPr>
          <w:rFonts w:hint="eastAsia"/>
        </w:rPr>
        <w:t>n</w:t>
      </w:r>
      <w:r w:rsidR="000C20C3">
        <w:t xml:space="preserve"> independent panel of experts to examine BP’S corporate safety management systems</w:t>
      </w:r>
      <w:r w:rsidR="007621B8">
        <w:t xml:space="preserve"> </w:t>
      </w:r>
      <w:r w:rsidR="007621B8">
        <w:rPr>
          <w:rFonts w:hint="eastAsia"/>
        </w:rPr>
        <w:t>and</w:t>
      </w:r>
      <w:r w:rsidR="000C20C3">
        <w:t xml:space="preserve"> safety culture</w:t>
      </w:r>
      <w:r w:rsidR="007621B8">
        <w:t xml:space="preserve"> </w:t>
      </w:r>
      <w:r w:rsidR="007621B8">
        <w:rPr>
          <w:rFonts w:hint="eastAsia"/>
        </w:rPr>
        <w:t>should</w:t>
      </w:r>
      <w:r w:rsidR="007621B8">
        <w:t xml:space="preserve"> </w:t>
      </w:r>
      <w:r w:rsidR="007621B8">
        <w:rPr>
          <w:rFonts w:hint="eastAsia"/>
        </w:rPr>
        <w:t>be</w:t>
      </w:r>
      <w:r w:rsidR="007621B8">
        <w:t xml:space="preserve"> </w:t>
      </w:r>
      <w:r w:rsidR="007621B8">
        <w:rPr>
          <w:rFonts w:hint="eastAsia"/>
        </w:rPr>
        <w:t>set</w:t>
      </w:r>
      <w:r w:rsidR="007621B8">
        <w:t>.</w:t>
      </w:r>
      <w:r w:rsidR="000341B2">
        <w:t xml:space="preserve"> The </w:t>
      </w:r>
      <w:r w:rsidR="00635BA5" w:rsidRPr="00635BA5">
        <w:t>safety</w:t>
      </w:r>
      <w:r w:rsidR="000341B2">
        <w:t xml:space="preserve"> of the workplace needs to be improved</w:t>
      </w:r>
      <w:r w:rsidR="00635BA5" w:rsidRPr="00635BA5">
        <w:t>, including setting up a common management system with precise safety rules and training for all facilities.</w:t>
      </w:r>
    </w:p>
    <w:p w14:paraId="773F8FB2" w14:textId="46A5C3B2" w:rsidR="0041754A" w:rsidRDefault="00224584" w:rsidP="004F599D">
      <w:pPr>
        <w:spacing w:line="480" w:lineRule="auto"/>
      </w:pPr>
      <w:r>
        <w:tab/>
      </w:r>
      <w:r w:rsidR="00A728CA">
        <w:t>One non-technical solution is to e</w:t>
      </w:r>
      <w:r>
        <w:t xml:space="preserve">nhance the risk management. Effective risk management can </w:t>
      </w:r>
      <w:r w:rsidR="00747922">
        <w:t>provide</w:t>
      </w:r>
      <w:r>
        <w:t xml:space="preserve"> enterprises </w:t>
      </w:r>
      <w:r w:rsidR="00747922">
        <w:t xml:space="preserve">a better </w:t>
      </w:r>
      <w:r>
        <w:t>understand</w:t>
      </w:r>
      <w:r w:rsidR="00747922">
        <w:t xml:space="preserve">ing </w:t>
      </w:r>
      <w:r w:rsidR="004B0BCB">
        <w:t>of</w:t>
      </w:r>
      <w:r>
        <w:t xml:space="preserve"> the risks they </w:t>
      </w:r>
      <w:r w:rsidR="009B1BA2">
        <w:t xml:space="preserve">will </w:t>
      </w:r>
      <w:r>
        <w:t>face</w:t>
      </w:r>
      <w:r w:rsidR="00E47FB5">
        <w:t xml:space="preserve">, </w:t>
      </w:r>
      <w:r>
        <w:t xml:space="preserve">the nature and </w:t>
      </w:r>
      <w:r w:rsidR="00281212">
        <w:t>severity,</w:t>
      </w:r>
      <w:r w:rsidR="00E47FB5">
        <w:t xml:space="preserve"> thereby</w:t>
      </w:r>
      <w:r w:rsidR="00281212">
        <w:t xml:space="preserve"> </w:t>
      </w:r>
      <w:r w:rsidR="00E92585">
        <w:t xml:space="preserve">take </w:t>
      </w:r>
      <w:r w:rsidR="00F47066">
        <w:t xml:space="preserve">proper </w:t>
      </w:r>
      <w:r w:rsidR="00E92585">
        <w:t xml:space="preserve">measurements </w:t>
      </w:r>
      <w:r w:rsidR="00E47FB5">
        <w:t xml:space="preserve">in time </w:t>
      </w:r>
      <w:r w:rsidR="00E92585">
        <w:t>to avoid</w:t>
      </w:r>
      <w:r w:rsidR="00E47FB5">
        <w:t xml:space="preserve"> or</w:t>
      </w:r>
      <w:r w:rsidR="00E92585">
        <w:t xml:space="preserve"> reduce risk losses</w:t>
      </w:r>
      <w:r w:rsidR="005E7B74">
        <w:t xml:space="preserve">, </w:t>
      </w:r>
      <w:r w:rsidR="00102622">
        <w:t>then</w:t>
      </w:r>
      <w:r w:rsidR="0037123E">
        <w:t xml:space="preserve"> </w:t>
      </w:r>
      <w:r w:rsidR="00476B4E">
        <w:t>quickly ret</w:t>
      </w:r>
      <w:r w:rsidR="00B621E6">
        <w:t>u</w:t>
      </w:r>
      <w:r w:rsidR="00476B4E">
        <w:t xml:space="preserve">rn to normal production and operation activities. </w:t>
      </w:r>
      <w:r w:rsidR="00776F5C">
        <w:t xml:space="preserve">There are </w:t>
      </w:r>
      <w:r w:rsidR="002D15D6">
        <w:t>some additional benefits</w:t>
      </w:r>
      <w:r w:rsidR="0041754A">
        <w:t>:</w:t>
      </w:r>
    </w:p>
    <w:p w14:paraId="0D354AE0" w14:textId="32D318AF" w:rsidR="0041754A" w:rsidRDefault="0041754A" w:rsidP="0041754A">
      <w:pPr>
        <w:pStyle w:val="ListParagraph"/>
        <w:numPr>
          <w:ilvl w:val="0"/>
          <w:numId w:val="1"/>
        </w:numPr>
        <w:spacing w:line="480" w:lineRule="auto"/>
      </w:pPr>
      <w:r>
        <w:t>Create</w:t>
      </w:r>
      <w:r w:rsidR="009F0ACD">
        <w:t xml:space="preserve"> a safe and </w:t>
      </w:r>
      <w:r w:rsidR="000F503A">
        <w:t>s</w:t>
      </w:r>
      <w:r w:rsidR="00E119A6">
        <w:t xml:space="preserve">table </w:t>
      </w:r>
      <w:r w:rsidR="003E7284">
        <w:t>workplace</w:t>
      </w:r>
      <w:r w:rsidR="000F503A">
        <w:t xml:space="preserve"> for all workers</w:t>
      </w:r>
      <w:r>
        <w:t>.</w:t>
      </w:r>
      <w:r w:rsidR="00B8544C">
        <w:t xml:space="preserve"> </w:t>
      </w:r>
    </w:p>
    <w:p w14:paraId="44E6925E" w14:textId="350E7570" w:rsidR="0041754A" w:rsidRDefault="0041754A" w:rsidP="0041754A">
      <w:pPr>
        <w:pStyle w:val="ListParagraph"/>
        <w:numPr>
          <w:ilvl w:val="0"/>
          <w:numId w:val="1"/>
        </w:numPr>
        <w:spacing w:line="480" w:lineRule="auto"/>
      </w:pPr>
      <w:r>
        <w:t xml:space="preserve">Increase </w:t>
      </w:r>
      <w:r w:rsidR="001110B7">
        <w:t xml:space="preserve">the stability </w:t>
      </w:r>
      <w:r w:rsidR="00E119A6">
        <w:t>of</w:t>
      </w:r>
      <w:r w:rsidR="008B5E63">
        <w:t xml:space="preserve"> business operations</w:t>
      </w:r>
      <w:r w:rsidR="0086071A">
        <w:t xml:space="preserve"> while also decreasing legal liability</w:t>
      </w:r>
      <w:r>
        <w:t>.</w:t>
      </w:r>
    </w:p>
    <w:p w14:paraId="746FF974" w14:textId="77777777" w:rsidR="00C2290E" w:rsidRDefault="0041754A" w:rsidP="00C2290E">
      <w:pPr>
        <w:pStyle w:val="ListParagraph"/>
        <w:numPr>
          <w:ilvl w:val="0"/>
          <w:numId w:val="1"/>
        </w:numPr>
        <w:spacing w:line="480" w:lineRule="auto"/>
      </w:pPr>
      <w:r>
        <w:t>Provide</w:t>
      </w:r>
      <w:r w:rsidR="00626EA9">
        <w:t xml:space="preserve"> protect</w:t>
      </w:r>
      <w:r w:rsidR="0004627E">
        <w:t>ion for</w:t>
      </w:r>
      <w:r w:rsidR="00626EA9">
        <w:t xml:space="preserve"> all involved people and assert from potential hazards</w:t>
      </w:r>
      <w:r w:rsidR="0018615C">
        <w:t xml:space="preserve"> (Rouse, 2016)</w:t>
      </w:r>
      <w:r>
        <w:t>.</w:t>
      </w:r>
    </w:p>
    <w:p w14:paraId="4916DC40" w14:textId="62BFD58A" w:rsidR="0041754A" w:rsidRDefault="0041754A" w:rsidP="00C2290E">
      <w:pPr>
        <w:pStyle w:val="ListParagraph"/>
        <w:numPr>
          <w:ilvl w:val="0"/>
          <w:numId w:val="1"/>
        </w:numPr>
        <w:spacing w:line="480" w:lineRule="auto"/>
      </w:pPr>
      <w:r>
        <w:t>Cr</w:t>
      </w:r>
      <w:r w:rsidR="000F2247">
        <w:t xml:space="preserve">eate conditions for company to better fulfill </w:t>
      </w:r>
      <w:r w:rsidR="00C33EF3">
        <w:t xml:space="preserve">the </w:t>
      </w:r>
      <w:r w:rsidR="000F2247">
        <w:t>social responsibilit</w:t>
      </w:r>
      <w:r w:rsidR="0013712F">
        <w:t>i</w:t>
      </w:r>
      <w:r w:rsidR="000F2247">
        <w:t>es</w:t>
      </w:r>
      <w:r>
        <w:t>.</w:t>
      </w:r>
    </w:p>
    <w:p w14:paraId="229C006B" w14:textId="562B9E02" w:rsidR="00224584" w:rsidRDefault="0041754A" w:rsidP="00E71D7A">
      <w:pPr>
        <w:pStyle w:val="ListParagraph"/>
        <w:numPr>
          <w:ilvl w:val="0"/>
          <w:numId w:val="1"/>
        </w:numPr>
        <w:spacing w:line="480" w:lineRule="auto"/>
      </w:pPr>
      <w:r>
        <w:t>E</w:t>
      </w:r>
      <w:r w:rsidR="000F2247">
        <w:t>stablish a good s</w:t>
      </w:r>
      <w:r w:rsidR="0013712F">
        <w:t>ocial image</w:t>
      </w:r>
      <w:r>
        <w:t xml:space="preserve"> for the company.</w:t>
      </w:r>
    </w:p>
    <w:p w14:paraId="6259A18B" w14:textId="7C8F4A95" w:rsidR="000746CF" w:rsidRDefault="000746CF" w:rsidP="000746CF">
      <w:pPr>
        <w:spacing w:line="480" w:lineRule="auto"/>
      </w:pPr>
      <w:r>
        <w:t>And to approach the effective risk management, the company is supported to learn a couple of strategies</w:t>
      </w:r>
      <w:r w:rsidR="0042088A">
        <w:t xml:space="preserve"> such as risk identification and analysis, risk assessment and evaluation, risk monitoring (Rouse, 2016).</w:t>
      </w:r>
    </w:p>
    <w:p w14:paraId="0CE0E908" w14:textId="726BF9A6" w:rsidR="007621B8" w:rsidRDefault="00683D90" w:rsidP="004F599D">
      <w:pPr>
        <w:spacing w:line="480" w:lineRule="auto"/>
        <w:rPr>
          <w:b/>
          <w:bCs/>
        </w:rPr>
      </w:pPr>
      <w:r>
        <w:rPr>
          <w:b/>
          <w:bCs/>
        </w:rPr>
        <w:t>Conclusion</w:t>
      </w:r>
    </w:p>
    <w:p w14:paraId="2A03D9AC" w14:textId="3DA71F8D" w:rsidR="005107A6" w:rsidRDefault="00374448" w:rsidP="004C5A3F">
      <w:pPr>
        <w:spacing w:line="480" w:lineRule="auto"/>
        <w:ind w:firstLine="720"/>
        <w:rPr>
          <w:rFonts w:hint="eastAsia"/>
        </w:rPr>
      </w:pPr>
      <w:r>
        <w:t xml:space="preserve">The study of the BP Texas City Refinery Disasters has shown </w:t>
      </w:r>
      <w:r w:rsidR="001F5D62">
        <w:t>that</w:t>
      </w:r>
      <w:r w:rsidR="00512D25">
        <w:t xml:space="preserve"> sufficient researches and</w:t>
      </w:r>
      <w:r w:rsidR="001F5D62">
        <w:t xml:space="preserve"> </w:t>
      </w:r>
      <w:r w:rsidR="00C0259A">
        <w:t>preventive</w:t>
      </w:r>
      <w:r w:rsidR="00E2192B">
        <w:t xml:space="preserve"> </w:t>
      </w:r>
      <w:r w:rsidR="00E2192B">
        <w:rPr>
          <w:rFonts w:hint="eastAsia"/>
        </w:rPr>
        <w:t>measures</w:t>
      </w:r>
      <w:r w:rsidR="00E2192B">
        <w:t xml:space="preserve"> are </w:t>
      </w:r>
      <w:r w:rsidR="00E27889">
        <w:t xml:space="preserve">important </w:t>
      </w:r>
      <w:r w:rsidR="00512D25">
        <w:t>for</w:t>
      </w:r>
      <w:r w:rsidR="00344076">
        <w:t xml:space="preserve"> chemical manufacturing</w:t>
      </w:r>
      <w:r w:rsidR="00E27889">
        <w:t xml:space="preserve">. </w:t>
      </w:r>
      <w:r w:rsidR="00405041">
        <w:t xml:space="preserve">In this </w:t>
      </w:r>
      <w:r w:rsidR="00531EC9">
        <w:t>incident, t</w:t>
      </w:r>
      <w:r w:rsidR="00405041">
        <w:t xml:space="preserve">here were many failures that could have been prevented through proper engineering. </w:t>
      </w:r>
      <w:r w:rsidR="0044117B">
        <w:t>Without an effective risk management,</w:t>
      </w:r>
      <w:r w:rsidR="00B30272">
        <w:t xml:space="preserve"> a massive damage </w:t>
      </w:r>
      <w:r w:rsidR="008256CE">
        <w:t xml:space="preserve">to the plant </w:t>
      </w:r>
      <w:r w:rsidR="00B30272">
        <w:t xml:space="preserve">may happen </w:t>
      </w:r>
      <w:r w:rsidR="008256CE">
        <w:t xml:space="preserve">due to a </w:t>
      </w:r>
      <w:r w:rsidR="002816CA">
        <w:rPr>
          <w:rFonts w:hint="eastAsia"/>
        </w:rPr>
        <w:t>seemingly</w:t>
      </w:r>
      <w:r w:rsidR="002816CA">
        <w:t xml:space="preserve"> insignificant </w:t>
      </w:r>
      <w:r w:rsidR="008256CE">
        <w:t>mistake</w:t>
      </w:r>
      <w:r w:rsidR="001A7964">
        <w:t xml:space="preserve"> </w:t>
      </w:r>
      <w:r w:rsidR="0093747B">
        <w:t xml:space="preserve">and </w:t>
      </w:r>
      <w:r w:rsidR="001A7964">
        <w:t xml:space="preserve">the </w:t>
      </w:r>
      <w:r w:rsidR="0093747B">
        <w:t xml:space="preserve">accompanied consequences </w:t>
      </w:r>
      <w:r w:rsidR="0075594E">
        <w:t xml:space="preserve">may </w:t>
      </w:r>
      <w:r w:rsidR="00590EE6">
        <w:rPr>
          <w:rFonts w:hint="eastAsia"/>
        </w:rPr>
        <w:t>expose</w:t>
      </w:r>
      <w:r w:rsidR="00590EE6">
        <w:t xml:space="preserve"> workers in a dangerous situation.</w:t>
      </w:r>
      <w:r>
        <w:t xml:space="preserve"> </w:t>
      </w:r>
      <w:r w:rsidR="005107A6">
        <w:t xml:space="preserve">Setting an effective risk management and the commitment to safety are business imperative for all fields of companies. </w:t>
      </w:r>
      <w:r w:rsidR="005228F9">
        <w:t xml:space="preserve">The companies have the responsibilities to protect its employees no matter how much it cost. </w:t>
      </w:r>
      <w:r w:rsidR="005107A6">
        <w:t>A strong safety culture and high corporate standards can be extremely beneficial for organizations, it does not only mean a safety and security operation</w:t>
      </w:r>
      <w:r w:rsidR="005228F9">
        <w:t xml:space="preserve"> environment, but also </w:t>
      </w:r>
      <w:r w:rsidR="005228F9" w:rsidRPr="00833CBB">
        <w:t>operate more professionally and more profitably</w:t>
      </w:r>
      <w:r w:rsidR="005228F9">
        <w:t>.</w:t>
      </w:r>
      <w:r w:rsidR="00384880">
        <w:t xml:space="preserve"> It matters all company because </w:t>
      </w:r>
    </w:p>
    <w:p w14:paraId="1AA0BCDD" w14:textId="77777777" w:rsidR="00DB239D" w:rsidRPr="001F3208" w:rsidRDefault="00DB239D" w:rsidP="00E27889">
      <w:pPr>
        <w:spacing w:line="480" w:lineRule="auto"/>
        <w:ind w:firstLine="720"/>
      </w:pPr>
    </w:p>
    <w:p w14:paraId="33553E5B" w14:textId="77777777" w:rsidR="00517917" w:rsidRDefault="00517917" w:rsidP="004F599D">
      <w:pPr>
        <w:spacing w:line="480" w:lineRule="auto"/>
        <w:rPr>
          <w:b/>
          <w:bCs/>
        </w:rPr>
      </w:pPr>
    </w:p>
    <w:p w14:paraId="2D027C89" w14:textId="77777777" w:rsidR="007621B8" w:rsidRDefault="007621B8">
      <w:pPr>
        <w:rPr>
          <w:b/>
          <w:bCs/>
        </w:rPr>
      </w:pPr>
      <w:r>
        <w:rPr>
          <w:b/>
          <w:bCs/>
        </w:rPr>
        <w:br w:type="page"/>
      </w:r>
    </w:p>
    <w:p w14:paraId="47B4747B" w14:textId="7AC7C55B" w:rsidR="00683D90" w:rsidRDefault="007621B8" w:rsidP="007621B8">
      <w:pPr>
        <w:spacing w:line="480" w:lineRule="auto"/>
        <w:jc w:val="center"/>
        <w:rPr>
          <w:b/>
          <w:bCs/>
        </w:rPr>
      </w:pPr>
      <w:r>
        <w:rPr>
          <w:b/>
          <w:bCs/>
        </w:rPr>
        <w:t>W</w:t>
      </w:r>
      <w:r>
        <w:rPr>
          <w:rFonts w:hint="eastAsia"/>
          <w:b/>
          <w:bCs/>
        </w:rPr>
        <w:t>orks</w:t>
      </w:r>
      <w:r>
        <w:rPr>
          <w:b/>
          <w:bCs/>
        </w:rPr>
        <w:t xml:space="preserve"> Cited</w:t>
      </w:r>
    </w:p>
    <w:p w14:paraId="6309CEB3" w14:textId="6569002E" w:rsidR="00305EF4" w:rsidRDefault="00305EF4" w:rsidP="00305EF4">
      <w:pPr>
        <w:spacing w:line="480" w:lineRule="auto"/>
      </w:pPr>
      <w:r>
        <w:t>S</w:t>
      </w:r>
      <w:r>
        <w:rPr>
          <w:rFonts w:hint="eastAsia"/>
        </w:rPr>
        <w:t>t</w:t>
      </w:r>
      <w:r>
        <w:t>annous.</w:t>
      </w:r>
      <w:r w:rsidR="009E6855">
        <w:t xml:space="preserve"> </w:t>
      </w:r>
      <w:r>
        <w:t>“</w:t>
      </w:r>
      <w:r w:rsidRPr="00305EF4">
        <w:t>BP Texas City Explosion</w:t>
      </w:r>
      <w:r>
        <w:t>.”</w:t>
      </w:r>
      <w:r w:rsidR="009E6855">
        <w:t xml:space="preserve"> </w:t>
      </w:r>
      <w:proofErr w:type="spellStart"/>
      <w:r w:rsidRPr="00305EF4">
        <w:rPr>
          <w:i/>
          <w:iCs/>
        </w:rPr>
        <w:t>Youtube</w:t>
      </w:r>
      <w:proofErr w:type="spellEnd"/>
      <w:r>
        <w:t xml:space="preserve">, narrated by Don Holmstrom, </w:t>
      </w:r>
      <w:r w:rsidR="009E6855">
        <w:t>11 January, 2008.</w:t>
      </w:r>
      <w:r w:rsidR="009E6855">
        <w:tab/>
      </w:r>
      <w:r w:rsidR="009E6855">
        <w:tab/>
        <w:t xml:space="preserve"> </w:t>
      </w:r>
      <w:r w:rsidRPr="00305EF4">
        <w:t>https://www.youtube.com/watch?v=VCcN4SQkb9A</w:t>
      </w:r>
    </w:p>
    <w:p w14:paraId="32B4F438" w14:textId="024706B3" w:rsidR="00305EF4" w:rsidRDefault="009E6855" w:rsidP="007621B8">
      <w:pPr>
        <w:spacing w:line="480" w:lineRule="auto"/>
      </w:pPr>
      <w:r w:rsidRPr="009E6855">
        <w:t xml:space="preserve">Mouawad, J. (2010, May 9). For BP, a History of Spills and Safety Lapses. Retrieved from </w:t>
      </w:r>
      <w:r>
        <w:tab/>
      </w:r>
      <w:r w:rsidR="005252A0" w:rsidRPr="00D734D8">
        <w:t>https://www.nytimes.com/2010/05/09/business/09bp.html</w:t>
      </w:r>
      <w:r w:rsidRPr="009E6855">
        <w:t>.</w:t>
      </w:r>
    </w:p>
    <w:p w14:paraId="1FAE5864" w14:textId="09216F96" w:rsidR="005252A0" w:rsidRDefault="005252A0" w:rsidP="007621B8">
      <w:pPr>
        <w:spacing w:line="480" w:lineRule="auto"/>
      </w:pPr>
      <w:r w:rsidRPr="005252A0">
        <w:t xml:space="preserve">BP America Refinery Explosion. (2007, March 20). Retrieved from </w:t>
      </w:r>
      <w:r w:rsidRPr="00D734D8">
        <w:t>https://www.csb.gov/bp-</w:t>
      </w:r>
      <w:r>
        <w:tab/>
      </w:r>
      <w:proofErr w:type="spellStart"/>
      <w:r w:rsidRPr="005252A0">
        <w:t>america</w:t>
      </w:r>
      <w:proofErr w:type="spellEnd"/>
      <w:r w:rsidRPr="005252A0">
        <w:t>-refinery-explosion/.</w:t>
      </w:r>
    </w:p>
    <w:p w14:paraId="33BF2792" w14:textId="3635FD63" w:rsidR="00305EF4" w:rsidRDefault="008B2CB5" w:rsidP="007621B8">
      <w:pPr>
        <w:spacing w:line="480" w:lineRule="auto"/>
      </w:pPr>
      <w:r w:rsidRPr="008B2CB5">
        <w:t xml:space="preserve">Price, T. (2005, September 14). What Went Wrong: Oil Refinery Disaster. Retrieved from </w:t>
      </w:r>
      <w:r>
        <w:tab/>
      </w:r>
      <w:r w:rsidR="00986211" w:rsidRPr="00ED612A">
        <w:t>https://www.popularmechanics.com/technology/gadgets/a295/1758242/</w:t>
      </w:r>
      <w:r w:rsidRPr="008B2CB5">
        <w:t>.</w:t>
      </w:r>
    </w:p>
    <w:p w14:paraId="7361078A" w14:textId="37605C7C" w:rsidR="00986211" w:rsidRDefault="00986211" w:rsidP="007621B8">
      <w:pPr>
        <w:spacing w:line="480" w:lineRule="auto"/>
      </w:pPr>
      <w:r w:rsidRPr="00986211">
        <w:t xml:space="preserve">Department of Labor logo UNITED STATESDEPARTMENT OF LABOR. (n.d.). Retrieved </w:t>
      </w:r>
      <w:r>
        <w:tab/>
      </w:r>
      <w:r w:rsidRPr="00986211">
        <w:t xml:space="preserve">from </w:t>
      </w:r>
      <w:r w:rsidR="00BE7427" w:rsidRPr="00BE7427">
        <w:t>https://www.osha.gov/laws-regs/regulations/standardnumber/1910/1910.119</w:t>
      </w:r>
      <w:r w:rsidRPr="00986211">
        <w:t>.</w:t>
      </w:r>
    </w:p>
    <w:p w14:paraId="54AF34B3" w14:textId="641834B7" w:rsidR="00BE7427" w:rsidRDefault="00BE7427" w:rsidP="007621B8">
      <w:pPr>
        <w:spacing w:line="480" w:lineRule="auto"/>
      </w:pPr>
      <w:r w:rsidRPr="00BE7427">
        <w:t xml:space="preserve">Kant, Immanuel (1785/2002). Groundwork for the Metaphysics of Morals. Oxford University </w:t>
      </w:r>
      <w:r>
        <w:tab/>
      </w:r>
      <w:r w:rsidRPr="00BE7427">
        <w:t>Press.</w:t>
      </w:r>
    </w:p>
    <w:p w14:paraId="19017E2C" w14:textId="18C06FCA" w:rsidR="00C11A45" w:rsidRDefault="00DD3FFA" w:rsidP="007621B8">
      <w:pPr>
        <w:spacing w:line="480" w:lineRule="auto"/>
      </w:pPr>
      <w:r w:rsidRPr="00DD3FFA">
        <w:t xml:space="preserve">Alexander, Larry and Moore, Michael, "Deontological Ethics", The Stanford Encyclopedia of </w:t>
      </w:r>
      <w:r>
        <w:tab/>
      </w:r>
      <w:r w:rsidRPr="00DD3FFA">
        <w:t xml:space="preserve">Philosophy (Winter 2016 Edition), Edward N. </w:t>
      </w:r>
      <w:proofErr w:type="spellStart"/>
      <w:r w:rsidRPr="00DD3FFA">
        <w:t>Zalta</w:t>
      </w:r>
      <w:proofErr w:type="spellEnd"/>
      <w:r w:rsidRPr="00DD3FFA">
        <w:t xml:space="preserve"> (ed.), URL = </w:t>
      </w:r>
      <w:r>
        <w:tab/>
      </w:r>
      <w:r w:rsidRPr="00DD3FFA">
        <w:t>&lt;https://plato.stanford.edu/archives/win2016/entries/ethics-deontological/&gt;.</w:t>
      </w:r>
    </w:p>
    <w:p w14:paraId="298D67CF" w14:textId="0E271CCA" w:rsidR="00AA49F9" w:rsidRDefault="00AA49F9" w:rsidP="007621B8">
      <w:pPr>
        <w:spacing w:line="480" w:lineRule="auto"/>
      </w:pPr>
      <w:r w:rsidRPr="00AA49F9">
        <w:t xml:space="preserve">US Department of </w:t>
      </w:r>
      <w:proofErr w:type="spellStart"/>
      <w:r w:rsidRPr="00AA49F9">
        <w:t>Labors</w:t>
      </w:r>
      <w:proofErr w:type="spellEnd"/>
      <w:r w:rsidRPr="00AA49F9">
        <w:t xml:space="preserve"> OSHA issues record-breaking fines to BP. (2009, October 30). </w:t>
      </w:r>
      <w:r>
        <w:tab/>
      </w:r>
      <w:r w:rsidRPr="00AA49F9">
        <w:t xml:space="preserve">Retrieved from </w:t>
      </w:r>
      <w:r w:rsidR="006A0C15" w:rsidRPr="006A0C15">
        <w:t>https://www.osha.gov/news/newsreleases/national/10302009</w:t>
      </w:r>
      <w:r w:rsidRPr="00AA49F9">
        <w:t>.</w:t>
      </w:r>
    </w:p>
    <w:p w14:paraId="2038BF56" w14:textId="20EC604C" w:rsidR="006A0C15" w:rsidRDefault="006A0C15" w:rsidP="007621B8">
      <w:pPr>
        <w:spacing w:line="480" w:lineRule="auto"/>
      </w:pPr>
      <w:r w:rsidRPr="006A0C15">
        <w:t xml:space="preserve">Rouse, M. (2016, August 23). What is Risk Management and Why is it Important? Retrieved </w:t>
      </w:r>
      <w:r>
        <w:tab/>
      </w:r>
      <w:r w:rsidRPr="006A0C15">
        <w:t xml:space="preserve">from </w:t>
      </w:r>
      <w:r w:rsidR="00595461" w:rsidRPr="00595461">
        <w:t>https://searchcompliance.techtarget.com/definition/risk-management</w:t>
      </w:r>
      <w:r w:rsidRPr="006A0C15">
        <w:t>.</w:t>
      </w:r>
    </w:p>
    <w:p w14:paraId="0A7C60E8" w14:textId="74397ED2" w:rsidR="00595461" w:rsidRDefault="00595461" w:rsidP="007621B8">
      <w:pPr>
        <w:spacing w:line="480" w:lineRule="auto"/>
      </w:pPr>
      <w:r w:rsidRPr="00595461">
        <w:t xml:space="preserve">'Nobody gets hurt': A safety journey. (2013, December 20). Retrieved from </w:t>
      </w:r>
      <w:r>
        <w:tab/>
      </w:r>
      <w:r w:rsidR="0036068A" w:rsidRPr="0036068A">
        <w:t>https://www.safetyandhealthmagazine.com/articles/-nobody-gets-hurt-a-safety-journey</w:t>
      </w:r>
      <w:r w:rsidRPr="00595461">
        <w:t>.</w:t>
      </w:r>
      <w:bookmarkEnd w:id="0"/>
      <w:bookmarkEnd w:id="1"/>
    </w:p>
    <w:p w14:paraId="21EA6A7A" w14:textId="4149E8BC" w:rsidR="0036068A" w:rsidRDefault="0036068A" w:rsidP="007621B8">
      <w:pPr>
        <w:spacing w:line="480" w:lineRule="auto"/>
      </w:pPr>
      <w:r w:rsidRPr="0036068A">
        <w:t xml:space="preserve">Shakil, A. (2013, January 29). Kantian Duty Based (Deontological) Ethics. Retrieved from </w:t>
      </w:r>
      <w:r>
        <w:tab/>
      </w:r>
      <w:hyperlink r:id="rId11" w:history="1">
        <w:r w:rsidR="009241EE" w:rsidRPr="00ED3403">
          <w:rPr>
            <w:rStyle w:val="Hyperlink"/>
          </w:rPr>
          <w:t>https://sevenpillarsinstitute.org/kantian-duty-based-deontological-ethics/</w:t>
        </w:r>
      </w:hyperlink>
      <w:r w:rsidRPr="0036068A">
        <w:t>.</w:t>
      </w:r>
    </w:p>
    <w:p w14:paraId="7795A03E" w14:textId="1B854DAF" w:rsidR="009241EE" w:rsidRPr="007621B8" w:rsidRDefault="009241EE" w:rsidP="007621B8">
      <w:pPr>
        <w:spacing w:line="480" w:lineRule="auto"/>
      </w:pPr>
      <w:r w:rsidRPr="009241EE">
        <w:t xml:space="preserve">Peek, M K et al. “Perceived health change in the aftermath of a petrochemical accident: an </w:t>
      </w:r>
      <w:r>
        <w:tab/>
      </w:r>
      <w:r w:rsidRPr="009241EE">
        <w:t xml:space="preserve">examination of pre-accident, within-accident, and post-accident variables.” Journal of </w:t>
      </w:r>
      <w:r>
        <w:tab/>
      </w:r>
      <w:r w:rsidRPr="009241EE">
        <w:t xml:space="preserve">epidemiology and community health vol. 62,2 (2008): 106-12. </w:t>
      </w:r>
      <w:r>
        <w:tab/>
      </w:r>
      <w:r w:rsidRPr="009241EE">
        <w:t>doi:10.1136/jech.2006.049858</w:t>
      </w:r>
    </w:p>
    <w:sectPr w:rsidR="009241EE" w:rsidRPr="007621B8" w:rsidSect="00CF64A6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9EEC2" w14:textId="77777777" w:rsidR="00E37A8B" w:rsidRDefault="00E37A8B" w:rsidP="00683D90">
      <w:r>
        <w:separator/>
      </w:r>
    </w:p>
  </w:endnote>
  <w:endnote w:type="continuationSeparator" w:id="0">
    <w:p w14:paraId="798DDFF7" w14:textId="77777777" w:rsidR="00E37A8B" w:rsidRDefault="00E37A8B" w:rsidP="00683D90">
      <w:r>
        <w:continuationSeparator/>
      </w:r>
    </w:p>
  </w:endnote>
  <w:endnote w:type="continuationNotice" w:id="1">
    <w:p w14:paraId="747F170E" w14:textId="77777777" w:rsidR="00E37A8B" w:rsidRDefault="00E37A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907342824"/>
      <w:docPartObj>
        <w:docPartGallery w:val="Page Numbers (Bottom of Page)"/>
        <w:docPartUnique/>
      </w:docPartObj>
    </w:sdtPr>
    <w:sdtContent>
      <w:p w14:paraId="0982DBB4" w14:textId="53F14C4E" w:rsidR="00683D90" w:rsidRDefault="00683D90" w:rsidP="00E37A8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E976E4" w14:textId="77777777" w:rsidR="00683D90" w:rsidRDefault="00683D90" w:rsidP="00683D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A638" w14:textId="77777777" w:rsidR="00683D90" w:rsidRDefault="00683D90" w:rsidP="00683D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747BD" w14:textId="77777777" w:rsidR="00E37A8B" w:rsidRDefault="00E37A8B" w:rsidP="00683D90">
      <w:r>
        <w:separator/>
      </w:r>
    </w:p>
  </w:footnote>
  <w:footnote w:type="continuationSeparator" w:id="0">
    <w:p w14:paraId="703A74E4" w14:textId="77777777" w:rsidR="00E37A8B" w:rsidRDefault="00E37A8B" w:rsidP="00683D90">
      <w:r>
        <w:continuationSeparator/>
      </w:r>
    </w:p>
  </w:footnote>
  <w:footnote w:type="continuationNotice" w:id="1">
    <w:p w14:paraId="4B91E972" w14:textId="77777777" w:rsidR="00E37A8B" w:rsidRDefault="00E37A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614531246"/>
      <w:docPartObj>
        <w:docPartGallery w:val="Page Numbers (Top of Page)"/>
        <w:docPartUnique/>
      </w:docPartObj>
    </w:sdtPr>
    <w:sdtContent>
      <w:p w14:paraId="2716AB33" w14:textId="7E6E6F44" w:rsidR="00683D90" w:rsidRDefault="00683D90" w:rsidP="00E37A8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D0AA00" w14:textId="77777777" w:rsidR="00683D90" w:rsidRDefault="00683D90" w:rsidP="00683D9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5623D" w14:textId="3A220BD5" w:rsidR="00683D90" w:rsidRDefault="00683D90" w:rsidP="00E37A8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 xml:space="preserve">Yang </w:t>
    </w:r>
    <w:sdt>
      <w:sdtPr>
        <w:rPr>
          <w:rStyle w:val="PageNumber"/>
        </w:rPr>
        <w:id w:val="-2089381218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sdtContent>
    </w:sdt>
  </w:p>
  <w:p w14:paraId="244119BE" w14:textId="77777777" w:rsidR="00683D90" w:rsidRDefault="00683D90" w:rsidP="00683D90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71C1A"/>
    <w:multiLevelType w:val="hybridMultilevel"/>
    <w:tmpl w:val="A8206B3E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29A"/>
    <w:rsid w:val="00002404"/>
    <w:rsid w:val="00004323"/>
    <w:rsid w:val="00006C50"/>
    <w:rsid w:val="00014824"/>
    <w:rsid w:val="000211DA"/>
    <w:rsid w:val="00022B79"/>
    <w:rsid w:val="00025333"/>
    <w:rsid w:val="00025B68"/>
    <w:rsid w:val="00030AEB"/>
    <w:rsid w:val="000341B2"/>
    <w:rsid w:val="000350C5"/>
    <w:rsid w:val="00036ED4"/>
    <w:rsid w:val="000454CF"/>
    <w:rsid w:val="0004627E"/>
    <w:rsid w:val="00054127"/>
    <w:rsid w:val="000606DB"/>
    <w:rsid w:val="00061BFD"/>
    <w:rsid w:val="00061C9A"/>
    <w:rsid w:val="00070C96"/>
    <w:rsid w:val="000731B6"/>
    <w:rsid w:val="000746CF"/>
    <w:rsid w:val="00076EDF"/>
    <w:rsid w:val="00082BE4"/>
    <w:rsid w:val="0008505C"/>
    <w:rsid w:val="000861E0"/>
    <w:rsid w:val="00086CD3"/>
    <w:rsid w:val="00087798"/>
    <w:rsid w:val="00090DA2"/>
    <w:rsid w:val="00093FC9"/>
    <w:rsid w:val="00094F0A"/>
    <w:rsid w:val="000953EF"/>
    <w:rsid w:val="000A40F0"/>
    <w:rsid w:val="000A5136"/>
    <w:rsid w:val="000A6B3E"/>
    <w:rsid w:val="000B201C"/>
    <w:rsid w:val="000B26FB"/>
    <w:rsid w:val="000C20C3"/>
    <w:rsid w:val="000C389C"/>
    <w:rsid w:val="000D0071"/>
    <w:rsid w:val="000D03E6"/>
    <w:rsid w:val="000D0B42"/>
    <w:rsid w:val="000D56D8"/>
    <w:rsid w:val="000E0603"/>
    <w:rsid w:val="000E4BAB"/>
    <w:rsid w:val="000E5CBD"/>
    <w:rsid w:val="000F2247"/>
    <w:rsid w:val="000F3085"/>
    <w:rsid w:val="000F503A"/>
    <w:rsid w:val="000F70F6"/>
    <w:rsid w:val="000F7436"/>
    <w:rsid w:val="00100206"/>
    <w:rsid w:val="00101CA4"/>
    <w:rsid w:val="00102622"/>
    <w:rsid w:val="001110B7"/>
    <w:rsid w:val="00113E42"/>
    <w:rsid w:val="0013712F"/>
    <w:rsid w:val="001434FA"/>
    <w:rsid w:val="00144BB6"/>
    <w:rsid w:val="00145A23"/>
    <w:rsid w:val="00147547"/>
    <w:rsid w:val="00152784"/>
    <w:rsid w:val="00153585"/>
    <w:rsid w:val="0015528A"/>
    <w:rsid w:val="0015601D"/>
    <w:rsid w:val="00157CC8"/>
    <w:rsid w:val="001614B4"/>
    <w:rsid w:val="001625B6"/>
    <w:rsid w:val="00176111"/>
    <w:rsid w:val="00182EE5"/>
    <w:rsid w:val="00184964"/>
    <w:rsid w:val="00185F95"/>
    <w:rsid w:val="0018615C"/>
    <w:rsid w:val="00187CAF"/>
    <w:rsid w:val="00190BF7"/>
    <w:rsid w:val="00196013"/>
    <w:rsid w:val="00197E5E"/>
    <w:rsid w:val="001A024A"/>
    <w:rsid w:val="001A0405"/>
    <w:rsid w:val="001A093A"/>
    <w:rsid w:val="001A0A2E"/>
    <w:rsid w:val="001A410E"/>
    <w:rsid w:val="001A5AA6"/>
    <w:rsid w:val="001A7964"/>
    <w:rsid w:val="001B129A"/>
    <w:rsid w:val="001B2091"/>
    <w:rsid w:val="001D23BE"/>
    <w:rsid w:val="001D252E"/>
    <w:rsid w:val="001E21DA"/>
    <w:rsid w:val="001F16D2"/>
    <w:rsid w:val="001F3208"/>
    <w:rsid w:val="001F364E"/>
    <w:rsid w:val="001F5D62"/>
    <w:rsid w:val="00200E75"/>
    <w:rsid w:val="0020108B"/>
    <w:rsid w:val="002114AE"/>
    <w:rsid w:val="00212AAA"/>
    <w:rsid w:val="00213C97"/>
    <w:rsid w:val="00214637"/>
    <w:rsid w:val="00221B0B"/>
    <w:rsid w:val="00224584"/>
    <w:rsid w:val="002253C4"/>
    <w:rsid w:val="00235DA2"/>
    <w:rsid w:val="00240E8B"/>
    <w:rsid w:val="002414FC"/>
    <w:rsid w:val="00246AFB"/>
    <w:rsid w:val="0025392C"/>
    <w:rsid w:val="00256A6E"/>
    <w:rsid w:val="00256CDC"/>
    <w:rsid w:val="00260D16"/>
    <w:rsid w:val="00261F86"/>
    <w:rsid w:val="002623B1"/>
    <w:rsid w:val="00263DC4"/>
    <w:rsid w:val="00265958"/>
    <w:rsid w:val="00271C9B"/>
    <w:rsid w:val="002803CE"/>
    <w:rsid w:val="00281124"/>
    <w:rsid w:val="00281212"/>
    <w:rsid w:val="00281234"/>
    <w:rsid w:val="002816CA"/>
    <w:rsid w:val="002829F5"/>
    <w:rsid w:val="00283E2E"/>
    <w:rsid w:val="00287F03"/>
    <w:rsid w:val="002909AB"/>
    <w:rsid w:val="0029131E"/>
    <w:rsid w:val="002A0A1A"/>
    <w:rsid w:val="002A38DD"/>
    <w:rsid w:val="002B0035"/>
    <w:rsid w:val="002B59B5"/>
    <w:rsid w:val="002C5FB6"/>
    <w:rsid w:val="002D15D6"/>
    <w:rsid w:val="002D5583"/>
    <w:rsid w:val="002E0E83"/>
    <w:rsid w:val="002F662B"/>
    <w:rsid w:val="00305EF4"/>
    <w:rsid w:val="00311F56"/>
    <w:rsid w:val="00314896"/>
    <w:rsid w:val="0031538F"/>
    <w:rsid w:val="00315DBB"/>
    <w:rsid w:val="0031723C"/>
    <w:rsid w:val="0032272E"/>
    <w:rsid w:val="00323021"/>
    <w:rsid w:val="0032646D"/>
    <w:rsid w:val="0033119B"/>
    <w:rsid w:val="0033691C"/>
    <w:rsid w:val="003370C5"/>
    <w:rsid w:val="00344076"/>
    <w:rsid w:val="003471E0"/>
    <w:rsid w:val="00347300"/>
    <w:rsid w:val="0035620C"/>
    <w:rsid w:val="0035647B"/>
    <w:rsid w:val="0036068A"/>
    <w:rsid w:val="003608DA"/>
    <w:rsid w:val="0036798D"/>
    <w:rsid w:val="0037123E"/>
    <w:rsid w:val="00374448"/>
    <w:rsid w:val="00384880"/>
    <w:rsid w:val="003904CC"/>
    <w:rsid w:val="003A5C5B"/>
    <w:rsid w:val="003A5DD6"/>
    <w:rsid w:val="003B0DB4"/>
    <w:rsid w:val="003B224D"/>
    <w:rsid w:val="003B25AA"/>
    <w:rsid w:val="003C3514"/>
    <w:rsid w:val="003D47C7"/>
    <w:rsid w:val="003D6BD0"/>
    <w:rsid w:val="003E4901"/>
    <w:rsid w:val="003E7284"/>
    <w:rsid w:val="003E79A8"/>
    <w:rsid w:val="00400B92"/>
    <w:rsid w:val="00405041"/>
    <w:rsid w:val="00405074"/>
    <w:rsid w:val="00405472"/>
    <w:rsid w:val="0041754A"/>
    <w:rsid w:val="0042088A"/>
    <w:rsid w:val="00422497"/>
    <w:rsid w:val="004226BD"/>
    <w:rsid w:val="004338C3"/>
    <w:rsid w:val="0044117B"/>
    <w:rsid w:val="00443811"/>
    <w:rsid w:val="004552C1"/>
    <w:rsid w:val="00472335"/>
    <w:rsid w:val="004723C8"/>
    <w:rsid w:val="00476B4E"/>
    <w:rsid w:val="004879DA"/>
    <w:rsid w:val="00487A91"/>
    <w:rsid w:val="00491414"/>
    <w:rsid w:val="004A77A1"/>
    <w:rsid w:val="004A7E94"/>
    <w:rsid w:val="004B0BCB"/>
    <w:rsid w:val="004B3A0C"/>
    <w:rsid w:val="004B4838"/>
    <w:rsid w:val="004C3417"/>
    <w:rsid w:val="004C5A3F"/>
    <w:rsid w:val="004D3D6C"/>
    <w:rsid w:val="004D597F"/>
    <w:rsid w:val="004D67FD"/>
    <w:rsid w:val="004D6F7A"/>
    <w:rsid w:val="004E1064"/>
    <w:rsid w:val="004F0584"/>
    <w:rsid w:val="004F29AC"/>
    <w:rsid w:val="004F599D"/>
    <w:rsid w:val="004F68BA"/>
    <w:rsid w:val="005107A6"/>
    <w:rsid w:val="00512D25"/>
    <w:rsid w:val="00517917"/>
    <w:rsid w:val="005215A9"/>
    <w:rsid w:val="00521B5E"/>
    <w:rsid w:val="005228F9"/>
    <w:rsid w:val="005252A0"/>
    <w:rsid w:val="00531EC9"/>
    <w:rsid w:val="005416B0"/>
    <w:rsid w:val="00545171"/>
    <w:rsid w:val="00545EDB"/>
    <w:rsid w:val="00570601"/>
    <w:rsid w:val="00573FF8"/>
    <w:rsid w:val="00583EE9"/>
    <w:rsid w:val="0058506C"/>
    <w:rsid w:val="0058523E"/>
    <w:rsid w:val="00590EE6"/>
    <w:rsid w:val="00593B34"/>
    <w:rsid w:val="00595461"/>
    <w:rsid w:val="00596C64"/>
    <w:rsid w:val="005A4912"/>
    <w:rsid w:val="005A5429"/>
    <w:rsid w:val="005A642D"/>
    <w:rsid w:val="005B1BC5"/>
    <w:rsid w:val="005B3CBE"/>
    <w:rsid w:val="005B5E3E"/>
    <w:rsid w:val="005C0C09"/>
    <w:rsid w:val="005C537F"/>
    <w:rsid w:val="005C669A"/>
    <w:rsid w:val="005C7991"/>
    <w:rsid w:val="005E2491"/>
    <w:rsid w:val="005E3BD8"/>
    <w:rsid w:val="005E6C4B"/>
    <w:rsid w:val="005E7B74"/>
    <w:rsid w:val="005F19CA"/>
    <w:rsid w:val="005F4427"/>
    <w:rsid w:val="005F7D20"/>
    <w:rsid w:val="006002B0"/>
    <w:rsid w:val="00604781"/>
    <w:rsid w:val="00625557"/>
    <w:rsid w:val="00626EA9"/>
    <w:rsid w:val="00633DC5"/>
    <w:rsid w:val="00635BA5"/>
    <w:rsid w:val="00642C32"/>
    <w:rsid w:val="00652902"/>
    <w:rsid w:val="00652E61"/>
    <w:rsid w:val="00653584"/>
    <w:rsid w:val="006565DF"/>
    <w:rsid w:val="00657AD4"/>
    <w:rsid w:val="006604B6"/>
    <w:rsid w:val="00661ABF"/>
    <w:rsid w:val="00663152"/>
    <w:rsid w:val="00667556"/>
    <w:rsid w:val="00670614"/>
    <w:rsid w:val="0067359E"/>
    <w:rsid w:val="0067656E"/>
    <w:rsid w:val="00683D90"/>
    <w:rsid w:val="006853AA"/>
    <w:rsid w:val="00693645"/>
    <w:rsid w:val="006A0C15"/>
    <w:rsid w:val="006A45D9"/>
    <w:rsid w:val="006B17D0"/>
    <w:rsid w:val="006B539D"/>
    <w:rsid w:val="006C2A5D"/>
    <w:rsid w:val="006D37EA"/>
    <w:rsid w:val="006D5230"/>
    <w:rsid w:val="006D56EF"/>
    <w:rsid w:val="006D695B"/>
    <w:rsid w:val="006E1B35"/>
    <w:rsid w:val="006E7730"/>
    <w:rsid w:val="006F74FE"/>
    <w:rsid w:val="00703757"/>
    <w:rsid w:val="00707056"/>
    <w:rsid w:val="007176FA"/>
    <w:rsid w:val="00717F56"/>
    <w:rsid w:val="00722C89"/>
    <w:rsid w:val="007417F2"/>
    <w:rsid w:val="00747922"/>
    <w:rsid w:val="007500ED"/>
    <w:rsid w:val="007502C3"/>
    <w:rsid w:val="0075594E"/>
    <w:rsid w:val="00761FB6"/>
    <w:rsid w:val="007621B8"/>
    <w:rsid w:val="0076645C"/>
    <w:rsid w:val="00766E80"/>
    <w:rsid w:val="00776F5C"/>
    <w:rsid w:val="007839EF"/>
    <w:rsid w:val="007872FE"/>
    <w:rsid w:val="00790ECF"/>
    <w:rsid w:val="007A4BAA"/>
    <w:rsid w:val="007A713C"/>
    <w:rsid w:val="007C3400"/>
    <w:rsid w:val="007D068B"/>
    <w:rsid w:val="007D2146"/>
    <w:rsid w:val="007D2C72"/>
    <w:rsid w:val="007D3AE2"/>
    <w:rsid w:val="007D53CC"/>
    <w:rsid w:val="007D5891"/>
    <w:rsid w:val="007D6D62"/>
    <w:rsid w:val="007E2D86"/>
    <w:rsid w:val="007E516C"/>
    <w:rsid w:val="007E5560"/>
    <w:rsid w:val="007E671F"/>
    <w:rsid w:val="007E701E"/>
    <w:rsid w:val="007F6584"/>
    <w:rsid w:val="007F790D"/>
    <w:rsid w:val="00801A4B"/>
    <w:rsid w:val="00804243"/>
    <w:rsid w:val="00804FCD"/>
    <w:rsid w:val="00815DF6"/>
    <w:rsid w:val="008256CE"/>
    <w:rsid w:val="00830A4D"/>
    <w:rsid w:val="008314EB"/>
    <w:rsid w:val="00833CBB"/>
    <w:rsid w:val="00833D69"/>
    <w:rsid w:val="008578EF"/>
    <w:rsid w:val="0086071A"/>
    <w:rsid w:val="0086195E"/>
    <w:rsid w:val="008644E6"/>
    <w:rsid w:val="00866F2F"/>
    <w:rsid w:val="008707C9"/>
    <w:rsid w:val="00870A81"/>
    <w:rsid w:val="00876F27"/>
    <w:rsid w:val="0088718A"/>
    <w:rsid w:val="00890906"/>
    <w:rsid w:val="008921C0"/>
    <w:rsid w:val="00897000"/>
    <w:rsid w:val="008A16A5"/>
    <w:rsid w:val="008A4918"/>
    <w:rsid w:val="008A5D18"/>
    <w:rsid w:val="008B113F"/>
    <w:rsid w:val="008B2CB5"/>
    <w:rsid w:val="008B5E63"/>
    <w:rsid w:val="008C13C5"/>
    <w:rsid w:val="008C2DBC"/>
    <w:rsid w:val="008C710E"/>
    <w:rsid w:val="008C7F4A"/>
    <w:rsid w:val="008D0D51"/>
    <w:rsid w:val="008E5682"/>
    <w:rsid w:val="008E6554"/>
    <w:rsid w:val="008E69EA"/>
    <w:rsid w:val="008F1DC5"/>
    <w:rsid w:val="008F457E"/>
    <w:rsid w:val="008F62D7"/>
    <w:rsid w:val="0090315D"/>
    <w:rsid w:val="00913275"/>
    <w:rsid w:val="009241EE"/>
    <w:rsid w:val="00932270"/>
    <w:rsid w:val="0093536B"/>
    <w:rsid w:val="0093747B"/>
    <w:rsid w:val="0094058F"/>
    <w:rsid w:val="00942FC7"/>
    <w:rsid w:val="00943B57"/>
    <w:rsid w:val="00954F44"/>
    <w:rsid w:val="00956CF4"/>
    <w:rsid w:val="0096702C"/>
    <w:rsid w:val="009771A2"/>
    <w:rsid w:val="009849F6"/>
    <w:rsid w:val="00986211"/>
    <w:rsid w:val="00986F3D"/>
    <w:rsid w:val="009872EA"/>
    <w:rsid w:val="009A544A"/>
    <w:rsid w:val="009A7EE6"/>
    <w:rsid w:val="009B1BA2"/>
    <w:rsid w:val="009B5C68"/>
    <w:rsid w:val="009B7DE4"/>
    <w:rsid w:val="009B7E26"/>
    <w:rsid w:val="009C1AE6"/>
    <w:rsid w:val="009C6FDE"/>
    <w:rsid w:val="009C7199"/>
    <w:rsid w:val="009D3C62"/>
    <w:rsid w:val="009D63F1"/>
    <w:rsid w:val="009D65AD"/>
    <w:rsid w:val="009E5B96"/>
    <w:rsid w:val="009E6855"/>
    <w:rsid w:val="009F0090"/>
    <w:rsid w:val="009F0ACD"/>
    <w:rsid w:val="009F1B72"/>
    <w:rsid w:val="009F61DB"/>
    <w:rsid w:val="00A10CD9"/>
    <w:rsid w:val="00A13EFA"/>
    <w:rsid w:val="00A200E6"/>
    <w:rsid w:val="00A23002"/>
    <w:rsid w:val="00A2303D"/>
    <w:rsid w:val="00A26AC4"/>
    <w:rsid w:val="00A317BE"/>
    <w:rsid w:val="00A32BD1"/>
    <w:rsid w:val="00A33C83"/>
    <w:rsid w:val="00A402FF"/>
    <w:rsid w:val="00A41099"/>
    <w:rsid w:val="00A476DA"/>
    <w:rsid w:val="00A711B3"/>
    <w:rsid w:val="00A728CA"/>
    <w:rsid w:val="00A77050"/>
    <w:rsid w:val="00A80804"/>
    <w:rsid w:val="00A82960"/>
    <w:rsid w:val="00A86CD2"/>
    <w:rsid w:val="00A92479"/>
    <w:rsid w:val="00A95AF7"/>
    <w:rsid w:val="00A97B7D"/>
    <w:rsid w:val="00AA49F9"/>
    <w:rsid w:val="00AA7829"/>
    <w:rsid w:val="00AA7F91"/>
    <w:rsid w:val="00AB0304"/>
    <w:rsid w:val="00AB7730"/>
    <w:rsid w:val="00AC31AF"/>
    <w:rsid w:val="00AC420E"/>
    <w:rsid w:val="00AC4D12"/>
    <w:rsid w:val="00AC7E80"/>
    <w:rsid w:val="00AD7426"/>
    <w:rsid w:val="00AE27DE"/>
    <w:rsid w:val="00AE3508"/>
    <w:rsid w:val="00AE37FE"/>
    <w:rsid w:val="00AE3ACC"/>
    <w:rsid w:val="00AE7B15"/>
    <w:rsid w:val="00AF1C9B"/>
    <w:rsid w:val="00AF39C9"/>
    <w:rsid w:val="00AF3A36"/>
    <w:rsid w:val="00AF65C4"/>
    <w:rsid w:val="00AF7471"/>
    <w:rsid w:val="00B059DA"/>
    <w:rsid w:val="00B065F3"/>
    <w:rsid w:val="00B120FF"/>
    <w:rsid w:val="00B15F3C"/>
    <w:rsid w:val="00B205CB"/>
    <w:rsid w:val="00B22193"/>
    <w:rsid w:val="00B30272"/>
    <w:rsid w:val="00B3121D"/>
    <w:rsid w:val="00B33AF5"/>
    <w:rsid w:val="00B374A6"/>
    <w:rsid w:val="00B4231A"/>
    <w:rsid w:val="00B51E9A"/>
    <w:rsid w:val="00B55B42"/>
    <w:rsid w:val="00B621E6"/>
    <w:rsid w:val="00B6374B"/>
    <w:rsid w:val="00B63933"/>
    <w:rsid w:val="00B6636A"/>
    <w:rsid w:val="00B74E31"/>
    <w:rsid w:val="00B751E4"/>
    <w:rsid w:val="00B81A95"/>
    <w:rsid w:val="00B837C6"/>
    <w:rsid w:val="00B8544C"/>
    <w:rsid w:val="00B90BC3"/>
    <w:rsid w:val="00B94947"/>
    <w:rsid w:val="00BA2B4A"/>
    <w:rsid w:val="00BB23EB"/>
    <w:rsid w:val="00BB6706"/>
    <w:rsid w:val="00BC2D61"/>
    <w:rsid w:val="00BC619B"/>
    <w:rsid w:val="00BD6082"/>
    <w:rsid w:val="00BD6AD7"/>
    <w:rsid w:val="00BE2787"/>
    <w:rsid w:val="00BE40BC"/>
    <w:rsid w:val="00BE44CC"/>
    <w:rsid w:val="00BE5688"/>
    <w:rsid w:val="00BE58ED"/>
    <w:rsid w:val="00BE7427"/>
    <w:rsid w:val="00BF18BC"/>
    <w:rsid w:val="00BF3212"/>
    <w:rsid w:val="00BF3F10"/>
    <w:rsid w:val="00BF77A4"/>
    <w:rsid w:val="00C0259A"/>
    <w:rsid w:val="00C04150"/>
    <w:rsid w:val="00C06599"/>
    <w:rsid w:val="00C11A45"/>
    <w:rsid w:val="00C2290E"/>
    <w:rsid w:val="00C265EF"/>
    <w:rsid w:val="00C26CBA"/>
    <w:rsid w:val="00C32468"/>
    <w:rsid w:val="00C33EF3"/>
    <w:rsid w:val="00C3582C"/>
    <w:rsid w:val="00C52659"/>
    <w:rsid w:val="00C561E6"/>
    <w:rsid w:val="00C70A35"/>
    <w:rsid w:val="00C70E21"/>
    <w:rsid w:val="00C741CF"/>
    <w:rsid w:val="00C77E72"/>
    <w:rsid w:val="00C80CBD"/>
    <w:rsid w:val="00C855D1"/>
    <w:rsid w:val="00C9386C"/>
    <w:rsid w:val="00CA481D"/>
    <w:rsid w:val="00CB73F9"/>
    <w:rsid w:val="00CC3195"/>
    <w:rsid w:val="00CC357B"/>
    <w:rsid w:val="00CD755F"/>
    <w:rsid w:val="00CE4F1C"/>
    <w:rsid w:val="00CE5EA0"/>
    <w:rsid w:val="00CF5538"/>
    <w:rsid w:val="00CF64A6"/>
    <w:rsid w:val="00CF6AF8"/>
    <w:rsid w:val="00D00CF4"/>
    <w:rsid w:val="00D20338"/>
    <w:rsid w:val="00D221DF"/>
    <w:rsid w:val="00D24D68"/>
    <w:rsid w:val="00D26C7E"/>
    <w:rsid w:val="00D360D9"/>
    <w:rsid w:val="00D4395D"/>
    <w:rsid w:val="00D45870"/>
    <w:rsid w:val="00D47723"/>
    <w:rsid w:val="00D57D1C"/>
    <w:rsid w:val="00D622B7"/>
    <w:rsid w:val="00D70008"/>
    <w:rsid w:val="00D734D8"/>
    <w:rsid w:val="00D73710"/>
    <w:rsid w:val="00D737B6"/>
    <w:rsid w:val="00D90356"/>
    <w:rsid w:val="00D9326D"/>
    <w:rsid w:val="00D93574"/>
    <w:rsid w:val="00D95E60"/>
    <w:rsid w:val="00DA465C"/>
    <w:rsid w:val="00DA7C34"/>
    <w:rsid w:val="00DB239D"/>
    <w:rsid w:val="00DC4149"/>
    <w:rsid w:val="00DD1E57"/>
    <w:rsid w:val="00DD3FFA"/>
    <w:rsid w:val="00DD729A"/>
    <w:rsid w:val="00DE0ADD"/>
    <w:rsid w:val="00DF2E3F"/>
    <w:rsid w:val="00DF384F"/>
    <w:rsid w:val="00DF3BDE"/>
    <w:rsid w:val="00E0474C"/>
    <w:rsid w:val="00E0481B"/>
    <w:rsid w:val="00E1138B"/>
    <w:rsid w:val="00E119A6"/>
    <w:rsid w:val="00E14BC5"/>
    <w:rsid w:val="00E1519B"/>
    <w:rsid w:val="00E2192B"/>
    <w:rsid w:val="00E229C0"/>
    <w:rsid w:val="00E23650"/>
    <w:rsid w:val="00E25946"/>
    <w:rsid w:val="00E26D59"/>
    <w:rsid w:val="00E27889"/>
    <w:rsid w:val="00E27B88"/>
    <w:rsid w:val="00E342D1"/>
    <w:rsid w:val="00E37A8B"/>
    <w:rsid w:val="00E40E0D"/>
    <w:rsid w:val="00E43B58"/>
    <w:rsid w:val="00E47FB5"/>
    <w:rsid w:val="00E50DF2"/>
    <w:rsid w:val="00E56004"/>
    <w:rsid w:val="00E574B5"/>
    <w:rsid w:val="00E61878"/>
    <w:rsid w:val="00E628C5"/>
    <w:rsid w:val="00E66DF5"/>
    <w:rsid w:val="00E71343"/>
    <w:rsid w:val="00E71D7A"/>
    <w:rsid w:val="00E72AE0"/>
    <w:rsid w:val="00E76624"/>
    <w:rsid w:val="00E809FF"/>
    <w:rsid w:val="00E83668"/>
    <w:rsid w:val="00E859F4"/>
    <w:rsid w:val="00E92585"/>
    <w:rsid w:val="00E963EB"/>
    <w:rsid w:val="00EA6612"/>
    <w:rsid w:val="00EC296C"/>
    <w:rsid w:val="00EC507A"/>
    <w:rsid w:val="00EC5915"/>
    <w:rsid w:val="00ED01FA"/>
    <w:rsid w:val="00ED612A"/>
    <w:rsid w:val="00EE115A"/>
    <w:rsid w:val="00EE23E5"/>
    <w:rsid w:val="00EF7ACA"/>
    <w:rsid w:val="00F019A6"/>
    <w:rsid w:val="00F02033"/>
    <w:rsid w:val="00F0295F"/>
    <w:rsid w:val="00F05911"/>
    <w:rsid w:val="00F06845"/>
    <w:rsid w:val="00F10CF2"/>
    <w:rsid w:val="00F14846"/>
    <w:rsid w:val="00F200CA"/>
    <w:rsid w:val="00F230F9"/>
    <w:rsid w:val="00F36537"/>
    <w:rsid w:val="00F47066"/>
    <w:rsid w:val="00F52A42"/>
    <w:rsid w:val="00F561AC"/>
    <w:rsid w:val="00F6012D"/>
    <w:rsid w:val="00F6171C"/>
    <w:rsid w:val="00F66CA4"/>
    <w:rsid w:val="00F7312A"/>
    <w:rsid w:val="00F775F0"/>
    <w:rsid w:val="00F80C0A"/>
    <w:rsid w:val="00F81760"/>
    <w:rsid w:val="00F83DFF"/>
    <w:rsid w:val="00F84D94"/>
    <w:rsid w:val="00F9124B"/>
    <w:rsid w:val="00F95783"/>
    <w:rsid w:val="00F95789"/>
    <w:rsid w:val="00F97264"/>
    <w:rsid w:val="00F97C6D"/>
    <w:rsid w:val="00FA19FC"/>
    <w:rsid w:val="00FA4E60"/>
    <w:rsid w:val="00FA5651"/>
    <w:rsid w:val="00FA6CA4"/>
    <w:rsid w:val="00FB69AD"/>
    <w:rsid w:val="00FC7908"/>
    <w:rsid w:val="00FC7AA6"/>
    <w:rsid w:val="00FD0867"/>
    <w:rsid w:val="00FD19F4"/>
    <w:rsid w:val="00FD1A4D"/>
    <w:rsid w:val="00FD5F7F"/>
    <w:rsid w:val="00FE0BA4"/>
    <w:rsid w:val="00FE0F91"/>
    <w:rsid w:val="00FE2301"/>
    <w:rsid w:val="00FF1E4B"/>
    <w:rsid w:val="00FF351A"/>
    <w:rsid w:val="00FF6249"/>
    <w:rsid w:val="00FF70F8"/>
    <w:rsid w:val="00FF73FC"/>
    <w:rsid w:val="00FF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5F6F0E"/>
  <w15:chartTrackingRefBased/>
  <w15:docId w15:val="{F34C0B84-826F-254F-99EE-A023569F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C9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DD729A"/>
  </w:style>
  <w:style w:type="character" w:customStyle="1" w:styleId="DateChar">
    <w:name w:val="Date Char"/>
    <w:basedOn w:val="DefaultParagraphFont"/>
    <w:link w:val="Date"/>
    <w:uiPriority w:val="99"/>
    <w:semiHidden/>
    <w:rsid w:val="00DD729A"/>
  </w:style>
  <w:style w:type="paragraph" w:styleId="Footer">
    <w:name w:val="footer"/>
    <w:basedOn w:val="Normal"/>
    <w:link w:val="FooterChar"/>
    <w:uiPriority w:val="99"/>
    <w:unhideWhenUsed/>
    <w:rsid w:val="00683D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D90"/>
  </w:style>
  <w:style w:type="character" w:styleId="PageNumber">
    <w:name w:val="page number"/>
    <w:basedOn w:val="DefaultParagraphFont"/>
    <w:uiPriority w:val="99"/>
    <w:semiHidden/>
    <w:unhideWhenUsed/>
    <w:rsid w:val="00683D90"/>
  </w:style>
  <w:style w:type="paragraph" w:styleId="Header">
    <w:name w:val="header"/>
    <w:basedOn w:val="Normal"/>
    <w:link w:val="HeaderChar"/>
    <w:uiPriority w:val="99"/>
    <w:unhideWhenUsed/>
    <w:rsid w:val="00683D9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D90"/>
  </w:style>
  <w:style w:type="paragraph" w:styleId="NoSpacing">
    <w:name w:val="No Spacing"/>
    <w:link w:val="NoSpacingChar"/>
    <w:uiPriority w:val="1"/>
    <w:qFormat/>
    <w:rsid w:val="00153585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153585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D2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2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2C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2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2C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C7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72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5E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2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7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venpillarsinstitute.org/kantian-duty-based-deontological-ethic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F7F07F-703A-7A4F-9FFA-96A3F2BC8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2063</Words>
  <Characters>11761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13797</CharactersWithSpaces>
  <SharedDoc>false</SharedDoc>
  <HLinks>
    <vt:vector size="6" baseType="variant">
      <vt:variant>
        <vt:i4>7077985</vt:i4>
      </vt:variant>
      <vt:variant>
        <vt:i4>6</vt:i4>
      </vt:variant>
      <vt:variant>
        <vt:i4>0</vt:i4>
      </vt:variant>
      <vt:variant>
        <vt:i4>5</vt:i4>
      </vt:variant>
      <vt:variant>
        <vt:lpwstr>https://sevenpillarsinstitute.org/kantian-duty-based-deontological-ethics/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Weikeng Yang</dc:creator>
  <cp:keywords/>
  <dc:description/>
  <cp:lastModifiedBy>Weikeng Yang</cp:lastModifiedBy>
  <cp:revision>2</cp:revision>
  <cp:lastPrinted>2019-11-13T20:09:00Z</cp:lastPrinted>
  <dcterms:created xsi:type="dcterms:W3CDTF">2019-11-21T07:16:00Z</dcterms:created>
  <dcterms:modified xsi:type="dcterms:W3CDTF">2019-11-21T07:16:00Z</dcterms:modified>
</cp:coreProperties>
</file>