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Psychopathologie clinique n°15</w:t>
      </w:r>
    </w:p>
    <w:p>
      <w:pPr>
        <w:spacing w:after="40" w:before="40"/>
        <w:jc w:val="center"/>
      </w:pPr>
      <w:r>
        <w:rPr>
          <w:rFonts w:ascii="Times New Roman" w:cs="Times New Roman" w:eastAsia="Times New Roman" w:hAnsi="Times New Roman"/>
          <w:b/>
          <w:bCs/>
          <w:color w:val="1B3A6B"/>
          <w:sz w:val="36"/>
          <w:szCs w:val="36"/>
        </w:rPr>
        <w:t xml:space="preserve">La crise suicidaire : évaluation du risque et conduite à tenir</w:t>
      </w:r>
    </w:p>
    <w:p>
      <w:pPr>
        <w:spacing w:after="40" w:before="40"/>
        <w:jc w:val="center"/>
      </w:pPr>
      <w:r>
        <w:rPr>
          <w:rFonts w:ascii="Times New Roman" w:cs="Times New Roman" w:eastAsia="Times New Roman" w:hAnsi="Times New Roman"/>
          <w:i/>
          <w:iCs/>
          <w:color w:val="1F2937"/>
          <w:sz w:val="22"/>
          <w:szCs w:val="22"/>
        </w:rPr>
        <w:t xml:space="preserve">Leçon 15 / 20  |  7 septembre 2026</w:t>
      </w:r>
    </w:p>
    <w:p>
      <w:pPr>
        <w:spacing w:after="40" w:before="40"/>
      </w:pPr>
      <w:r>
        <w:t xml:space="preserve"/>
      </w:r>
    </w:p>
    <w:p>
      <w:pPr>
        <w:pStyle w:val="Heading2"/>
        <w:spacing w:after="80" w:before="280"/>
      </w:pPr>
      <w:r>
        <w:rPr>
          <w:rFonts w:ascii="Times New Roman" w:cs="Times New Roman" w:eastAsia="Times New Roman" w:hAnsi="Times New Roman"/>
          <w:b/>
          <w:bCs/>
          <w:color w:val="1B3A6B"/>
          <w:sz w:val="30"/>
          <w:szCs w:val="30"/>
        </w:rPr>
        <w:t xml:space="preserve">🎯 Objectif et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je serai capable de :</w:t>
      </w:r>
    </w:p>
    <w:p>
      <w:pPr>
        <w:spacing w:after="60" w:before="60"/>
      </w:pPr>
      <w:r>
        <w:rPr>
          <w:rFonts w:ascii="Times New Roman" w:cs="Times New Roman" w:eastAsia="Times New Roman" w:hAnsi="Times New Roman"/>
          <w:b w:val="false"/>
          <w:bCs w:val="false"/>
          <w:i w:val="false"/>
          <w:iCs w:val="false"/>
          <w:color w:val="1F2937"/>
          <w:sz w:val="22"/>
          <w:szCs w:val="22"/>
        </w:rPr>
        <w:t xml:space="preserve">• Définir la crise suicidaire comme un processus dynamique et réversible, non comme un état figé.</w:t>
      </w:r>
    </w:p>
    <w:p>
      <w:pPr>
        <w:spacing w:after="60" w:before="60"/>
      </w:pPr>
      <w:r>
        <w:rPr>
          <w:rFonts w:ascii="Times New Roman" w:cs="Times New Roman" w:eastAsia="Times New Roman" w:hAnsi="Times New Roman"/>
          <w:b w:val="false"/>
          <w:bCs w:val="false"/>
          <w:i w:val="false"/>
          <w:iCs w:val="false"/>
          <w:color w:val="1F2937"/>
          <w:sz w:val="22"/>
          <w:szCs w:val="22"/>
        </w:rPr>
        <w:t xml:space="preserve">• Identifier les principaux facteurs de risque et facteurs protecteurs.</w:t>
      </w:r>
    </w:p>
    <w:p>
      <w:pPr>
        <w:spacing w:after="60" w:before="60"/>
      </w:pPr>
      <w:r>
        <w:rPr>
          <w:rFonts w:ascii="Times New Roman" w:cs="Times New Roman" w:eastAsia="Times New Roman" w:hAnsi="Times New Roman"/>
          <w:b w:val="false"/>
          <w:bCs w:val="false"/>
          <w:i w:val="false"/>
          <w:iCs w:val="false"/>
          <w:color w:val="1F2937"/>
          <w:sz w:val="22"/>
          <w:szCs w:val="22"/>
        </w:rPr>
        <w:t xml:space="preserve">• Comprendre la logique de la grille RUD (Risque-Urgence-Dangerosité) et ses trois niveaux d'urgence.</w:t>
      </w:r>
    </w:p>
    <w:p>
      <w:pPr>
        <w:spacing w:after="60" w:before="60"/>
      </w:pPr>
      <w:r>
        <w:rPr>
          <w:rFonts w:ascii="Times New Roman" w:cs="Times New Roman" w:eastAsia="Times New Roman" w:hAnsi="Times New Roman"/>
          <w:b w:val="false"/>
          <w:bCs w:val="false"/>
          <w:i w:val="false"/>
          <w:iCs w:val="false"/>
          <w:color w:val="1F2937"/>
          <w:sz w:val="22"/>
          <w:szCs w:val="22"/>
        </w:rPr>
        <w:t xml:space="preserve">• Distinguer clairement ce qui relève du rôle de l'équipe éducative de ce qui relève de la compétence médicale.</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Lien avec la leçon 14 : les troubles du sommeil et leurs interactions psychiatriques. L'insomnie sévère figure parmi les facteurs de risque suicidaire identifiés dans la littérature clinique — c'est un des fils qui relie cette leçon à la précédente.</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 Cadre déontologique — Ces leçons visent à COMPRENDRE la psychopathologie pour mieux observer, accompagner et orienter. En aucun cas il ne s'agit de poser un diagnostic, acte réservé aux médecins psychiatres et psychologues cliniciens. Ce cadre s'applique avec une force particulière à cette leçon, qui touche des situations à haut enjeu humain.</w:t>
      </w:r>
    </w:p>
    <w:p>
      <w:pPr>
        <w:pStyle w:val="Heading2"/>
        <w:spacing w:after="80" w:before="280"/>
      </w:pPr>
      <w:r>
        <w:rPr>
          <w:rFonts w:ascii="Times New Roman" w:cs="Times New Roman" w:eastAsia="Times New Roman" w:hAnsi="Times New Roman"/>
          <w:b/>
          <w:bCs/>
          <w:color w:val="1B3A6B"/>
          <w:sz w:val="30"/>
          <w:szCs w:val="30"/>
        </w:rPr>
        <w:t xml:space="preserve">🔬 Théorie (20 %) — La crise suicidaire : comprendre pour mieux repérer</w:t>
      </w:r>
    </w:p>
    <w:p>
      <w:pPr>
        <w:pStyle w:val="Heading3"/>
        <w:spacing w:after="60" w:before="200"/>
      </w:pPr>
      <w:r>
        <w:rPr>
          <w:rFonts w:ascii="Times New Roman" w:cs="Times New Roman" w:eastAsia="Times New Roman" w:hAnsi="Times New Roman"/>
          <w:b/>
          <w:bCs/>
          <w:color w:val="1F2937"/>
          <w:sz w:val="26"/>
          <w:szCs w:val="26"/>
        </w:rPr>
        <w:t xml:space="preserve">1. Un processus temporaire et réversible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crise suicidaire n'est pas un acte imprévisible survenu de nulle part. Les approches contemporaines la définissent comme un processus temporaire et réversible de détresse psychologique intense, dans lequel la mort apparaît à la personne comme la seule issue possible à une souffrance insupportable.</w:t>
      </w:r>
    </w:p>
    <w:p>
      <w:pPr>
        <w:spacing w:after="60" w:before="60"/>
      </w:pPr>
      <w:r>
        <w:rPr>
          <w:rFonts w:ascii="Times New Roman" w:cs="Times New Roman" w:eastAsia="Times New Roman" w:hAnsi="Times New Roman"/>
          <w:b w:val="false"/>
          <w:bCs w:val="false"/>
          <w:i w:val="false"/>
          <w:iCs w:val="false"/>
          <w:color w:val="1F2937"/>
          <w:sz w:val="22"/>
          <w:szCs w:val="22"/>
        </w:rPr>
        <w:t xml:space="preserve">Quatre caractéristiques essentielles :</w:t>
      </w:r>
    </w:p>
    <w:p>
      <w:pPr>
        <w:spacing w:after="60" w:before="60"/>
      </w:pPr>
      <w:r>
        <w:rPr>
          <w:rFonts w:ascii="Times New Roman" w:cs="Times New Roman" w:eastAsia="Times New Roman" w:hAnsi="Times New Roman"/>
          <w:b w:val="false"/>
          <w:bCs w:val="false"/>
          <w:i w:val="false"/>
          <w:iCs w:val="false"/>
          <w:color w:val="1F2937"/>
          <w:sz w:val="22"/>
          <w:szCs w:val="22"/>
        </w:rPr>
        <w:t xml:space="preserve">• Temporaire — elle a un début, une évolution, une résolution possible.</w:t>
      </w:r>
    </w:p>
    <w:p>
      <w:pPr>
        <w:spacing w:after="60" w:before="60"/>
      </w:pPr>
      <w:r>
        <w:rPr>
          <w:rFonts w:ascii="Times New Roman" w:cs="Times New Roman" w:eastAsia="Times New Roman" w:hAnsi="Times New Roman"/>
          <w:b w:val="false"/>
          <w:bCs w:val="false"/>
          <w:i w:val="false"/>
          <w:iCs w:val="false"/>
          <w:color w:val="1F2937"/>
          <w:sz w:val="22"/>
          <w:szCs w:val="22"/>
        </w:rPr>
        <w:t xml:space="preserve">• Réversible — c'est précisément pourquoi l'intervention est possible et efficace.</w:t>
      </w:r>
    </w:p>
    <w:p>
      <w:pPr>
        <w:spacing w:after="60" w:before="60"/>
      </w:pPr>
      <w:r>
        <w:rPr>
          <w:rFonts w:ascii="Times New Roman" w:cs="Times New Roman" w:eastAsia="Times New Roman" w:hAnsi="Times New Roman"/>
          <w:b w:val="false"/>
          <w:bCs w:val="false"/>
          <w:i w:val="false"/>
          <w:iCs w:val="false"/>
          <w:color w:val="1F2937"/>
          <w:sz w:val="22"/>
          <w:szCs w:val="22"/>
        </w:rPr>
        <w:t xml:space="preserve">• Effet tunnel — la personne en crise perd temporairement la capacité à envisager d'autres solutions.</w:t>
      </w:r>
    </w:p>
    <w:p>
      <w:pPr>
        <w:spacing w:after="60" w:before="60"/>
      </w:pPr>
      <w:r>
        <w:rPr>
          <w:rFonts w:ascii="Times New Roman" w:cs="Times New Roman" w:eastAsia="Times New Roman" w:hAnsi="Times New Roman"/>
          <w:b w:val="false"/>
          <w:bCs w:val="false"/>
          <w:i w:val="false"/>
          <w:iCs w:val="false"/>
          <w:color w:val="1F2937"/>
          <w:sz w:val="22"/>
          <w:szCs w:val="22"/>
        </w:rPr>
        <w:t xml:space="preserve">• Ambivalente — dans la grande majorité des cas, la personne veut à la fois vivre et mettre fin à sa souffrance. Cette ambivalence est le levier de l'intervention.</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2. Épidémiologie — chiffres précis et ce qu'ils mesurent</w:t>
      </w:r>
    </w:p>
    <w:p>
      <w:pPr>
        <w:spacing w:after="60" w:before="60"/>
      </w:pPr>
      <w:r>
        <w:rPr>
          <w:rFonts w:ascii="Times New Roman" w:cs="Times New Roman" w:eastAsia="Times New Roman" w:hAnsi="Times New Roman"/>
          <w:b w:val="false"/>
          <w:bCs w:val="false"/>
          <w:i w:val="false"/>
          <w:iCs w:val="false"/>
          <w:color w:val="1F2937"/>
          <w:sz w:val="22"/>
          <w:szCs w:val="22"/>
        </w:rPr>
        <w:t xml:space="preserve">Données mondiales (Merck Manual, mise à jour janvier 2026) :</w:t>
      </w:r>
    </w:p>
    <w:p>
      <w:pPr>
        <w:spacing w:after="60" w:before="60"/>
      </w:pPr>
      <w:r>
        <w:rPr>
          <w:rFonts w:ascii="Times New Roman" w:cs="Times New Roman" w:eastAsia="Times New Roman" w:hAnsi="Times New Roman"/>
          <w:b w:val="false"/>
          <w:bCs w:val="false"/>
          <w:i w:val="false"/>
          <w:iCs w:val="false"/>
          <w:color w:val="1F2937"/>
          <w:sz w:val="22"/>
          <w:szCs w:val="22"/>
        </w:rPr>
        <w:t xml:space="preserve">• Plus de 720 000 personnes décèdent par suicide chaque année dans le monde (valeur plancher, toutes tranches d'âge, données mondiales).</w:t>
      </w:r>
    </w:p>
    <w:p>
      <w:pPr>
        <w:spacing w:after="60" w:before="60"/>
      </w:pPr>
      <w:r>
        <w:rPr>
          <w:rFonts w:ascii="Times New Roman" w:cs="Times New Roman" w:eastAsia="Times New Roman" w:hAnsi="Times New Roman"/>
          <w:b w:val="false"/>
          <w:bCs w:val="false"/>
          <w:i w:val="false"/>
          <w:iCs w:val="false"/>
          <w:color w:val="1F2937"/>
          <w:sz w:val="22"/>
          <w:szCs w:val="22"/>
        </w:rPr>
        <w:t xml:space="preserve">• Le suicide est la troisième cause de décès dans la tranche d'âge 15-29 ans (ensemble : cette tranche d'âge uniquement, données mondiales OMS).</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Liens avec les troubles psychiatriques — ratios de mortalité standardisés (RMS)* :</w:t>
      </w:r>
    </w:p>
    <w:p>
      <w:pPr>
        <w:spacing w:after="60" w:before="60"/>
      </w:pPr>
      <w:r>
        <w:rPr>
          <w:rFonts w:ascii="Times New Roman" w:cs="Times New Roman" w:eastAsia="Times New Roman" w:hAnsi="Times New Roman"/>
          <w:b w:val="false"/>
          <w:bCs w:val="false"/>
          <w:i w:val="false"/>
          <w:iCs w:val="false"/>
          <w:color w:val="1F2937"/>
          <w:sz w:val="22"/>
          <w:szCs w:val="22"/>
        </w:rPr>
        <w:t xml:space="preserve">Selon le Merck Manual (janvier 2026), la plupart des personnes décédées par suicide présentaient au moins un trouble psychiatrique. Les ratios de mortalité standardisés les plus élevés sont :</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de la personnalité borderline : risque de décès par suicide multiplié par 45,1</w:t>
      </w:r>
    </w:p>
    <w:p>
      <w:pPr>
        <w:spacing w:after="60" w:before="60"/>
      </w:pPr>
      <w:r>
        <w:rPr>
          <w:rFonts w:ascii="Times New Roman" w:cs="Times New Roman" w:eastAsia="Times New Roman" w:hAnsi="Times New Roman"/>
          <w:b w:val="false"/>
          <w:bCs w:val="false"/>
          <w:i w:val="false"/>
          <w:iCs w:val="false"/>
          <w:color w:val="1F2937"/>
          <w:sz w:val="22"/>
          <w:szCs w:val="22"/>
        </w:rPr>
        <w:t xml:space="preserve">• Anorexie mentale (femmes) : multiplié par 31,0</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dépressif caractérisé : multiplié par 19,7</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bipolaire : multiplié par 17,1</w:t>
      </w:r>
    </w:p>
    <w:p>
      <w:pPr>
        <w:spacing w:after="60" w:before="60"/>
      </w:pPr>
      <w:r>
        <w:rPr>
          <w:rFonts w:ascii="Times New Roman" w:cs="Times New Roman" w:eastAsia="Times New Roman" w:hAnsi="Times New Roman"/>
          <w:b w:val="false"/>
          <w:bCs w:val="false"/>
          <w:i w:val="false"/>
          <w:iCs w:val="false"/>
          <w:color w:val="1F2937"/>
          <w:sz w:val="22"/>
          <w:szCs w:val="22"/>
        </w:rPr>
        <w:t xml:space="preserve">• Schizophrénie : multiplié par 12,9</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 Un ratio de mortalité standardisé (RMS) indique combien de fois plus élevée est la mortalité par suicide dans ce groupe par rapport à la population générale, à âge et sexe comparables. Ces chiffres ne disent pas que la plupart des personnes souffrant de ces troubles décèdent par suicide — la grande majorité ne passeront jamais à l'acte. Ils disent que le risque est significativement plus élevé que dans la population générale. Source : Manuel Merck Édition Professionnelle, version française canadienne, mise à jour janvier 2026.</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Contexte ESSMS (Le Media Social, 28 janvier 2026, citant une publication du ministère de la Santé) :</w:t>
      </w:r>
    </w:p>
    <w:p>
      <w:pPr>
        <w:spacing w:after="60" w:before="60"/>
      </w:pPr>
      <w:r>
        <w:rPr>
          <w:rFonts w:ascii="Times New Roman" w:cs="Times New Roman" w:eastAsia="Times New Roman" w:hAnsi="Times New Roman"/>
          <w:b w:val="false"/>
          <w:bCs w:val="false"/>
          <w:i w:val="false"/>
          <w:iCs w:val="false"/>
          <w:color w:val="1F2937"/>
          <w:sz w:val="22"/>
          <w:szCs w:val="22"/>
        </w:rPr>
        <w:t xml:space="preserve">• Les actes suicidaires représentent environ un événement indésirable grave lié aux soins (EIGS) sur cinq en établissement (ensemble : tous les EIGS en établissements de santé et médico-sociaux, données ministérielles françaises).</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3. Facteurs de risque et facteurs protecteurs</w:t>
      </w:r>
    </w:p>
    <w:p>
      <w:pPr>
        <w:spacing w:after="60" w:before="60"/>
      </w:pPr>
      <w:r>
        <w:rPr>
          <w:rFonts w:ascii="Times New Roman" w:cs="Times New Roman" w:eastAsia="Times New Roman" w:hAnsi="Times New Roman"/>
          <w:b w:val="false"/>
          <w:bCs w:val="false"/>
          <w:i w:val="false"/>
          <w:iCs w:val="false"/>
          <w:color w:val="1F2937"/>
          <w:sz w:val="22"/>
          <w:szCs w:val="22"/>
        </w:rPr>
        <w:t xml:space="preserve">Facteurs de risque (Merck Manual, janvier 2026 ; Psycom, consulté sept. 2026) :</w:t>
      </w:r>
    </w:p>
    <w:p>
      <w:pPr>
        <w:spacing w:after="60" w:before="60"/>
      </w:pPr>
      <w:r>
        <w:rPr>
          <w:rFonts w:ascii="Times New Roman" w:cs="Times New Roman" w:eastAsia="Times New Roman" w:hAnsi="Times New Roman"/>
          <w:b w:val="false"/>
          <w:bCs w:val="false"/>
          <w:i w:val="false"/>
          <w:iCs w:val="false"/>
          <w:color w:val="1F2937"/>
          <w:sz w:val="22"/>
          <w:szCs w:val="22"/>
        </w:rPr>
        <w:t xml:space="preserve">• Antécédents de tentative de suicide — c'est le facteur le plus prédictif d'un futur passage à l'acte</w:t>
      </w:r>
    </w:p>
    <w:p>
      <w:pPr>
        <w:spacing w:after="60" w:before="60"/>
      </w:pPr>
      <w:r>
        <w:rPr>
          <w:rFonts w:ascii="Times New Roman" w:cs="Times New Roman" w:eastAsia="Times New Roman" w:hAnsi="Times New Roman"/>
          <w:b w:val="false"/>
          <w:bCs w:val="false"/>
          <w:i w:val="false"/>
          <w:iCs w:val="false"/>
          <w:color w:val="1F2937"/>
          <w:sz w:val="22"/>
          <w:szCs w:val="22"/>
        </w:rPr>
        <w:t xml:space="preserve">• Trouble psychiatrique connu (dépression, bipolaire, schizophrénie, borderline, anorexie)</w:t>
      </w:r>
    </w:p>
    <w:p>
      <w:pPr>
        <w:spacing w:after="60" w:before="60"/>
      </w:pPr>
      <w:r>
        <w:rPr>
          <w:rFonts w:ascii="Times New Roman" w:cs="Times New Roman" w:eastAsia="Times New Roman" w:hAnsi="Times New Roman"/>
          <w:b w:val="false"/>
          <w:bCs w:val="false"/>
          <w:i w:val="false"/>
          <w:iCs w:val="false"/>
          <w:color w:val="1F2937"/>
          <w:sz w:val="22"/>
          <w:szCs w:val="22"/>
        </w:rPr>
        <w:t xml:space="preserve">• Abus de substances psychoactives</w:t>
      </w:r>
    </w:p>
    <w:p>
      <w:pPr>
        <w:spacing w:after="60" w:before="60"/>
      </w:pPr>
      <w:r>
        <w:rPr>
          <w:rFonts w:ascii="Times New Roman" w:cs="Times New Roman" w:eastAsia="Times New Roman" w:hAnsi="Times New Roman"/>
          <w:b w:val="false"/>
          <w:bCs w:val="false"/>
          <w:i w:val="false"/>
          <w:iCs w:val="false"/>
          <w:color w:val="1F2937"/>
          <w:sz w:val="22"/>
          <w:szCs w:val="22"/>
        </w:rPr>
        <w:t xml:space="preserve">• Traumatismes dans l'enfance (violence physique, abus sexuels)</w:t>
      </w:r>
    </w:p>
    <w:p>
      <w:pPr>
        <w:spacing w:after="60" w:before="60"/>
      </w:pPr>
      <w:r>
        <w:rPr>
          <w:rFonts w:ascii="Times New Roman" w:cs="Times New Roman" w:eastAsia="Times New Roman" w:hAnsi="Times New Roman"/>
          <w:b w:val="false"/>
          <w:bCs w:val="false"/>
          <w:i w:val="false"/>
          <w:iCs w:val="false"/>
          <w:color w:val="1F2937"/>
          <w:sz w:val="22"/>
          <w:szCs w:val="22"/>
        </w:rPr>
        <w:t xml:space="preserve">• Isolement social (lien avec la leçon précédente : retrait, perte de réseau)</w:t>
      </w:r>
    </w:p>
    <w:p>
      <w:pPr>
        <w:spacing w:after="60" w:before="60"/>
      </w:pPr>
      <w:r>
        <w:rPr>
          <w:rFonts w:ascii="Times New Roman" w:cs="Times New Roman" w:eastAsia="Times New Roman" w:hAnsi="Times New Roman"/>
          <w:b w:val="false"/>
          <w:bCs w:val="false"/>
          <w:i w:val="false"/>
          <w:iCs w:val="false"/>
          <w:color w:val="1F2937"/>
          <w:sz w:val="22"/>
          <w:szCs w:val="22"/>
        </w:rPr>
        <w:t xml:space="preserve">• Accès à des moyens létaux (médicaments en grande quantité, armes...)</w:t>
      </w:r>
    </w:p>
    <w:p>
      <w:pPr>
        <w:spacing w:after="60" w:before="60"/>
      </w:pPr>
      <w:r>
        <w:rPr>
          <w:rFonts w:ascii="Times New Roman" w:cs="Times New Roman" w:eastAsia="Times New Roman" w:hAnsi="Times New Roman"/>
          <w:b w:val="false"/>
          <w:bCs w:val="false"/>
          <w:i w:val="false"/>
          <w:iCs w:val="false"/>
          <w:color w:val="1F2937"/>
          <w:sz w:val="22"/>
          <w:szCs w:val="22"/>
        </w:rPr>
        <w:t xml:space="preserve">• Maladies chroniques invalidantes</w:t>
      </w:r>
    </w:p>
    <w:p>
      <w:pPr>
        <w:spacing w:after="60" w:before="60"/>
      </w:pPr>
      <w:r>
        <w:rPr>
          <w:rFonts w:ascii="Times New Roman" w:cs="Times New Roman" w:eastAsia="Times New Roman" w:hAnsi="Times New Roman"/>
          <w:b w:val="false"/>
          <w:bCs w:val="false"/>
          <w:i w:val="false"/>
          <w:iCs w:val="false"/>
          <w:color w:val="1F2937"/>
          <w:sz w:val="22"/>
          <w:szCs w:val="22"/>
        </w:rPr>
        <w:t xml:space="preserve">• Événements précipitants récents : rupture affective, deuil, perte d'emploi, harcèlement, violence</w:t>
      </w:r>
    </w:p>
    <w:p>
      <w:pPr>
        <w:spacing w:after="60" w:before="60"/>
      </w:pPr>
      <w:r>
        <w:rPr>
          <w:rFonts w:ascii="Times New Roman" w:cs="Times New Roman" w:eastAsia="Times New Roman" w:hAnsi="Times New Roman"/>
          <w:b w:val="false"/>
          <w:bCs w:val="false"/>
          <w:i w:val="false"/>
          <w:iCs w:val="false"/>
          <w:color w:val="1F2937"/>
          <w:sz w:val="22"/>
          <w:szCs w:val="22"/>
        </w:rPr>
        <w:t xml:space="preserve">• Insomnie sévère (facteur de risque et signal d'aggravation)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Facteurs protecteurs (Psycom, consulté sept. 2026) :</w:t>
      </w:r>
    </w:p>
    <w:p>
      <w:pPr>
        <w:spacing w:after="60" w:before="60"/>
      </w:pPr>
      <w:r>
        <w:rPr>
          <w:rFonts w:ascii="Times New Roman" w:cs="Times New Roman" w:eastAsia="Times New Roman" w:hAnsi="Times New Roman"/>
          <w:b w:val="false"/>
          <w:bCs w:val="false"/>
          <w:i w:val="false"/>
          <w:iCs w:val="false"/>
          <w:color w:val="1F2937"/>
          <w:sz w:val="22"/>
          <w:szCs w:val="22"/>
        </w:rPr>
        <w:t xml:space="preserve">• Présence d'un réseau social et familial de soutien réel</w:t>
      </w:r>
    </w:p>
    <w:p>
      <w:pPr>
        <w:spacing w:after="60" w:before="60"/>
      </w:pPr>
      <w:r>
        <w:rPr>
          <w:rFonts w:ascii="Times New Roman" w:cs="Times New Roman" w:eastAsia="Times New Roman" w:hAnsi="Times New Roman"/>
          <w:b w:val="false"/>
          <w:bCs w:val="false"/>
          <w:i w:val="false"/>
          <w:iCs w:val="false"/>
          <w:color w:val="1F2937"/>
          <w:sz w:val="22"/>
          <w:szCs w:val="22"/>
        </w:rPr>
        <w:t xml:space="preserve">• Accès aux soins et continuité du suivi psychologique ou psychiatrique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 Sentiment d'utilité, projets de vie, sens</w:t>
      </w:r>
    </w:p>
    <w:p>
      <w:pPr>
        <w:spacing w:after="60" w:before="60"/>
      </w:pPr>
      <w:r>
        <w:rPr>
          <w:rFonts w:ascii="Times New Roman" w:cs="Times New Roman" w:eastAsia="Times New Roman" w:hAnsi="Times New Roman"/>
          <w:b w:val="false"/>
          <w:bCs w:val="false"/>
          <w:i w:val="false"/>
          <w:iCs w:val="false"/>
          <w:color w:val="1F2937"/>
          <w:sz w:val="22"/>
          <w:szCs w:val="22"/>
        </w:rPr>
        <w:t xml:space="preserve">• Capacités de régulation émotionnelle</w:t>
      </w:r>
    </w:p>
    <w:p>
      <w:pPr>
        <w:spacing w:after="60" w:before="60"/>
      </w:pPr>
      <w:r>
        <w:rPr>
          <w:rFonts w:ascii="Times New Roman" w:cs="Times New Roman" w:eastAsia="Times New Roman" w:hAnsi="Times New Roman"/>
          <w:b w:val="false"/>
          <w:bCs w:val="false"/>
          <w:i w:val="false"/>
          <w:iCs w:val="false"/>
          <w:color w:val="1F2937"/>
          <w:sz w:val="22"/>
          <w:szCs w:val="22"/>
        </w:rPr>
        <w:t xml:space="preserve">• Restriction de l'accès aux moyens létaux (sécurisation de l'environnement)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 Accès au 3114 — numéro national de prévention du suicide, disponible 24h/24, gratuit, accessible aussi aux professionnels</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4. L'évaluation du potentiel suicidaire : la grille RUD</w:t>
      </w:r>
    </w:p>
    <w:p>
      <w:pPr>
        <w:spacing w:after="60" w:before="60"/>
      </w:pPr>
      <w:r>
        <w:rPr>
          <w:rFonts w:ascii="Times New Roman" w:cs="Times New Roman" w:eastAsia="Times New Roman" w:hAnsi="Times New Roman"/>
          <w:b w:val="false"/>
          <w:bCs w:val="false"/>
          <w:i w:val="false"/>
          <w:iCs w:val="false"/>
          <w:color w:val="1F2937"/>
          <w:sz w:val="22"/>
          <w:szCs w:val="22"/>
        </w:rPr>
        <w:t xml:space="preserve">Développée dans le cadre de la Conférence de consensus sur la crise suicidaire (ANAES, 2000 — organisme intégré depuis à la HAS), la grille RUD constitue à ce jour la référence française pour l'évaluation structurée du potentiel suicidaire chez l'adulte. Il n'existe pas, à la date de cette leçon, de recommandation HAS spécifique aux adultes plus récente que cette conférence de consensus pour ce sujet.</w:t>
      </w:r>
    </w:p>
    <w:p>
      <w:pPr>
        <w:spacing w:after="60" w:before="60"/>
      </w:pPr>
      <w:r>
        <w:rPr>
          <w:rFonts w:ascii="Times New Roman" w:cs="Times New Roman" w:eastAsia="Times New Roman" w:hAnsi="Times New Roman"/>
          <w:b w:val="false"/>
          <w:bCs w:val="false"/>
          <w:i w:val="false"/>
          <w:iCs w:val="false"/>
          <w:color w:val="1F2937"/>
          <w:sz w:val="22"/>
          <w:szCs w:val="22"/>
        </w:rPr>
        <w:t xml:space="preserve">À noter : la HAS a publié en novembre 2021 une recommandation sur les idées et conduites suicidaires — mais celle-ci cible spécifiquement les enfants et les adolescents (titre exact : « Idées et conduites suicidaires chez l'enfant et l'adolescent : prévention, repérage, évaluation et prise en charge », HAS, 2 novembre 2021).</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La grille RUD (J.L. Terra et al., ANAES 2000, via infosuicide.org) structure l'évaluation en trois dimensions :</w:t>
      </w:r>
    </w:p>
    <w:p>
      <w:pPr>
        <w:spacing w:after="60" w:before="60"/>
      </w:pPr>
      <w:r>
        <w:rPr>
          <w:rFonts w:ascii="Times New Roman" w:cs="Times New Roman" w:eastAsia="Times New Roman" w:hAnsi="Times New Roman"/>
          <w:b w:val="false"/>
          <w:bCs w:val="false"/>
          <w:i w:val="false"/>
          <w:iCs w:val="false"/>
          <w:color w:val="1F2937"/>
          <w:sz w:val="22"/>
          <w:szCs w:val="22"/>
        </w:rPr>
        <w:t xml:space="preserve">R — Risque suicidaire : présence et intensité des facteurs de risque individuels, familiaux, psychosociaux.</w:t>
      </w:r>
    </w:p>
    <w:p>
      <w:pPr>
        <w:spacing w:after="60" w:before="60"/>
      </w:pPr>
      <w:r>
        <w:rPr>
          <w:rFonts w:ascii="Times New Roman" w:cs="Times New Roman" w:eastAsia="Times New Roman" w:hAnsi="Times New Roman"/>
          <w:b w:val="false"/>
          <w:bCs w:val="false"/>
          <w:i w:val="false"/>
          <w:iCs w:val="false"/>
          <w:color w:val="1F2937"/>
          <w:sz w:val="22"/>
          <w:szCs w:val="22"/>
        </w:rPr>
        <w:t xml:space="preserve">U — Urgence : probabilité et imminence du passage à l'acte, degré de planification.</w:t>
      </w:r>
    </w:p>
    <w:p>
      <w:pPr>
        <w:spacing w:after="60" w:before="60"/>
      </w:pPr>
      <w:r>
        <w:rPr>
          <w:rFonts w:ascii="Times New Roman" w:cs="Times New Roman" w:eastAsia="Times New Roman" w:hAnsi="Times New Roman"/>
          <w:b w:val="false"/>
          <w:bCs w:val="false"/>
          <w:i w:val="false"/>
          <w:iCs w:val="false"/>
          <w:color w:val="1F2937"/>
          <w:sz w:val="22"/>
          <w:szCs w:val="22"/>
        </w:rPr>
        <w:t xml:space="preserve">D — Dangerosité : degré d'élaboration du scénario, létalité du moyen envisagé, accessibilité du moyen.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trois niveaux d'urgence :</w:t>
      </w:r>
    </w:p>
    <w:p>
      <w:pPr>
        <w:spacing w:after="40" w:before="40"/>
      </w:pPr>
      <w:r>
        <w:t xml:space="preserv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33%"/>
            <w:shd w:fill="1B3A6B" w:val="clear"/>
          </w:tcPr>
          <w:p>
            <w:pPr>
              <w:jc w:val="center"/>
            </w:pPr>
            <w:r>
              <w:rPr>
                <w:rFonts w:ascii="Times New Roman" w:cs="Times New Roman" w:eastAsia="Times New Roman" w:hAnsi="Times New Roman"/>
                <w:b/>
                <w:bCs/>
                <w:color w:val="FFFFFF"/>
                <w:sz w:val="20"/>
                <w:szCs w:val="20"/>
              </w:rPr>
              <w:t xml:space="preserve">Niveau</w:t>
            </w:r>
          </w:p>
        </w:tc>
        <w:tc>
          <w:tcPr>
            <w:tcW w:type="pct" w:w="3333%"/>
            <w:shd w:fill="1B3A6B" w:val="clear"/>
          </w:tcPr>
          <w:p>
            <w:pPr>
              <w:jc w:val="center"/>
            </w:pPr>
            <w:r>
              <w:rPr>
                <w:rFonts w:ascii="Times New Roman" w:cs="Times New Roman" w:eastAsia="Times New Roman" w:hAnsi="Times New Roman"/>
                <w:b/>
                <w:bCs/>
                <w:color w:val="FFFFFF"/>
                <w:sz w:val="20"/>
                <w:szCs w:val="20"/>
              </w:rPr>
              <w:t xml:space="preserve">Caractéristiques principales</w:t>
            </w:r>
          </w:p>
        </w:tc>
        <w:tc>
          <w:tcPr>
            <w:tcW w:type="pct" w:w="3333%"/>
            <w:shd w:fill="1B3A6B" w:val="clear"/>
          </w:tcPr>
          <w:p>
            <w:pPr>
              <w:jc w:val="center"/>
            </w:pPr>
            <w:r>
              <w:rPr>
                <w:rFonts w:ascii="Times New Roman" w:cs="Times New Roman" w:eastAsia="Times New Roman" w:hAnsi="Times New Roman"/>
                <w:b/>
                <w:bCs/>
                <w:color w:val="FFFFFF"/>
                <w:sz w:val="20"/>
                <w:szCs w:val="20"/>
              </w:rPr>
              <w:t xml:space="preserve">Conduite à tenir</w:t>
            </w:r>
          </w:p>
        </w:tc>
      </w:tr>
      <w:tr>
        <w:tc>
          <w:tcPr>
            <w:shd w:fill="FFFFFF" w:val="clear"/>
          </w:tcPr>
          <w:p>
            <w:r>
              <w:rPr>
                <w:rFonts w:ascii="Times New Roman" w:cs="Times New Roman" w:eastAsia="Times New Roman" w:hAnsi="Times New Roman"/>
                <w:color w:val="1F2937"/>
                <w:sz w:val="20"/>
                <w:szCs w:val="20"/>
              </w:rPr>
              <w:t xml:space="preserve">⬛ Faible</w:t>
            </w:r>
          </w:p>
        </w:tc>
        <w:tc>
          <w:tcPr>
            <w:shd w:fill="FFFFFF" w:val="clear"/>
          </w:tcPr>
          <w:p>
            <w:r>
              <w:rPr>
                <w:rFonts w:ascii="Times New Roman" w:cs="Times New Roman" w:eastAsia="Times New Roman" w:hAnsi="Times New Roman"/>
                <w:color w:val="1F2937"/>
                <w:sz w:val="20"/>
                <w:szCs w:val="20"/>
              </w:rPr>
              <w:t xml:space="preserve">Communication maintenue ; pas de plan précis ; exprime la souffrance mais pas d'intention immédiate.</w:t>
            </w:r>
          </w:p>
        </w:tc>
        <w:tc>
          <w:tcPr>
            <w:shd w:fill="FFFFFF" w:val="clear"/>
          </w:tcPr>
          <w:p>
            <w:r>
              <w:rPr>
                <w:rFonts w:ascii="Times New Roman" w:cs="Times New Roman" w:eastAsia="Times New Roman" w:hAnsi="Times New Roman"/>
                <w:color w:val="1F2937"/>
                <w:sz w:val="20"/>
                <w:szCs w:val="20"/>
              </w:rPr>
              <w:t xml:space="preserve">Écouter sans jugement, maintenir le lien ; orienter vers un professionnel de santé.</w:t>
            </w:r>
          </w:p>
        </w:tc>
      </w:tr>
      <w:tr>
        <w:tc>
          <w:tcPr>
            <w:shd w:fill="EEF2F7" w:val="clear"/>
          </w:tcPr>
          <w:p>
            <w:r>
              <w:rPr>
                <w:rFonts w:ascii="Times New Roman" w:cs="Times New Roman" w:eastAsia="Times New Roman" w:hAnsi="Times New Roman"/>
                <w:color w:val="1F2937"/>
                <w:sz w:val="20"/>
                <w:szCs w:val="20"/>
              </w:rPr>
              <w:t xml:space="preserve">🔶 Moyen</w:t>
            </w:r>
          </w:p>
        </w:tc>
        <w:tc>
          <w:tcPr>
            <w:shd w:fill="EEF2F7" w:val="clear"/>
          </w:tcPr>
          <w:p>
            <w:r>
              <w:rPr>
                <w:rFonts w:ascii="Times New Roman" w:cs="Times New Roman" w:eastAsia="Times New Roman" w:hAnsi="Times New Roman"/>
                <w:color w:val="1F2937"/>
                <w:sz w:val="20"/>
                <w:szCs w:val="20"/>
              </w:rPr>
              <w:t xml:space="preserve">Intention claire mais différée ; voit le suicide comme seule issue ; peut avoir un plan flou.</w:t>
            </w:r>
          </w:p>
        </w:tc>
        <w:tc>
          <w:tcPr>
            <w:shd w:fill="EEF2F7" w:val="clear"/>
          </w:tcPr>
          <w:p>
            <w:r>
              <w:rPr>
                <w:rFonts w:ascii="Times New Roman" w:cs="Times New Roman" w:eastAsia="Times New Roman" w:hAnsi="Times New Roman"/>
                <w:color w:val="1F2937"/>
                <w:sz w:val="20"/>
                <w:szCs w:val="20"/>
              </w:rPr>
              <w:t xml:space="preserve">Suivi rapproché ; contacter le médecin ou psychiatre référent ; ne pas laisser seul.</w:t>
            </w:r>
          </w:p>
        </w:tc>
      </w:tr>
      <w:tr>
        <w:tc>
          <w:tcPr>
            <w:shd w:fill="FEE2E2" w:val="clear"/>
          </w:tcPr>
          <w:p>
            <w:r>
              <w:rPr>
                <w:rFonts w:ascii="Times New Roman" w:cs="Times New Roman" w:eastAsia="Times New Roman" w:hAnsi="Times New Roman"/>
                <w:color w:val="1F2937"/>
                <w:sz w:val="20"/>
                <w:szCs w:val="20"/>
              </w:rPr>
              <w:t xml:space="preserve">🔴 Élevé</w:t>
            </w:r>
          </w:p>
        </w:tc>
        <w:tc>
          <w:tcPr>
            <w:shd w:fill="FEE2E2" w:val="clear"/>
          </w:tcPr>
          <w:p>
            <w:r>
              <w:rPr>
                <w:rFonts w:ascii="Times New Roman" w:cs="Times New Roman" w:eastAsia="Times New Roman" w:hAnsi="Times New Roman"/>
                <w:color w:val="1F2937"/>
                <w:sz w:val="20"/>
                <w:szCs w:val="20"/>
              </w:rPr>
              <w:t xml:space="preserve">Plan précis, délai imminent (jours), accès aux moyens, isolement total ; peut avoir dit au revoir.</w:t>
            </w:r>
          </w:p>
        </w:tc>
        <w:tc>
          <w:tcPr>
            <w:shd w:fill="FEE2E2" w:val="clear"/>
          </w:tcPr>
          <w:p>
            <w:r>
              <w:rPr>
                <w:rFonts w:ascii="Times New Roman" w:cs="Times New Roman" w:eastAsia="Times New Roman" w:hAnsi="Times New Roman"/>
                <w:color w:val="1F2937"/>
                <w:sz w:val="20"/>
                <w:szCs w:val="20"/>
              </w:rPr>
              <w:t xml:space="preserve">Orientation urgente (15 / 3114) ; hospitalisation à évaluer ; sécuriser les moyens.</w:t>
            </w:r>
          </w:p>
        </w:tc>
      </w:tr>
    </w:tbl>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5. Les six éléments à explorer en évaluation clinique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La Conférence de consensus ANAES 2000 (via infosuicide.org) identifie six éléments à explorer lors d'un entretien d'évaluation :</w:t>
      </w:r>
    </w:p>
    <w:p>
      <w:pPr>
        <w:spacing w:after="60" w:before="60"/>
      </w:pPr>
      <w:r>
        <w:rPr>
          <w:rFonts w:ascii="Times New Roman" w:cs="Times New Roman" w:eastAsia="Times New Roman" w:hAnsi="Times New Roman"/>
          <w:b w:val="false"/>
          <w:bCs w:val="false"/>
          <w:i w:val="false"/>
          <w:iCs w:val="false"/>
          <w:color w:val="1F2937"/>
          <w:sz w:val="22"/>
          <w:szCs w:val="22"/>
        </w:rPr>
        <w:t xml:space="preserve">1. Niveau de souffrance : désespoir, isolement, culpabilité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2. Degré d'intentionnalité et de planification (a-t-il/elle un plan ? une date ?)</w:t>
      </w:r>
    </w:p>
    <w:p>
      <w:pPr>
        <w:spacing w:after="60" w:before="60"/>
      </w:pPr>
      <w:r>
        <w:rPr>
          <w:rFonts w:ascii="Times New Roman" w:cs="Times New Roman" w:eastAsia="Times New Roman" w:hAnsi="Times New Roman"/>
          <w:b w:val="false"/>
          <w:bCs w:val="false"/>
          <w:i w:val="false"/>
          <w:iCs w:val="false"/>
          <w:color w:val="1F2937"/>
          <w:sz w:val="22"/>
          <w:szCs w:val="22"/>
        </w:rPr>
        <w:t xml:space="preserve">3. Éléments impulsifs et instabilité comportementale</w:t>
      </w:r>
    </w:p>
    <w:p>
      <w:pPr>
        <w:spacing w:after="60" w:before="60"/>
      </w:pPr>
      <w:r>
        <w:rPr>
          <w:rFonts w:ascii="Times New Roman" w:cs="Times New Roman" w:eastAsia="Times New Roman" w:hAnsi="Times New Roman"/>
          <w:b w:val="false"/>
          <w:bCs w:val="false"/>
          <w:i w:val="false"/>
          <w:iCs w:val="false"/>
          <w:color w:val="1F2937"/>
          <w:sz w:val="22"/>
          <w:szCs w:val="22"/>
        </w:rPr>
        <w:t xml:space="preserve">4. Événements précipitants récents (conflit, perte, rupture)</w:t>
      </w:r>
    </w:p>
    <w:p>
      <w:pPr>
        <w:spacing w:after="60" w:before="60"/>
      </w:pPr>
      <w:r>
        <w:rPr>
          <w:rFonts w:ascii="Times New Roman" w:cs="Times New Roman" w:eastAsia="Times New Roman" w:hAnsi="Times New Roman"/>
          <w:b w:val="false"/>
          <w:bCs w:val="false"/>
          <w:i w:val="false"/>
          <w:iCs w:val="false"/>
          <w:color w:val="1F2937"/>
          <w:sz w:val="22"/>
          <w:szCs w:val="22"/>
        </w:rPr>
        <w:t xml:space="preserve">5. Accès aux moyens létaux</w:t>
      </w:r>
    </w:p>
    <w:p>
      <w:pPr>
        <w:spacing w:after="60" w:before="60"/>
      </w:pPr>
      <w:r>
        <w:rPr>
          <w:rFonts w:ascii="Times New Roman" w:cs="Times New Roman" w:eastAsia="Times New Roman" w:hAnsi="Times New Roman"/>
          <w:b w:val="false"/>
          <w:bCs w:val="false"/>
          <w:i w:val="false"/>
          <w:iCs w:val="false"/>
          <w:color w:val="1F2937"/>
          <w:sz w:val="22"/>
          <w:szCs w:val="22"/>
        </w:rPr>
        <w:t xml:space="preserve">6. Qualité du soutien familial et social</w:t>
      </w:r>
    </w:p>
    <w:p>
      <w:pPr>
        <w:spacing w:after="40" w:before="40"/>
      </w:pPr>
      <w:r>
        <w:t xml:space="preserve"/>
      </w:r>
    </w:p>
    <w:p>
      <w:pPr>
        <w:shd w:fill="F3F4F6" w:val="clear"/>
        <w:spacing w:after="80" w:before="80"/>
        <w:ind w:left="480"/>
      </w:pPr>
      <w:r>
        <w:rPr>
          <w:rFonts w:ascii="Times New Roman" w:cs="Times New Roman" w:eastAsia="Times New Roman" w:hAnsi="Times New Roman"/>
          <w:i/>
          <w:iCs/>
          <w:color w:val="1B3A6B"/>
          <w:sz w:val="22"/>
          <w:szCs w:val="22"/>
        </w:rPr>
        <w:t xml:space="preserve">Règle de prudence clinique largement partagée (réaffirmée par la littérature clinique et la Conférence de consensus 2000) : poser directement la question sur les idées suicidaires N'AUGMENTE PAS le risque — au contraire, elle soulage souvent la personne en crise en brisant l'isolement du secret. La question directe est présentée comme un acte de première ligne légitime pour tout professionnel en contact avec la personne.</w:t>
      </w:r>
    </w:p>
    <w:p>
      <w:pPr>
        <w:pStyle w:val="Heading2"/>
        <w:spacing w:after="80" w:before="280"/>
      </w:pPr>
      <w:r>
        <w:rPr>
          <w:rFonts w:ascii="Times New Roman" w:cs="Times New Roman" w:eastAsia="Times New Roman" w:hAnsi="Times New Roman"/>
          <w:b/>
          <w:bCs/>
          <w:color w:val="1B3A6B"/>
          <w:sz w:val="30"/>
          <w:szCs w:val="30"/>
        </w:rPr>
        <w:t xml:space="preserve">🛠️ Pratique (80 %) — Trois exercices progressifs</w:t>
      </w:r>
    </w:p>
    <w:p>
      <w:pPr>
        <w:pStyle w:val="Heading3"/>
        <w:spacing w:after="60" w:before="200"/>
      </w:pPr>
      <w:r>
        <w:rPr>
          <w:rFonts w:ascii="Times New Roman" w:cs="Times New Roman" w:eastAsia="Times New Roman" w:hAnsi="Times New Roman"/>
          <w:b/>
          <w:bCs/>
          <w:color w:val="1F2937"/>
          <w:sz w:val="26"/>
          <w:szCs w:val="26"/>
        </w:rPr>
        <w:t xml:space="preserve">Exercice 1 — Identifier les signaux d'alerte (compréhension active)</w:t>
      </w:r>
    </w:p>
    <w:p>
      <w:pPr>
        <w:spacing w:after="60" w:before="60"/>
      </w:pPr>
      <w:r>
        <w:rPr>
          <w:rFonts w:ascii="Times New Roman" w:cs="Times New Roman" w:eastAsia="Times New Roman" w:hAnsi="Times New Roman"/>
          <w:b w:val="false"/>
          <w:bCs w:val="false"/>
          <w:i w:val="false"/>
          <w:iCs w:val="false"/>
          <w:color w:val="1F2937"/>
          <w:sz w:val="22"/>
          <w:szCs w:val="22"/>
        </w:rPr>
        <w:t xml:space="preserve">Parmi les observations suivantes, identifiez celles qui constituent des signaux d'alerte d'une crise suicidaire potentielle. Distinguez signaux verbaux et signaux comportementaux.</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a) « Je suis tellement fatigué de tout, la vie n'a plus aucun sens pour moi. »</w:t>
      </w:r>
    </w:p>
    <w:p>
      <w:pPr>
        <w:spacing w:after="60" w:before="60"/>
      </w:pPr>
      <w:r>
        <w:rPr>
          <w:rFonts w:ascii="Times New Roman" w:cs="Times New Roman" w:eastAsia="Times New Roman" w:hAnsi="Times New Roman"/>
          <w:b w:val="false"/>
          <w:bCs w:val="false"/>
          <w:i w:val="false"/>
          <w:iCs w:val="false"/>
          <w:color w:val="1F2937"/>
          <w:sz w:val="22"/>
          <w:szCs w:val="22"/>
        </w:rPr>
        <w:t xml:space="preserve">b) Une personne accueillie distribue ses affaires préférées à ses pairs de manière inhabituelle et spontanée.</w:t>
      </w:r>
    </w:p>
    <w:p>
      <w:pPr>
        <w:spacing w:after="60" w:before="60"/>
      </w:pPr>
      <w:r>
        <w:rPr>
          <w:rFonts w:ascii="Times New Roman" w:cs="Times New Roman" w:eastAsia="Times New Roman" w:hAnsi="Times New Roman"/>
          <w:b w:val="false"/>
          <w:bCs w:val="false"/>
          <w:i w:val="false"/>
          <w:iCs w:val="false"/>
          <w:color w:val="1F2937"/>
          <w:sz w:val="22"/>
          <w:szCs w:val="22"/>
        </w:rPr>
        <w:t xml:space="preserve">c) Une personne fait état d'insomnies sévères depuis trois semaines.</w:t>
      </w:r>
    </w:p>
    <w:p>
      <w:pPr>
        <w:spacing w:after="60" w:before="60"/>
      </w:pPr>
      <w:r>
        <w:rPr>
          <w:rFonts w:ascii="Times New Roman" w:cs="Times New Roman" w:eastAsia="Times New Roman" w:hAnsi="Times New Roman"/>
          <w:b w:val="false"/>
          <w:bCs w:val="false"/>
          <w:i w:val="false"/>
          <w:iCs w:val="false"/>
          <w:color w:val="1F2937"/>
          <w:sz w:val="22"/>
          <w:szCs w:val="22"/>
        </w:rPr>
        <w:t xml:space="preserve">d) « Vous verrez, ça ira mieux — mais là, je n'en peux vraiment plus. »</w:t>
      </w:r>
    </w:p>
    <w:p>
      <w:pPr>
        <w:spacing w:after="60" w:before="60"/>
      </w:pPr>
      <w:r>
        <w:rPr>
          <w:rFonts w:ascii="Times New Roman" w:cs="Times New Roman" w:eastAsia="Times New Roman" w:hAnsi="Times New Roman"/>
          <w:b w:val="false"/>
          <w:bCs w:val="false"/>
          <w:i w:val="false"/>
          <w:iCs w:val="false"/>
          <w:color w:val="1F2937"/>
          <w:sz w:val="22"/>
          <w:szCs w:val="22"/>
        </w:rPr>
        <w:t xml:space="preserve">e) Une personne refuse de participer aux activités depuis dix jours et ne répond plus aux sollicitations de l'équipe.</w:t>
      </w:r>
    </w:p>
    <w:p>
      <w:pPr>
        <w:spacing w:after="60" w:before="60"/>
      </w:pPr>
      <w:r>
        <w:rPr>
          <w:rFonts w:ascii="Times New Roman" w:cs="Times New Roman" w:eastAsia="Times New Roman" w:hAnsi="Times New Roman"/>
          <w:b w:val="false"/>
          <w:bCs w:val="false"/>
          <w:i w:val="false"/>
          <w:iCs w:val="false"/>
          <w:color w:val="1F2937"/>
          <w:sz w:val="22"/>
          <w:szCs w:val="22"/>
        </w:rPr>
        <w:t xml:space="preserve">f) « De toute façon, vous n'aurez pas besoin de vous inquiéter pour moi bien longtemps.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1</w:t>
      </w:r>
    </w:p>
    <w:p>
      <w:pPr>
        <w:spacing w:after="60" w:before="60"/>
      </w:pPr>
      <w:r>
        <w:rPr>
          <w:rFonts w:ascii="Times New Roman" w:cs="Times New Roman" w:eastAsia="Times New Roman" w:hAnsi="Times New Roman"/>
          <w:b w:val="false"/>
          <w:bCs w:val="false"/>
          <w:i w:val="false"/>
          <w:iCs w:val="false"/>
          <w:color w:val="1F2937"/>
          <w:sz w:val="22"/>
          <w:szCs w:val="22"/>
        </w:rPr>
        <w:t xml:space="preserve">Signaux verbaux d'alerte :</w:t>
      </w:r>
    </w:p>
    <w:p>
      <w:pPr>
        <w:spacing w:after="60" w:before="60"/>
      </w:pPr>
      <w:r>
        <w:rPr>
          <w:rFonts w:ascii="Times New Roman" w:cs="Times New Roman" w:eastAsia="Times New Roman" w:hAnsi="Times New Roman"/>
          <w:b w:val="false"/>
          <w:bCs w:val="false"/>
          <w:i w:val="false"/>
          <w:iCs w:val="false"/>
          <w:color w:val="1F2937"/>
          <w:sz w:val="22"/>
          <w:szCs w:val="22"/>
        </w:rPr>
        <w:t xml:space="preserve">(a) — expression directe du désespoir et de la perte de sens. Signal verbal fort.</w:t>
      </w:r>
    </w:p>
    <w:p>
      <w:pPr>
        <w:spacing w:after="60" w:before="60"/>
      </w:pPr>
      <w:r>
        <w:rPr>
          <w:rFonts w:ascii="Times New Roman" w:cs="Times New Roman" w:eastAsia="Times New Roman" w:hAnsi="Times New Roman"/>
          <w:b w:val="false"/>
          <w:bCs w:val="false"/>
          <w:i w:val="false"/>
          <w:iCs w:val="false"/>
          <w:color w:val="1F2937"/>
          <w:sz w:val="22"/>
          <w:szCs w:val="22"/>
        </w:rPr>
        <w:t xml:space="preserve">(d) — ambivalence exprimée : « ça ira mieux » et « je n'en peux plus ». La minimisation n'efface pas le signal — elle peut même le renforcer.</w:t>
      </w:r>
    </w:p>
    <w:p>
      <w:pPr>
        <w:spacing w:after="60" w:before="60"/>
      </w:pPr>
      <w:r>
        <w:rPr>
          <w:rFonts w:ascii="Times New Roman" w:cs="Times New Roman" w:eastAsia="Times New Roman" w:hAnsi="Times New Roman"/>
          <w:b w:val="false"/>
          <w:bCs w:val="false"/>
          <w:i w:val="false"/>
          <w:iCs w:val="false"/>
          <w:color w:val="1F2937"/>
          <w:sz w:val="22"/>
          <w:szCs w:val="22"/>
        </w:rPr>
        <w:t xml:space="preserve">(f) — formulation à double sens (« bien longtemps »). Signal indirect, mais significatif : à ne pas laisser passer sans une question directe de suivi.</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Signaux comportementaux d'alerte :</w:t>
      </w:r>
    </w:p>
    <w:p>
      <w:pPr>
        <w:spacing w:after="60" w:before="60"/>
      </w:pPr>
      <w:r>
        <w:rPr>
          <w:rFonts w:ascii="Times New Roman" w:cs="Times New Roman" w:eastAsia="Times New Roman" w:hAnsi="Times New Roman"/>
          <w:b w:val="false"/>
          <w:bCs w:val="false"/>
          <w:i w:val="false"/>
          <w:iCs w:val="false"/>
          <w:color w:val="1F2937"/>
          <w:sz w:val="22"/>
          <w:szCs w:val="22"/>
        </w:rPr>
        <w:t xml:space="preserve">(b) — don d'objets personnels : comportement classiquement associé à une préparation. Signal comportemental fort.</w:t>
      </w:r>
    </w:p>
    <w:p>
      <w:pPr>
        <w:spacing w:after="60" w:before="60"/>
      </w:pPr>
      <w:r>
        <w:rPr>
          <w:rFonts w:ascii="Times New Roman" w:cs="Times New Roman" w:eastAsia="Times New Roman" w:hAnsi="Times New Roman"/>
          <w:b w:val="false"/>
          <w:bCs w:val="false"/>
          <w:i w:val="false"/>
          <w:iCs w:val="false"/>
          <w:color w:val="1F2937"/>
          <w:sz w:val="22"/>
          <w:szCs w:val="22"/>
        </w:rPr>
        <w:t xml:space="preserve">(e) — retrait social massif et rupture comportementale (dix jours sans participation). Signal comportemental à évaluer.</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Point particulier — (c) : l'insomnie sévère est un facteur de risque connu (voir section théorique), non un signal d'alerte direct de passage à l'acte imminent. Elle doit conduire à une vigilance accrue et à une orientation vers le médecin, mais ne constitue pas en elle-même un signal d'urgence suicidaire.</w:t>
      </w:r>
    </w:p>
    <w:p>
      <w:pPr>
        <w:shd w:fill="F3F4F6" w:val="clear"/>
        <w:spacing w:after="80" w:before="80"/>
        <w:ind w:left="480"/>
      </w:pPr>
      <w:r>
        <w:rPr>
          <w:rFonts w:ascii="Times New Roman" w:cs="Times New Roman" w:eastAsia="Times New Roman" w:hAnsi="Times New Roman"/>
          <w:i/>
          <w:iCs/>
          <w:color w:val="1B3A6B"/>
          <w:sz w:val="22"/>
          <w:szCs w:val="22"/>
        </w:rPr>
        <w:t xml:space="preserve">Vérification C1 (théorie → corrigé) : la théorie liste l'insomnie comme facteur de risque et l'isolement social comme signal d'alerte comportemental. Le corrigé les distingue exactement dans ce sens.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Exercice 2 — Appliquer la grille RUD à une vignette clinique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Vignette — M. A., 38 ans, accompagné dans votre foyer d'hébergement depuis 5 ans. Depuis deux semaines, retrait social important. Il a dit à un éducateur : « Je pense souvent que tout serait plus simple si j'avais un accident. J'ai des comprimés chez moi que j'ai mis de côté depuis deux mois. » Il dit ne pas avoir encore de date précise. Antécédents : une tentative de suicide il y a 4 ans.</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 est le niveau de Risque (R) ? Justifiez.</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 est le niveau d'Urgence (U) ? Justifiez.</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 est le niveau de Dangerosité (D) ? Justifiez.</w:t>
      </w:r>
    </w:p>
    <w:p>
      <w:pPr>
        <w:spacing w:after="60" w:before="60"/>
      </w:pPr>
      <w:r>
        <w:rPr>
          <w:rFonts w:ascii="Times New Roman" w:cs="Times New Roman" w:eastAsia="Times New Roman" w:hAnsi="Times New Roman"/>
          <w:b w:val="false"/>
          <w:bCs w:val="false"/>
          <w:i w:val="false"/>
          <w:iCs w:val="false"/>
          <w:color w:val="1F2937"/>
          <w:sz w:val="22"/>
          <w:szCs w:val="22"/>
        </w:rPr>
        <w:t xml:space="preserve">• Quelle conduite à tenir recommanderiez-vous à l'équipe éducative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2</w:t>
      </w:r>
    </w:p>
    <w:p>
      <w:pPr>
        <w:spacing w:after="60" w:before="60"/>
      </w:pPr>
      <w:r>
        <w:rPr>
          <w:rFonts w:ascii="Times New Roman" w:cs="Times New Roman" w:eastAsia="Times New Roman" w:hAnsi="Times New Roman"/>
          <w:b w:val="false"/>
          <w:bCs w:val="false"/>
          <w:i w:val="false"/>
          <w:iCs w:val="false"/>
          <w:color w:val="1F2937"/>
          <w:sz w:val="22"/>
          <w:szCs w:val="22"/>
        </w:rPr>
        <w:t xml:space="preserve">R — Risque (élevé) :</w:t>
      </w:r>
    </w:p>
    <w:p>
      <w:pPr>
        <w:spacing w:after="60" w:before="60"/>
      </w:pPr>
      <w:r>
        <w:rPr>
          <w:rFonts w:ascii="Times New Roman" w:cs="Times New Roman" w:eastAsia="Times New Roman" w:hAnsi="Times New Roman"/>
          <w:b w:val="false"/>
          <w:bCs w:val="false"/>
          <w:i w:val="false"/>
          <w:iCs w:val="false"/>
          <w:color w:val="1F2937"/>
          <w:sz w:val="22"/>
          <w:szCs w:val="22"/>
        </w:rPr>
        <w:t xml:space="preserve">Facteurs présents et cumulés : antécédent de tentative de suicide (le facteur le plus prédictif) + retrait social + désespoir exprimé + stockage préventif de moyens létaux. L'accumulation de ces facteurs justifie un niveau de risque élevé.</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U — Urgence (moyen à élevé) :</w:t>
      </w:r>
    </w:p>
    <w:p>
      <w:pPr>
        <w:spacing w:after="60" w:before="60"/>
      </w:pPr>
      <w:r>
        <w:rPr>
          <w:rFonts w:ascii="Times New Roman" w:cs="Times New Roman" w:eastAsia="Times New Roman" w:hAnsi="Times New Roman"/>
          <w:b w:val="false"/>
          <w:bCs w:val="false"/>
          <w:i w:val="false"/>
          <w:iCs w:val="false"/>
          <w:color w:val="1F2937"/>
          <w:sz w:val="22"/>
          <w:szCs w:val="22"/>
        </w:rPr>
        <w:t xml:space="preserve">Intention exprimée de manière indirecte (« si j'avais un accident ») mais réelle. Absence de date précise annoncée — ce qui écarte l'urgence maximale immédiate — mais l'absence de date ne signifie pas l'absence d'intention. La préparation (comprimés mis de côté) dépasse la pensée et passe à l'acte de préparation.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D — Dangerosité (élevée) :</w:t>
      </w:r>
    </w:p>
    <w:p>
      <w:pPr>
        <w:spacing w:after="60" w:before="60"/>
      </w:pPr>
      <w:r>
        <w:rPr>
          <w:rFonts w:ascii="Times New Roman" w:cs="Times New Roman" w:eastAsia="Times New Roman" w:hAnsi="Times New Roman"/>
          <w:b w:val="false"/>
          <w:bCs w:val="false"/>
          <w:i w:val="false"/>
          <w:iCs w:val="false"/>
          <w:color w:val="1F2937"/>
          <w:sz w:val="22"/>
          <w:szCs w:val="22"/>
        </w:rPr>
        <w:t xml:space="preserve">Scénario avec moyens réels disponibles et préparés depuis deux mois. Le stockage de médicaments constitue une planification, même sans date fixe. La létalité dépend du type de médicament, mais l'accès aux moyens est le critère central de la dangerosité.</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Conduite à tenir (usage de terrain, règle de prudence professionnelle) :</w:t>
      </w:r>
    </w:p>
    <w:p>
      <w:pPr>
        <w:spacing w:after="60" w:before="60"/>
      </w:pPr>
      <w:r>
        <w:rPr>
          <w:rFonts w:ascii="Times New Roman" w:cs="Times New Roman" w:eastAsia="Times New Roman" w:hAnsi="Times New Roman"/>
          <w:b w:val="false"/>
          <w:bCs w:val="false"/>
          <w:i w:val="false"/>
          <w:iCs w:val="false"/>
          <w:color w:val="1F2937"/>
          <w:sz w:val="22"/>
          <w:szCs w:val="22"/>
        </w:rPr>
        <w:t xml:space="preserve">1. Maintenir le contact : écouter sans minimiser, rester présent.</w:t>
      </w:r>
    </w:p>
    <w:p>
      <w:pPr>
        <w:spacing w:after="60" w:before="60"/>
      </w:pPr>
      <w:r>
        <w:rPr>
          <w:rFonts w:ascii="Times New Roman" w:cs="Times New Roman" w:eastAsia="Times New Roman" w:hAnsi="Times New Roman"/>
          <w:b w:val="false"/>
          <w:bCs w:val="false"/>
          <w:i w:val="false"/>
          <w:iCs w:val="false"/>
          <w:color w:val="1F2937"/>
          <w:sz w:val="22"/>
          <w:szCs w:val="22"/>
        </w:rPr>
        <w:t xml:space="preserve">2. Alerter immédiatement : responsable de service → médecin référent ou psychiatre.</w:t>
      </w:r>
    </w:p>
    <w:p>
      <w:pPr>
        <w:spacing w:after="60" w:before="60"/>
      </w:pPr>
      <w:r>
        <w:rPr>
          <w:rFonts w:ascii="Times New Roman" w:cs="Times New Roman" w:eastAsia="Times New Roman" w:hAnsi="Times New Roman"/>
          <w:b w:val="false"/>
          <w:bCs w:val="false"/>
          <w:i w:val="false"/>
          <w:iCs w:val="false"/>
          <w:color w:val="1F2937"/>
          <w:sz w:val="22"/>
          <w:szCs w:val="22"/>
        </w:rPr>
        <w:t xml:space="preserve">3. Sécuriser les moyens : demander (ou faire demander par le médecin) le retrait des médicaments stockés.</w:t>
      </w:r>
    </w:p>
    <w:p>
      <w:pPr>
        <w:spacing w:after="60" w:before="60"/>
      </w:pPr>
      <w:r>
        <w:rPr>
          <w:rFonts w:ascii="Times New Roman" w:cs="Times New Roman" w:eastAsia="Times New Roman" w:hAnsi="Times New Roman"/>
          <w:b w:val="false"/>
          <w:bCs w:val="false"/>
          <w:i w:val="false"/>
          <w:iCs w:val="false"/>
          <w:color w:val="1F2937"/>
          <w:sz w:val="22"/>
          <w:szCs w:val="22"/>
        </w:rPr>
        <w:t xml:space="preserve">4. Contacter le 3114 si aucun professionnel de santé n'est joignable rapidement.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5. Ne pas laisser M. A. seul le temps que la prise en charge se mette en place.</w:t>
      </w:r>
    </w:p>
    <w:p>
      <w:pPr>
        <w:spacing w:after="60" w:before="60"/>
      </w:pPr>
      <w:r>
        <w:rPr>
          <w:rFonts w:ascii="Times New Roman" w:cs="Times New Roman" w:eastAsia="Times New Roman" w:hAnsi="Times New Roman"/>
          <w:b w:val="false"/>
          <w:bCs w:val="false"/>
          <w:i w:val="false"/>
          <w:iCs w:val="false"/>
          <w:color w:val="1F2937"/>
          <w:sz w:val="22"/>
          <w:szCs w:val="22"/>
        </w:rPr>
        <w:t xml:space="preserve">6. Documenter factuellement : heure, mots exacts, comportements observés.</w:t>
      </w:r>
    </w:p>
    <w:p>
      <w:pPr>
        <w:shd w:fill="F3F4F6" w:val="clear"/>
        <w:spacing w:after="80" w:before="80"/>
        <w:ind w:left="480"/>
      </w:pPr>
      <w:r>
        <w:rPr>
          <w:rFonts w:ascii="Times New Roman" w:cs="Times New Roman" w:eastAsia="Times New Roman" w:hAnsi="Times New Roman"/>
          <w:i/>
          <w:iCs/>
          <w:color w:val="1B3A6B"/>
          <w:sz w:val="22"/>
          <w:szCs w:val="22"/>
        </w:rPr>
        <w:t xml:space="preserve">⚠️ L'équipe éducative n'évalue pas le potentiel suicidaire — elle observe, sécurise, alerte et accompagne. La grille RUD est présentée ici pour comprendre comment pense le professionnel de santé que vous appelez, non pour s'y substituer.</w:t>
      </w:r>
    </w:p>
    <w:p>
      <w:pPr>
        <w:shd w:fill="F3F4F6" w:val="clear"/>
        <w:spacing w:after="80" w:before="80"/>
        <w:ind w:left="480"/>
      </w:pPr>
      <w:r>
        <w:rPr>
          <w:rFonts w:ascii="Times New Roman" w:cs="Times New Roman" w:eastAsia="Times New Roman" w:hAnsi="Times New Roman"/>
          <w:i/>
          <w:iCs/>
          <w:color w:val="1B3A6B"/>
          <w:sz w:val="22"/>
          <w:szCs w:val="22"/>
        </w:rPr>
        <w:t xml:space="preserve">Vérification C1 : le corrigé utilise exactement les catégories R/U/D définies en section 4, avec les mêmes critères. ✅
Vérification C2 (sens inverse) : le corrigé dit « antécédent de tentative = facteur le plus prédictif » — la théorie section 3 l'énonce en tête de liste.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Exercice 3 — Rôles : équipe éducative vs professionnel de santé</w:t>
      </w:r>
    </w:p>
    <w:p>
      <w:pPr>
        <w:spacing w:after="60" w:before="60"/>
      </w:pPr>
      <w:r>
        <w:rPr>
          <w:rFonts w:ascii="Times New Roman" w:cs="Times New Roman" w:eastAsia="Times New Roman" w:hAnsi="Times New Roman"/>
          <w:b w:val="false"/>
          <w:bCs w:val="false"/>
          <w:i w:val="false"/>
          <w:iCs w:val="false"/>
          <w:color w:val="1F2937"/>
          <w:sz w:val="22"/>
          <w:szCs w:val="22"/>
        </w:rPr>
        <w:t xml:space="preserve">Pour chacune des actions suivantes, indiquez si elle relève de l'équipe éducative (EE), du professionnel de santé (PS), ou des deux. Justifiez.</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a) Évaluer formellement le niveau d'urgence suicidaire via la grille RUD</w:t>
      </w:r>
    </w:p>
    <w:p>
      <w:pPr>
        <w:spacing w:after="60" w:before="60"/>
      </w:pPr>
      <w:r>
        <w:rPr>
          <w:rFonts w:ascii="Times New Roman" w:cs="Times New Roman" w:eastAsia="Times New Roman" w:hAnsi="Times New Roman"/>
          <w:b w:val="false"/>
          <w:bCs w:val="false"/>
          <w:i w:val="false"/>
          <w:iCs w:val="false"/>
          <w:color w:val="1F2937"/>
          <w:sz w:val="22"/>
          <w:szCs w:val="22"/>
        </w:rPr>
        <w:t xml:space="preserve">b) Écouter sans jugement et maintenir le lien avec la personne</w:t>
      </w:r>
    </w:p>
    <w:p>
      <w:pPr>
        <w:spacing w:after="60" w:before="60"/>
      </w:pPr>
      <w:r>
        <w:rPr>
          <w:rFonts w:ascii="Times New Roman" w:cs="Times New Roman" w:eastAsia="Times New Roman" w:hAnsi="Times New Roman"/>
          <w:b w:val="false"/>
          <w:bCs w:val="false"/>
          <w:i w:val="false"/>
          <w:iCs w:val="false"/>
          <w:color w:val="1F2937"/>
          <w:sz w:val="22"/>
          <w:szCs w:val="22"/>
        </w:rPr>
        <w:t xml:space="preserve">c) Contacter le 3114</w:t>
      </w:r>
    </w:p>
    <w:p>
      <w:pPr>
        <w:spacing w:after="60" w:before="60"/>
      </w:pPr>
      <w:r>
        <w:rPr>
          <w:rFonts w:ascii="Times New Roman" w:cs="Times New Roman" w:eastAsia="Times New Roman" w:hAnsi="Times New Roman"/>
          <w:b w:val="false"/>
          <w:bCs w:val="false"/>
          <w:i w:val="false"/>
          <w:iCs w:val="false"/>
          <w:color w:val="1F2937"/>
          <w:sz w:val="22"/>
          <w:szCs w:val="22"/>
        </w:rPr>
        <w:t xml:space="preserve">d) Prescrire ou modifier un traitement médicamenteux</w:t>
      </w:r>
    </w:p>
    <w:p>
      <w:pPr>
        <w:spacing w:after="60" w:before="60"/>
      </w:pPr>
      <w:r>
        <w:rPr>
          <w:rFonts w:ascii="Times New Roman" w:cs="Times New Roman" w:eastAsia="Times New Roman" w:hAnsi="Times New Roman"/>
          <w:b w:val="false"/>
          <w:bCs w:val="false"/>
          <w:i w:val="false"/>
          <w:iCs w:val="false"/>
          <w:color w:val="1F2937"/>
          <w:sz w:val="22"/>
          <w:szCs w:val="22"/>
        </w:rPr>
        <w:t xml:space="preserve">e) Observer et noter des changements comportementaux inhabituels</w:t>
      </w:r>
    </w:p>
    <w:p>
      <w:pPr>
        <w:spacing w:after="60" w:before="60"/>
      </w:pPr>
      <w:r>
        <w:rPr>
          <w:rFonts w:ascii="Times New Roman" w:cs="Times New Roman" w:eastAsia="Times New Roman" w:hAnsi="Times New Roman"/>
          <w:b w:val="false"/>
          <w:bCs w:val="false"/>
          <w:i w:val="false"/>
          <w:iCs w:val="false"/>
          <w:color w:val="1F2937"/>
          <w:sz w:val="22"/>
          <w:szCs w:val="22"/>
        </w:rPr>
        <w:t xml:space="preserve">f) Demander la sécurisation de l'accès aux moyens létaux</w:t>
      </w:r>
    </w:p>
    <w:p>
      <w:pPr>
        <w:spacing w:after="60" w:before="60"/>
      </w:pPr>
      <w:r>
        <w:rPr>
          <w:rFonts w:ascii="Times New Roman" w:cs="Times New Roman" w:eastAsia="Times New Roman" w:hAnsi="Times New Roman"/>
          <w:b w:val="false"/>
          <w:bCs w:val="false"/>
          <w:i w:val="false"/>
          <w:iCs w:val="false"/>
          <w:color w:val="1F2937"/>
          <w:sz w:val="22"/>
          <w:szCs w:val="22"/>
        </w:rPr>
        <w:t xml:space="preserve">g) Poser directement la question : « Est-ce que tu as des idées de te faire du mal ?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exercice 3</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0%"/>
            <w:shd w:fill="1B3A6B" w:val="clear"/>
          </w:tcPr>
          <w:p>
            <w:pPr>
              <w:jc w:val="center"/>
            </w:pPr>
            <w:r>
              <w:rPr>
                <w:rFonts w:ascii="Times New Roman" w:cs="Times New Roman" w:eastAsia="Times New Roman" w:hAnsi="Times New Roman"/>
                <w:b/>
                <w:bCs/>
                <w:color w:val="FFFFFF"/>
                <w:sz w:val="20"/>
                <w:szCs w:val="20"/>
              </w:rPr>
              <w:t xml:space="preserve">Action</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Rôle</w:t>
            </w:r>
          </w:p>
        </w:tc>
        <w:tc>
          <w:tcPr>
            <w:tcW w:type="pct" w:w="40%"/>
            <w:shd w:fill="1B3A6B" w:val="clear"/>
          </w:tcPr>
          <w:p>
            <w:pPr>
              <w:jc w:val="center"/>
            </w:pPr>
            <w:r>
              <w:rPr>
                <w:rFonts w:ascii="Times New Roman" w:cs="Times New Roman" w:eastAsia="Times New Roman" w:hAnsi="Times New Roman"/>
                <w:b/>
                <w:bCs/>
                <w:color w:val="FFFFFF"/>
                <w:sz w:val="20"/>
                <w:szCs w:val="20"/>
              </w:rPr>
              <w:t xml:space="preserve">Justification</w:t>
            </w:r>
          </w:p>
        </w:tc>
      </w:tr>
      <w:tr>
        <w:tc>
          <w:tcPr>
            <w:shd w:fill="FFFFFF" w:val="clear"/>
          </w:tcPr>
          <w:p>
            <w:r>
              <w:rPr>
                <w:rFonts w:ascii="Times New Roman" w:cs="Times New Roman" w:eastAsia="Times New Roman" w:hAnsi="Times New Roman"/>
                <w:color w:val="1F2937"/>
                <w:sz w:val="20"/>
                <w:szCs w:val="20"/>
              </w:rPr>
              <w:t xml:space="preserve">a) Évaluer via la grille RUD</w:t>
            </w:r>
          </w:p>
        </w:tc>
        <w:tc>
          <w:tcPr>
            <w:shd w:fill="FFFFFF" w:val="clear"/>
          </w:tcPr>
          <w:p>
            <w:r>
              <w:rPr>
                <w:rFonts w:ascii="Times New Roman" w:cs="Times New Roman" w:eastAsia="Times New Roman" w:hAnsi="Times New Roman"/>
                <w:color w:val="1F2937"/>
                <w:sz w:val="20"/>
                <w:szCs w:val="20"/>
              </w:rPr>
              <w:t xml:space="preserve">PS uniquement</w:t>
            </w:r>
          </w:p>
        </w:tc>
        <w:tc>
          <w:tcPr>
            <w:shd w:fill="FFFFFF" w:val="clear"/>
          </w:tcPr>
          <w:p>
            <w:r>
              <w:rPr>
                <w:rFonts w:ascii="Times New Roman" w:cs="Times New Roman" w:eastAsia="Times New Roman" w:hAnsi="Times New Roman"/>
                <w:color w:val="1F2937"/>
                <w:sz w:val="20"/>
                <w:szCs w:val="20"/>
              </w:rPr>
              <w:t xml:space="preserve">Évaluation clinique formelle : psychiatre ou médecin formé</w:t>
            </w:r>
          </w:p>
        </w:tc>
      </w:tr>
      <w:tr>
        <w:tc>
          <w:tcPr>
            <w:shd w:fill="EEF2F7" w:val="clear"/>
          </w:tcPr>
          <w:p>
            <w:r>
              <w:rPr>
                <w:rFonts w:ascii="Times New Roman" w:cs="Times New Roman" w:eastAsia="Times New Roman" w:hAnsi="Times New Roman"/>
                <w:color w:val="1F2937"/>
                <w:sz w:val="20"/>
                <w:szCs w:val="20"/>
              </w:rPr>
              <w:t xml:space="preserve">b) Écoute sans jugement</w:t>
            </w:r>
          </w:p>
        </w:tc>
        <w:tc>
          <w:tcPr>
            <w:shd w:fill="EEF2F7" w:val="clear"/>
          </w:tcPr>
          <w:p>
            <w:r>
              <w:rPr>
                <w:rFonts w:ascii="Times New Roman" w:cs="Times New Roman" w:eastAsia="Times New Roman" w:hAnsi="Times New Roman"/>
                <w:color w:val="1F2937"/>
                <w:sz w:val="20"/>
                <w:szCs w:val="20"/>
              </w:rPr>
              <w:t xml:space="preserve">EE</w:t>
            </w:r>
          </w:p>
        </w:tc>
        <w:tc>
          <w:tcPr>
            <w:shd w:fill="EEF2F7" w:val="clear"/>
          </w:tcPr>
          <w:p>
            <w:r>
              <w:rPr>
                <w:rFonts w:ascii="Times New Roman" w:cs="Times New Roman" w:eastAsia="Times New Roman" w:hAnsi="Times New Roman"/>
                <w:color w:val="1F2937"/>
                <w:sz w:val="20"/>
                <w:szCs w:val="20"/>
              </w:rPr>
              <w:t xml:space="preserve">Compétence relationnelle de l'équipe éducative</w:t>
            </w:r>
          </w:p>
        </w:tc>
      </w:tr>
      <w:tr>
        <w:tc>
          <w:tcPr>
            <w:shd w:fill="FFFFFF" w:val="clear"/>
          </w:tcPr>
          <w:p>
            <w:r>
              <w:rPr>
                <w:rFonts w:ascii="Times New Roman" w:cs="Times New Roman" w:eastAsia="Times New Roman" w:hAnsi="Times New Roman"/>
                <w:color w:val="1F2937"/>
                <w:sz w:val="20"/>
                <w:szCs w:val="20"/>
              </w:rPr>
              <w:t xml:space="preserve">c) Contacter le 3114</w:t>
            </w:r>
          </w:p>
        </w:tc>
        <w:tc>
          <w:tcPr>
            <w:shd w:fill="FFFFFF" w:val="clear"/>
          </w:tcPr>
          <w:p>
            <w:r>
              <w:rPr>
                <w:rFonts w:ascii="Times New Roman" w:cs="Times New Roman" w:eastAsia="Times New Roman" w:hAnsi="Times New Roman"/>
                <w:color w:val="1F2937"/>
                <w:sz w:val="20"/>
                <w:szCs w:val="20"/>
              </w:rPr>
              <w:t xml:space="preserve">EE + PS</w:t>
            </w:r>
          </w:p>
        </w:tc>
        <w:tc>
          <w:tcPr>
            <w:shd w:fill="FFFFFF" w:val="clear"/>
          </w:tcPr>
          <w:p>
            <w:r>
              <w:rPr>
                <w:rFonts w:ascii="Times New Roman" w:cs="Times New Roman" w:eastAsia="Times New Roman" w:hAnsi="Times New Roman"/>
                <w:color w:val="1F2937"/>
                <w:sz w:val="20"/>
                <w:szCs w:val="20"/>
              </w:rPr>
              <w:t xml:space="preserve">Ligne accessible à tous les professionnels</w:t>
            </w:r>
          </w:p>
        </w:tc>
      </w:tr>
      <w:tr>
        <w:tc>
          <w:tcPr>
            <w:shd w:fill="EEF2F7" w:val="clear"/>
          </w:tcPr>
          <w:p>
            <w:r>
              <w:rPr>
                <w:rFonts w:ascii="Times New Roman" w:cs="Times New Roman" w:eastAsia="Times New Roman" w:hAnsi="Times New Roman"/>
                <w:color w:val="1F2937"/>
                <w:sz w:val="20"/>
                <w:szCs w:val="20"/>
              </w:rPr>
              <w:t xml:space="preserve">d) Modifier un traitement</w:t>
            </w:r>
          </w:p>
        </w:tc>
        <w:tc>
          <w:tcPr>
            <w:shd w:fill="EEF2F7" w:val="clear"/>
          </w:tcPr>
          <w:p>
            <w:r>
              <w:rPr>
                <w:rFonts w:ascii="Times New Roman" w:cs="Times New Roman" w:eastAsia="Times New Roman" w:hAnsi="Times New Roman"/>
                <w:color w:val="1F2937"/>
                <w:sz w:val="20"/>
                <w:szCs w:val="20"/>
              </w:rPr>
              <w:t xml:space="preserve">PS uniquement</w:t>
            </w:r>
          </w:p>
        </w:tc>
        <w:tc>
          <w:tcPr>
            <w:shd w:fill="EEF2F7" w:val="clear"/>
          </w:tcPr>
          <w:p>
            <w:r>
              <w:rPr>
                <w:rFonts w:ascii="Times New Roman" w:cs="Times New Roman" w:eastAsia="Times New Roman" w:hAnsi="Times New Roman"/>
                <w:color w:val="1F2937"/>
                <w:sz w:val="20"/>
                <w:szCs w:val="20"/>
              </w:rPr>
              <w:t xml:space="preserve">Acte médical exclusif</w:t>
            </w:r>
          </w:p>
        </w:tc>
      </w:tr>
      <w:tr>
        <w:tc>
          <w:tcPr>
            <w:shd w:fill="FFFFFF" w:val="clear"/>
          </w:tcPr>
          <w:p>
            <w:r>
              <w:rPr>
                <w:rFonts w:ascii="Times New Roman" w:cs="Times New Roman" w:eastAsia="Times New Roman" w:hAnsi="Times New Roman"/>
                <w:color w:val="1F2937"/>
                <w:sz w:val="20"/>
                <w:szCs w:val="20"/>
              </w:rPr>
              <w:t xml:space="preserve">e) Observer et noter</w:t>
            </w:r>
          </w:p>
        </w:tc>
        <w:tc>
          <w:tcPr>
            <w:shd w:fill="FFFFFF" w:val="clear"/>
          </w:tcPr>
          <w:p>
            <w:r>
              <w:rPr>
                <w:rFonts w:ascii="Times New Roman" w:cs="Times New Roman" w:eastAsia="Times New Roman" w:hAnsi="Times New Roman"/>
                <w:color w:val="1F2937"/>
                <w:sz w:val="20"/>
                <w:szCs w:val="20"/>
              </w:rPr>
              <w:t xml:space="preserve">EE</w:t>
            </w:r>
          </w:p>
        </w:tc>
        <w:tc>
          <w:tcPr>
            <w:shd w:fill="FFFFFF" w:val="clear"/>
          </w:tcPr>
          <w:p>
            <w:r>
              <w:rPr>
                <w:rFonts w:ascii="Times New Roman" w:cs="Times New Roman" w:eastAsia="Times New Roman" w:hAnsi="Times New Roman"/>
                <w:color w:val="1F2937"/>
                <w:sz w:val="20"/>
                <w:szCs w:val="20"/>
              </w:rPr>
              <w:t xml:space="preserve">Premier maillon de la chaîne d'alerte</w:t>
            </w:r>
          </w:p>
        </w:tc>
      </w:tr>
      <w:tr>
        <w:tc>
          <w:tcPr>
            <w:shd w:fill="EEF2F7" w:val="clear"/>
          </w:tcPr>
          <w:p>
            <w:r>
              <w:rPr>
                <w:rFonts w:ascii="Times New Roman" w:cs="Times New Roman" w:eastAsia="Times New Roman" w:hAnsi="Times New Roman"/>
                <w:color w:val="1F2937"/>
                <w:sz w:val="20"/>
                <w:szCs w:val="20"/>
              </w:rPr>
              <w:t xml:space="preserve">f) Sécuriser les moyens</w:t>
            </w:r>
          </w:p>
        </w:tc>
        <w:tc>
          <w:tcPr>
            <w:shd w:fill="EEF2F7" w:val="clear"/>
          </w:tcPr>
          <w:p>
            <w:r>
              <w:rPr>
                <w:rFonts w:ascii="Times New Roman" w:cs="Times New Roman" w:eastAsia="Times New Roman" w:hAnsi="Times New Roman"/>
                <w:color w:val="1F2937"/>
                <w:sz w:val="20"/>
                <w:szCs w:val="20"/>
              </w:rPr>
              <w:t xml:space="preserve">EE + PS</w:t>
            </w:r>
          </w:p>
        </w:tc>
        <w:tc>
          <w:tcPr>
            <w:shd w:fill="EEF2F7" w:val="clear"/>
          </w:tcPr>
          <w:p>
            <w:r>
              <w:rPr>
                <w:rFonts w:ascii="Times New Roman" w:cs="Times New Roman" w:eastAsia="Times New Roman" w:hAnsi="Times New Roman"/>
                <w:color w:val="1F2937"/>
                <w:sz w:val="20"/>
                <w:szCs w:val="20"/>
              </w:rPr>
              <w:t xml:space="preserve">L'équipe demande le retrait ; l'évaluation revient au médecin</w:t>
            </w:r>
          </w:p>
        </w:tc>
      </w:tr>
      <w:tr>
        <w:tc>
          <w:tcPr>
            <w:shd w:fill="FFFFFF" w:val="clear"/>
          </w:tcPr>
          <w:p>
            <w:r>
              <w:rPr>
                <w:rFonts w:ascii="Times New Roman" w:cs="Times New Roman" w:eastAsia="Times New Roman" w:hAnsi="Times New Roman"/>
                <w:color w:val="1F2937"/>
                <w:sz w:val="20"/>
                <w:szCs w:val="20"/>
              </w:rPr>
              <w:t xml:space="preserve">g) Poser la question directement</w:t>
            </w:r>
          </w:p>
        </w:tc>
        <w:tc>
          <w:tcPr>
            <w:shd w:fill="FFFFFF" w:val="clear"/>
          </w:tcPr>
          <w:p>
            <w:r>
              <w:rPr>
                <w:rFonts w:ascii="Times New Roman" w:cs="Times New Roman" w:eastAsia="Times New Roman" w:hAnsi="Times New Roman"/>
                <w:color w:val="1F2937"/>
                <w:sz w:val="20"/>
                <w:szCs w:val="20"/>
              </w:rPr>
              <w:t xml:space="preserve">EE (1re ligne)</w:t>
            </w:r>
          </w:p>
        </w:tc>
        <w:tc>
          <w:tcPr>
            <w:shd w:fill="FFFFFF" w:val="clear"/>
          </w:tcPr>
          <w:p>
            <w:r>
              <w:rPr>
                <w:rFonts w:ascii="Times New Roman" w:cs="Times New Roman" w:eastAsia="Times New Roman" w:hAnsi="Times New Roman"/>
                <w:color w:val="1F2937"/>
                <w:sz w:val="20"/>
                <w:szCs w:val="20"/>
              </w:rPr>
              <w:t xml:space="preserve">Règle de prudence : la question n'augmente pas le risque</w:t>
            </w:r>
          </w:p>
        </w:tc>
      </w:tr>
    </w:tbl>
    <w:p>
      <w:pPr>
        <w:shd w:fill="F3F4F6" w:val="clear"/>
        <w:spacing w:after="80" w:before="80"/>
        <w:ind w:left="480"/>
      </w:pPr>
      <w:r>
        <w:rPr>
          <w:rFonts w:ascii="Times New Roman" w:cs="Times New Roman" w:eastAsia="Times New Roman" w:hAnsi="Times New Roman"/>
          <w:i/>
          <w:iCs/>
          <w:color w:val="1B3A6B"/>
          <w:sz w:val="22"/>
          <w:szCs w:val="22"/>
        </w:rPr>
        <w:t xml:space="preserve">Vérification C1 : le tableau est cohérent avec la note déontologique (observer/alerter/orienter, pas diagnostiquer) et avec la section 4 (grille RUD = outil clinique, pas outil éducatif). ✅</w:t>
      </w:r>
    </w:p>
    <w:p>
      <w:pPr>
        <w:spacing w:after="40" w:before="40"/>
      </w:pPr>
      <w:r>
        <w:t xml:space="preserve"/>
      </w:r>
    </w:p>
    <w:p>
      <w:pPr>
        <w:pStyle w:val="Heading2"/>
        <w:spacing w:after="80" w:before="280"/>
      </w:pPr>
      <w:r>
        <w:rPr>
          <w:rFonts w:ascii="Times New Roman" w:cs="Times New Roman" w:eastAsia="Times New Roman" w:hAnsi="Times New Roman"/>
          <w:b/>
          <w:bCs/>
          <w:color w:val="1B3A6B"/>
          <w:sz w:val="30"/>
          <w:szCs w:val="30"/>
        </w:rPr>
        <w:t xml:space="preserve">🎯 Challenge — Vignette complexe</w:t>
      </w:r>
    </w:p>
    <w:p>
      <w:pPr>
        <w:spacing w:after="60" w:before="60"/>
      </w:pPr>
      <w:r>
        <w:rPr>
          <w:rFonts w:ascii="Times New Roman" w:cs="Times New Roman" w:eastAsia="Times New Roman" w:hAnsi="Times New Roman"/>
          <w:b w:val="false"/>
          <w:bCs w:val="false"/>
          <w:i w:val="false"/>
          <w:iCs w:val="false"/>
          <w:color w:val="1F2937"/>
          <w:sz w:val="22"/>
          <w:szCs w:val="22"/>
        </w:rPr>
        <w:t xml:space="preserve">Mme B., 45 ans, accompagnée depuis 8 ans dans votre foyer. Elle souffre d'un trouble bipolaire stabilisé depuis 3 ans. Depuis deux semaines, l'équipe note un retrait progressif, un arrêt des activités, l'absence de sourire. Elle n'a rien dit verbalement. Ce matin, une éducatrice la trouve immobile depuis 30 minutes, debout à sa fenêtre de chambre au 3e étage. Elle dit « laissez-moi » quand on s'approche. Aucun antécédent de tentative.</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spacing w:after="60" w:before="60"/>
      </w:pPr>
      <w:r>
        <w:rPr>
          <w:rFonts w:ascii="Times New Roman" w:cs="Times New Roman" w:eastAsia="Times New Roman" w:hAnsi="Times New Roman"/>
          <w:b w:val="false"/>
          <w:bCs w:val="false"/>
          <w:i w:val="false"/>
          <w:iCs w:val="false"/>
          <w:color w:val="1F2937"/>
          <w:sz w:val="22"/>
          <w:szCs w:val="22"/>
        </w:rPr>
        <w:t xml:space="preserve">1. Quels signaux d'alerte identifiez-vous ? Classez-les (verbaux / comportementaux).</w:t>
      </w:r>
    </w:p>
    <w:p>
      <w:pPr>
        <w:spacing w:after="60" w:before="60"/>
      </w:pPr>
      <w:r>
        <w:rPr>
          <w:rFonts w:ascii="Times New Roman" w:cs="Times New Roman" w:eastAsia="Times New Roman" w:hAnsi="Times New Roman"/>
          <w:b w:val="false"/>
          <w:bCs w:val="false"/>
          <w:i w:val="false"/>
          <w:iCs w:val="false"/>
          <w:color w:val="1F2937"/>
          <w:sz w:val="22"/>
          <w:szCs w:val="22"/>
        </w:rPr>
        <w:t xml:space="preserve">2. Dans la grille RUD, que pouvez-vous observer en tant qu'EE ? Que ne pouvez-vous pas évaluer, et pourquoi ?</w:t>
      </w:r>
    </w:p>
    <w:p>
      <w:pPr>
        <w:spacing w:after="60" w:before="60"/>
      </w:pPr>
      <w:r>
        <w:rPr>
          <w:rFonts w:ascii="Times New Roman" w:cs="Times New Roman" w:eastAsia="Times New Roman" w:hAnsi="Times New Roman"/>
          <w:b w:val="false"/>
          <w:bCs w:val="false"/>
          <w:i w:val="false"/>
          <w:iCs w:val="false"/>
          <w:color w:val="1F2937"/>
          <w:sz w:val="22"/>
          <w:szCs w:val="22"/>
        </w:rPr>
        <w:t xml:space="preserve">3. Quelle conduite à tenir, étape par étape ?</w:t>
      </w:r>
    </w:p>
    <w:p>
      <w:pPr>
        <w:spacing w:after="40" w:before="40"/>
      </w:pPr>
      <w:r>
        <w:t xml:space="preserve"/>
      </w:r>
    </w:p>
    <w:p>
      <w:pPr>
        <w:pStyle w:val="Heading3"/>
        <w:spacing w:after="60" w:before="200"/>
      </w:pPr>
      <w:r>
        <w:rPr>
          <w:rFonts w:ascii="Times New Roman" w:cs="Times New Roman" w:eastAsia="Times New Roman" w:hAnsi="Times New Roman"/>
          <w:b/>
          <w:bCs/>
          <w:color w:val="1F2937"/>
          <w:sz w:val="26"/>
          <w:szCs w:val="26"/>
        </w:rPr>
        <w:t xml:space="preserve">Corrigé du Challenge</w:t>
      </w:r>
    </w:p>
    <w:p>
      <w:pPr>
        <w:spacing w:after="60" w:before="60"/>
      </w:pPr>
      <w:r>
        <w:rPr>
          <w:rFonts w:ascii="Times New Roman" w:cs="Times New Roman" w:eastAsia="Times New Roman" w:hAnsi="Times New Roman"/>
          <w:b w:val="false"/>
          <w:bCs w:val="false"/>
          <w:i w:val="false"/>
          <w:iCs w:val="false"/>
          <w:color w:val="1F2937"/>
          <w:sz w:val="22"/>
          <w:szCs w:val="22"/>
        </w:rPr>
        <w:t xml:space="preserve">1. Signaux d'alerte identifiés :</w:t>
      </w:r>
    </w:p>
    <w:p>
      <w:pPr>
        <w:spacing w:after="60" w:before="60"/>
      </w:pPr>
      <w:r>
        <w:rPr>
          <w:rFonts w:ascii="Times New Roman" w:cs="Times New Roman" w:eastAsia="Times New Roman" w:hAnsi="Times New Roman"/>
          <w:b w:val="false"/>
          <w:bCs w:val="false"/>
          <w:i w:val="false"/>
          <w:iCs w:val="false"/>
          <w:color w:val="1F2937"/>
          <w:sz w:val="22"/>
          <w:szCs w:val="22"/>
        </w:rPr>
        <w:t xml:space="preserve">• Comportementaux : retrait social progressif sur deux semaines ; rupture avec les habitudes habituelles (arrêt des activités, plus de sourire) ; position à la fenêtre d'un 3e étage, immobile depuis 30 minutes ; refus du contact (« laissez-moi »).</w:t>
      </w:r>
    </w:p>
    <w:p>
      <w:pPr>
        <w:spacing w:after="60" w:before="60"/>
      </w:pPr>
      <w:r>
        <w:rPr>
          <w:rFonts w:ascii="Times New Roman" w:cs="Times New Roman" w:eastAsia="Times New Roman" w:hAnsi="Times New Roman"/>
          <w:b w:val="false"/>
          <w:bCs w:val="false"/>
          <w:i w:val="false"/>
          <w:iCs w:val="false"/>
          <w:color w:val="1F2937"/>
          <w:sz w:val="22"/>
          <w:szCs w:val="22"/>
        </w:rPr>
        <w:t xml:space="preserve">• Verbal : « laissez-moi » — énoncé à double sens selon le contexte. À ne pas lire comme un simple refus banal.</w:t>
      </w:r>
    </w:p>
    <w:p>
      <w:pPr>
        <w:spacing w:after="60" w:before="60"/>
      </w:pPr>
      <w:r>
        <w:rPr>
          <w:rFonts w:ascii="Times New Roman" w:cs="Times New Roman" w:eastAsia="Times New Roman" w:hAnsi="Times New Roman"/>
          <w:b w:val="false"/>
          <w:bCs w:val="false"/>
          <w:i w:val="false"/>
          <w:iCs w:val="false"/>
          <w:color w:val="1F2937"/>
          <w:sz w:val="22"/>
          <w:szCs w:val="22"/>
        </w:rPr>
        <w:t xml:space="preserve">• Facteur de vulnérabilité sous-jacent : trouble bipolaire (risque de décès par suicide multiplié par 17,1, selon le Merck Manual — un des ratios les plus élevés de la leçon). Ce n'est pas un signal du moment, c'est une vulnérabilité de fond qui amplifie la portée des autres signaux.</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Point crucial — L'ABSENCE D'EXPRESSION VERBALE N'EST PAS UNE PREUVE D'ABSENCE DE CRISE. Mme B. ne dit rien de suicidaire : cela ne signifie pas qu'elle ne l'est pas. Le silence peut être le contraire de la sécurité.</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2. Ce que l'EE peut observer / ne peut pas évaluer :</w:t>
      </w:r>
    </w:p>
    <w:p>
      <w:pPr>
        <w:spacing w:after="60" w:before="60"/>
      </w:pPr>
      <w:r>
        <w:rPr>
          <w:rFonts w:ascii="Times New Roman" w:cs="Times New Roman" w:eastAsia="Times New Roman" w:hAnsi="Times New Roman"/>
          <w:b w:val="false"/>
          <w:bCs w:val="false"/>
          <w:i w:val="false"/>
          <w:iCs w:val="false"/>
          <w:color w:val="1F2937"/>
          <w:sz w:val="22"/>
          <w:szCs w:val="22"/>
        </w:rPr>
        <w:t xml:space="preserve">• Ce qu'elle peut observer : les signaux comportementaux listés ci-dessus, le contexte clinique connu (trouble bipolaire), la rupture par rapport au comportement habituel.</w:t>
      </w:r>
    </w:p>
    <w:p>
      <w:pPr>
        <w:spacing w:after="60" w:before="60"/>
      </w:pPr>
      <w:r>
        <w:rPr>
          <w:rFonts w:ascii="Times New Roman" w:cs="Times New Roman" w:eastAsia="Times New Roman" w:hAnsi="Times New Roman"/>
          <w:b w:val="false"/>
          <w:bCs w:val="false"/>
          <w:i w:val="false"/>
          <w:iCs w:val="false"/>
          <w:color w:val="1F2937"/>
          <w:sz w:val="22"/>
          <w:szCs w:val="22"/>
        </w:rPr>
        <w:t xml:space="preserve">• Ce qu'elle ne peut pas évaluer : le niveau d'urgence formelle (U), la dangerosité du scénario interne (D, puisque Mme B. ne communique pas), l'intention réelle. L'EE n'a pas accès à la pensée interne de Mme B., et Mme B. ne parle pas. Seul un clinicien formé, dans un entretien adapté, peut tenter cette évaluation.</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L'absence d'antécédents ne neutralise pas la situation. C'est une erreur fréquente de raisonnement : « Elle n'a jamais fait ça » n'est pas un argument de sécurité — c'est un argument d'historique, pas d'état actuel.</w:t>
      </w:r>
    </w:p>
    <w:p>
      <w:pPr>
        <w:spacing w:after="40" w:before="40"/>
      </w:pPr>
      <w: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3. Conduite à tenir, dans l'ordre :</w:t>
      </w:r>
    </w:p>
    <w:p>
      <w:pPr>
        <w:spacing w:after="60" w:before="60"/>
      </w:pPr>
      <w:r>
        <w:rPr>
          <w:rFonts w:ascii="Times New Roman" w:cs="Times New Roman" w:eastAsia="Times New Roman" w:hAnsi="Times New Roman"/>
          <w:b w:val="false"/>
          <w:bCs w:val="false"/>
          <w:i w:val="false"/>
          <w:iCs w:val="false"/>
          <w:color w:val="1F2937"/>
          <w:sz w:val="22"/>
          <w:szCs w:val="22"/>
        </w:rPr>
        <w:t xml:space="preserve">a) Ne pas laisser Mme B. seule — maintenir une présence physique discrète et calme, sans forcer le contact.</w:t>
      </w:r>
    </w:p>
    <w:p>
      <w:pPr>
        <w:spacing w:after="60" w:before="60"/>
      </w:pPr>
      <w:r>
        <w:rPr>
          <w:rFonts w:ascii="Times New Roman" w:cs="Times New Roman" w:eastAsia="Times New Roman" w:hAnsi="Times New Roman"/>
          <w:b w:val="false"/>
          <w:bCs w:val="false"/>
          <w:i w:val="false"/>
          <w:iCs w:val="false"/>
          <w:color w:val="1F2937"/>
          <w:sz w:val="22"/>
          <w:szCs w:val="22"/>
        </w:rPr>
        <w:t xml:space="preserve">b) Alerter immédiatement le responsable de service.</w:t>
      </w:r>
    </w:p>
    <w:p>
      <w:pPr>
        <w:spacing w:after="60" w:before="60"/>
      </w:pPr>
      <w:r>
        <w:rPr>
          <w:rFonts w:ascii="Times New Roman" w:cs="Times New Roman" w:eastAsia="Times New Roman" w:hAnsi="Times New Roman"/>
          <w:b w:val="false"/>
          <w:bCs w:val="false"/>
          <w:i w:val="false"/>
          <w:iCs w:val="false"/>
          <w:color w:val="1F2937"/>
          <w:sz w:val="22"/>
          <w:szCs w:val="22"/>
        </w:rPr>
        <w:t xml:space="preserve">c) Contacter sans délai le médecin référent ou le psychiatre — expliquer les signaux observés (comportement à la fenêtre, durée, refus du contact, contexte bipolaire).</w:t>
      </w:r>
    </w:p>
    <w:p>
      <w:pPr>
        <w:spacing w:after="60" w:before="60"/>
      </w:pPr>
      <w:r>
        <w:rPr>
          <w:rFonts w:ascii="Times New Roman" w:cs="Times New Roman" w:eastAsia="Times New Roman" w:hAnsi="Times New Roman"/>
          <w:b w:val="false"/>
          <w:bCs w:val="false"/>
          <w:i w:val="false"/>
          <w:iCs w:val="false"/>
          <w:color w:val="1F2937"/>
          <w:sz w:val="22"/>
          <w:szCs w:val="22"/>
        </w:rPr>
        <w:t xml:space="preserve">d) Si aucun professionnel de santé n'est joignable rapidement : composer le 3114 pour obtenir un conseil professionnel immédiat.</w:t>
      </w:r>
    </w:p>
    <w:p>
      <w:pPr>
        <w:spacing w:after="60" w:before="60"/>
      </w:pPr>
      <w:r>
        <w:rPr>
          <w:rFonts w:ascii="Times New Roman" w:cs="Times New Roman" w:eastAsia="Times New Roman" w:hAnsi="Times New Roman"/>
          <w:b w:val="false"/>
          <w:bCs w:val="false"/>
          <w:i w:val="false"/>
          <w:iCs w:val="false"/>
          <w:color w:val="1F2937"/>
          <w:sz w:val="22"/>
          <w:szCs w:val="22"/>
        </w:rPr>
        <w:t xml:space="preserve">e) Si la situation évolue vers un geste imminent : composer le 15.</w:t>
      </w:r>
    </w:p>
    <w:p>
      <w:pPr>
        <w:spacing w:after="60" w:before="60"/>
      </w:pPr>
      <w:r>
        <w:rPr>
          <w:rFonts w:ascii="Times New Roman" w:cs="Times New Roman" w:eastAsia="Times New Roman" w:hAnsi="Times New Roman"/>
          <w:b w:val="false"/>
          <w:bCs w:val="false"/>
          <w:i w:val="false"/>
          <w:iCs w:val="false"/>
          <w:color w:val="1F2937"/>
          <w:sz w:val="22"/>
          <w:szCs w:val="22"/>
        </w:rPr>
        <w:t xml:space="preserve">f) Documenter factuellement : heure exacte, description du comportement, mots prononcés, durée.</w:t>
      </w:r>
    </w:p>
    <w:p>
      <w:pPr>
        <w:shd w:fill="F3F4F6" w:val="clear"/>
        <w:spacing w:after="80" w:before="80"/>
        <w:ind w:left="480"/>
      </w:pPr>
      <w:r>
        <w:rPr>
          <w:rFonts w:ascii="Times New Roman" w:cs="Times New Roman" w:eastAsia="Times New Roman" w:hAnsi="Times New Roman"/>
          <w:i/>
          <w:iCs/>
          <w:color w:val="1B3A6B"/>
          <w:sz w:val="22"/>
          <w:szCs w:val="22"/>
        </w:rPr>
        <w:t xml:space="preserve">Vérification C2 (sens inverse, grille → théorie) : le challenge classe le trouble bipolaire comme facteur de vulnérabilité de fond (pas un signal d'alerte du moment) — la section théorique 3 le liste parmi les facteurs de risque, et non parmi les signaux d'alerte. Cohérence ✅.
Le corrigé n'attribue pas à l'absence d'antécédents un rôle protecteur — la théorie ne le fait pas non plus ✅.</w:t>
      </w:r>
    </w:p>
    <w:p>
      <w:pPr>
        <w:pStyle w:val="Heading2"/>
        <w:spacing w:after="80" w:before="280"/>
      </w:pPr>
      <w:r>
        <w:rPr>
          <w:rFonts w:ascii="Times New Roman" w:cs="Times New Roman" w:eastAsia="Times New Roman" w:hAnsi="Times New Roman"/>
          <w:b/>
          <w:bCs/>
          <w:color w:val="1B3A6B"/>
          <w:sz w:val="30"/>
          <w:szCs w:val="30"/>
        </w:rPr>
        <w:t xml:space="preserve">🌉 Pont pro — Repères pour le cadre de service en ESSMS</w:t>
      </w:r>
    </w:p>
    <w:p>
      <w:pPr>
        <w:shd w:fill="F3F4F6" w:val="clear"/>
        <w:spacing w:after="80" w:before="80"/>
        <w:ind w:left="480"/>
      </w:pPr>
      <w:r>
        <w:rPr>
          <w:rFonts w:ascii="Times New Roman" w:cs="Times New Roman" w:eastAsia="Times New Roman" w:hAnsi="Times New Roman"/>
          <w:i/>
          <w:iCs/>
          <w:color w:val="1B3A6B"/>
          <w:sz w:val="22"/>
          <w:szCs w:val="22"/>
        </w:rPr>
        <w:t xml:space="preserve">Ce paragraphe reflète des observations professionnelles et des usages de terrain. Il ne constitue pas une recommandation HAS et ne doit pas être présenté comme tel dans un document institutionnel.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En foyer d'hébergement accueillant des personnes en situation de handicap psychique, la crise suicidaire est une réalité que les équipes peuvent rencontrer. L'équipe éducative constitue souvent le lien de confiance le plus stable et le plus quotidien avec la personne. Son rôle est d'observer, de signaler et de sécuriser — pas d'évaluer ni de traiter.</w:t>
      </w:r>
    </w:p>
    <w:p>
      <w:pPr>
        <w:spacing w:after="60" w:before="60"/>
      </w:pPr>
      <w:r>
        <w:rPr>
          <w:rFonts w:ascii="Times New Roman" w:cs="Times New Roman" w:eastAsia="Times New Roman" w:hAnsi="Times New Roman"/>
          <w:b w:val="false"/>
          <w:bCs w:val="false"/>
          <w:i w:val="false"/>
          <w:iCs w:val="false"/>
          <w:color w:val="1F2937"/>
          <w:sz w:val="22"/>
          <w:szCs w:val="22"/>
        </w:rPr>
        <w:t xml:space="preserve">Quelques repères pratiques (usage de terrain) :</w:t>
      </w:r>
    </w:p>
    <w:p>
      <w:pPr>
        <w:spacing w:after="60" w:before="60"/>
      </w:pPr>
      <w:r>
        <w:rPr>
          <w:rFonts w:ascii="Times New Roman" w:cs="Times New Roman" w:eastAsia="Times New Roman" w:hAnsi="Times New Roman"/>
          <w:b w:val="false"/>
          <w:bCs w:val="false"/>
          <w:i w:val="false"/>
          <w:iCs w:val="false"/>
          <w:color w:val="1F2937"/>
          <w:sz w:val="22"/>
          <w:szCs w:val="22"/>
        </w:rPr>
        <w:t xml:space="preserve">• Former les équipes à reconnaître les signaux d'alerte. Des formations à l'évaluation et à l'intervention de crise suicidaire existent dans le cadre du programme national de prévention du suicide (ministère de la Santé).</w:t>
      </w:r>
    </w:p>
    <w:p>
      <w:pPr>
        <w:spacing w:after="60" w:before="60"/>
      </w:pPr>
      <w:r>
        <w:rPr>
          <w:rFonts w:ascii="Times New Roman" w:cs="Times New Roman" w:eastAsia="Times New Roman" w:hAnsi="Times New Roman"/>
          <w:b w:val="false"/>
          <w:bCs w:val="false"/>
          <w:i w:val="false"/>
          <w:iCs w:val="false"/>
          <w:color w:val="1F2937"/>
          <w:sz w:val="22"/>
          <w:szCs w:val="22"/>
        </w:rPr>
        <w:t xml:space="preserve">• Disposer d'une procédure claire et connue de tous : qui appelle qui, dans quel ordre, avec quelles informations à transmettre.</w:t>
      </w:r>
    </w:p>
    <w:p>
      <w:pPr>
        <w:spacing w:after="60" w:before="60"/>
      </w:pPr>
      <w:r>
        <w:rPr>
          <w:rFonts w:ascii="Times New Roman" w:cs="Times New Roman" w:eastAsia="Times New Roman" w:hAnsi="Times New Roman"/>
          <w:b w:val="false"/>
          <w:bCs w:val="false"/>
          <w:i w:val="false"/>
          <w:iCs w:val="false"/>
          <w:color w:val="1F2937"/>
          <w:sz w:val="22"/>
          <w:szCs w:val="22"/>
        </w:rPr>
        <w:t xml:space="preserve">• Le 3114 est accessible aux professionnels comme aux particuliers — l'équipe peut l'appeler pour obtenir un conseil immédiat dans une situation incertaine.</w:t>
      </w:r>
    </w:p>
    <w:p>
      <w:pPr>
        <w:spacing w:after="60" w:before="60"/>
      </w:pPr>
      <w:r>
        <w:rPr>
          <w:rFonts w:ascii="Times New Roman" w:cs="Times New Roman" w:eastAsia="Times New Roman" w:hAnsi="Times New Roman"/>
          <w:b w:val="false"/>
          <w:bCs w:val="false"/>
          <w:i w:val="false"/>
          <w:iCs w:val="false"/>
          <w:color w:val="1F2937"/>
          <w:sz w:val="22"/>
          <w:szCs w:val="22"/>
        </w:rPr>
        <w:t xml:space="preserve">• En matière de prévention environnementale : le ministère de la Santé a diffusé en janvier 2026 un outil d'auto-évaluation permettant aux équipes d'identifier et cartographier les risques liés à l'environnement physique. Cet outil constitue un point d'entrée pour un diagnostic structuré de l'établissement (source : Le Media Social, 28 janvier 2026).</w:t>
      </w:r>
    </w:p>
    <w:p>
      <w:pPr>
        <w:spacing w:after="60" w:before="60"/>
      </w:pPr>
      <w:r>
        <w:rPr>
          <w:rFonts w:ascii="Times New Roman" w:cs="Times New Roman" w:eastAsia="Times New Roman" w:hAnsi="Times New Roman"/>
          <w:b w:val="false"/>
          <w:bCs w:val="false"/>
          <w:i w:val="false"/>
          <w:iCs w:val="false"/>
          <w:color w:val="1F2937"/>
          <w:sz w:val="22"/>
          <w:szCs w:val="22"/>
        </w:rPr>
        <w:t xml:space="preserve">• La feuille de route nationale santé mentale et psychiatrie 2025-2030, publiée par la HAS en mars 2026, intègre la formation des équipes comme levier prioritaire de prévention.</w:t>
      </w:r>
    </w:p>
    <w:p>
      <w:pPr>
        <w:pStyle w:val="Heading2"/>
        <w:spacing w:after="80" w:before="280"/>
      </w:pPr>
      <w:r>
        <w:rPr>
          <w:rFonts w:ascii="Times New Roman" w:cs="Times New Roman" w:eastAsia="Times New Roman" w:hAnsi="Times New Roman"/>
          <w:b/>
          <w:bCs/>
          <w:color w:val="1B3A6B"/>
          <w:sz w:val="30"/>
          <w:szCs w:val="30"/>
        </w:rPr>
        <w:t xml:space="preserve">📚 Ressources cliquables — Approfondir ce thème</w:t>
      </w:r>
    </w:p>
    <w:p>
      <w:pPr>
        <w:spacing w:after="40" w:before="40"/>
      </w:pPr>
      <w:r>
        <w:t xml:space="preserve"/>
      </w:r>
    </w:p>
    <w:p>
      <w:pPr>
        <w:spacing w:after="60" w:before="60"/>
      </w:pPr>
      <w:r>
        <w:rPr>
          <w:rFonts w:ascii="Times New Roman" w:cs="Times New Roman" w:eastAsia="Times New Roman" w:hAnsi="Times New Roman"/>
          <w:color w:val="1F2937"/>
          <w:sz w:val="22"/>
          <w:szCs w:val="22"/>
        </w:rPr>
        <w:t xml:space="preserve">1. Psycom — </w:t>
      </w:r>
      <w:hyperlink w:history="1" r:id="rIdd4hbblcusgggtj1tq6zyl">
        <w:r>
          <w:rPr>
            <w:rFonts w:ascii="Times New Roman" w:cs="Times New Roman" w:eastAsia="Times New Roman" w:hAnsi="Times New Roman"/>
            <w:color w:val="1155CC"/>
            <w:sz w:val="22"/>
            <w:szCs w:val="22"/>
            <w:u w:val="single"/>
          </w:rPr>
          <w:t xml:space="preserve">Quand on a des pensées suicidaires</w:t>
        </w:r>
      </w:hyperlink>
      <w:r>
        <w:rPr>
          <w:rFonts w:ascii="Times New Roman" w:cs="Times New Roman" w:eastAsia="Times New Roman" w:hAnsi="Times New Roman"/>
          <w:color w:val="1F2937"/>
          <w:sz w:val="22"/>
          <w:szCs w:val="22"/>
        </w:rPr>
        <w:t xml:space="preserve"> — Information accessible, facteurs de risque, facteurs protecteurs, ressources (3114).</w:t>
      </w:r>
    </w:p>
    <w:p>
      <w:pPr>
        <w:spacing w:after="60" w:before="60"/>
      </w:pPr>
      <w:r>
        <w:rPr>
          <w:rFonts w:ascii="Times New Roman" w:cs="Times New Roman" w:eastAsia="Times New Roman" w:hAnsi="Times New Roman"/>
          <w:color w:val="1F2937"/>
          <w:sz w:val="22"/>
          <w:szCs w:val="22"/>
        </w:rPr>
        <w:t xml:space="preserve">2. Infosuicide.org — </w:t>
      </w:r>
      <w:hyperlink w:history="1" r:id="rIdtln97fngbmm3gxtlu_y2g">
        <w:r>
          <w:rPr>
            <w:rFonts w:ascii="Times New Roman" w:cs="Times New Roman" w:eastAsia="Times New Roman" w:hAnsi="Times New Roman"/>
            <w:color w:val="1155CC"/>
            <w:sz w:val="22"/>
            <w:szCs w:val="22"/>
            <w:u w:val="single"/>
          </w:rPr>
          <w:t xml:space="preserve">L'évaluation du potentiel suicidaire</w:t>
        </w:r>
      </w:hyperlink>
      <w:r>
        <w:rPr>
          <w:rFonts w:ascii="Times New Roman" w:cs="Times New Roman" w:eastAsia="Times New Roman" w:hAnsi="Times New Roman"/>
          <w:color w:val="1F2937"/>
          <w:sz w:val="22"/>
          <w:szCs w:val="22"/>
        </w:rPr>
        <w:t xml:space="preserve"> — Conférence de consensus ANAES 2000 : les six éléments à explorer, niveaux d'urgence.</w:t>
      </w:r>
    </w:p>
    <w:p>
      <w:pPr>
        <w:spacing w:after="60" w:before="60"/>
      </w:pPr>
      <w:r>
        <w:rPr>
          <w:rFonts w:ascii="Times New Roman" w:cs="Times New Roman" w:eastAsia="Times New Roman" w:hAnsi="Times New Roman"/>
          <w:color w:val="1F2937"/>
          <w:sz w:val="22"/>
          <w:szCs w:val="22"/>
        </w:rPr>
        <w:t xml:space="preserve">3. Infosuicide.org — </w:t>
      </w:r>
      <w:hyperlink w:history="1" r:id="rIdr96wqgju4sq_9ptv78qqh">
        <w:r>
          <w:rPr>
            <w:rFonts w:ascii="Times New Roman" w:cs="Times New Roman" w:eastAsia="Times New Roman" w:hAnsi="Times New Roman"/>
            <w:color w:val="1155CC"/>
            <w:sz w:val="22"/>
            <w:szCs w:val="22"/>
            <w:u w:val="single"/>
          </w:rPr>
          <w:t xml:space="preserve">Grille RUD (Risque-Urgence-Dangerosité)</w:t>
        </w:r>
      </w:hyperlink>
      <w:r>
        <w:rPr>
          <w:rFonts w:ascii="Times New Roman" w:cs="Times New Roman" w:eastAsia="Times New Roman" w:hAnsi="Times New Roman"/>
          <w:color w:val="1F2937"/>
          <w:sz w:val="22"/>
          <w:szCs w:val="22"/>
        </w:rPr>
        <w:t xml:space="preserve"> — Grille de J.L. Terra et al., outil central de l'évaluation clinique en France.</w:t>
      </w:r>
    </w:p>
    <w:p>
      <w:pPr>
        <w:spacing w:after="60" w:before="60"/>
      </w:pPr>
      <w:r>
        <w:rPr>
          <w:rFonts w:ascii="Times New Roman" w:cs="Times New Roman" w:eastAsia="Times New Roman" w:hAnsi="Times New Roman"/>
          <w:color w:val="1F2937"/>
          <w:sz w:val="22"/>
          <w:szCs w:val="22"/>
        </w:rPr>
        <w:t xml:space="preserve">4. Merck Manual Édition Professionnelle (FR) — </w:t>
      </w:r>
      <w:hyperlink w:history="1" r:id="rIdpkpsn0nnz16nf9rtsmeo7">
        <w:r>
          <w:rPr>
            <w:rFonts w:ascii="Times New Roman" w:cs="Times New Roman" w:eastAsia="Times New Roman" w:hAnsi="Times New Roman"/>
            <w:color w:val="1155CC"/>
            <w:sz w:val="22"/>
            <w:szCs w:val="22"/>
            <w:u w:val="single"/>
          </w:rPr>
          <w:t xml:space="preserve">Comportement suicidaire</w:t>
        </w:r>
      </w:hyperlink>
      <w:r>
        <w:rPr>
          <w:rFonts w:ascii="Times New Roman" w:cs="Times New Roman" w:eastAsia="Times New Roman" w:hAnsi="Times New Roman"/>
          <w:color w:val="1F2937"/>
          <w:sz w:val="22"/>
          <w:szCs w:val="22"/>
        </w:rPr>
        <w:t xml:space="preserve"> — Épidémiologie, facteurs de risque, évaluation, traitements. Mise à jour janvier 2026.</w:t>
      </w:r>
    </w:p>
    <w:p>
      <w:pPr>
        <w:spacing w:after="60" w:before="60"/>
      </w:pPr>
      <w:r>
        <w:rPr>
          <w:rFonts w:ascii="Times New Roman" w:cs="Times New Roman" w:eastAsia="Times New Roman" w:hAnsi="Times New Roman"/>
          <w:color w:val="1F2937"/>
          <w:sz w:val="22"/>
          <w:szCs w:val="22"/>
        </w:rPr>
        <w:t xml:space="preserve">5. HAS (2 novembre 2021, PDF) — </w:t>
      </w:r>
      <w:hyperlink w:history="1" r:id="rIdaoxnbmgpzzebf5iciln_v">
        <w:r>
          <w:rPr>
            <w:rFonts w:ascii="Times New Roman" w:cs="Times New Roman" w:eastAsia="Times New Roman" w:hAnsi="Times New Roman"/>
            <w:color w:val="1155CC"/>
            <w:sz w:val="22"/>
            <w:szCs w:val="22"/>
            <w:u w:val="single"/>
          </w:rPr>
          <w:t xml:space="preserve">Idées et conduites suicidaires chez l'enfant et l'adolescent (synthèse)</w:t>
        </w:r>
      </w:hyperlink>
      <w:r>
        <w:rPr>
          <w:rFonts w:ascii="Times New Roman" w:cs="Times New Roman" w:eastAsia="Times New Roman" w:hAnsi="Times New Roman"/>
          <w:color w:val="1F2937"/>
          <w:sz w:val="22"/>
          <w:szCs w:val="22"/>
        </w:rPr>
        <w:t xml:space="preserve"> — Recommandation HAS la plus récente ; ciblée sur les enfants et adolescents.</w:t>
      </w:r>
    </w:p>
    <w:p>
      <w:pPr>
        <w:spacing w:after="60" w:before="60"/>
      </w:pPr>
      <w:r>
        <w:rPr>
          <w:rFonts w:ascii="Times New Roman" w:cs="Times New Roman" w:eastAsia="Times New Roman" w:hAnsi="Times New Roman"/>
          <w:color w:val="1F2937"/>
          <w:sz w:val="22"/>
          <w:szCs w:val="22"/>
        </w:rPr>
        <w:t xml:space="preserve">6. Le Media Social (28 janvier 2026) — </w:t>
      </w:r>
      <w:hyperlink w:history="1" r:id="rId1y38hn78vvy0ts5mt8gan">
        <w:r>
          <w:rPr>
            <w:rFonts w:ascii="Times New Roman" w:cs="Times New Roman" w:eastAsia="Times New Roman" w:hAnsi="Times New Roman"/>
            <w:color w:val="1155CC"/>
            <w:sz w:val="22"/>
            <w:szCs w:val="22"/>
            <w:u w:val="single"/>
          </w:rPr>
          <w:t xml:space="preserve">Prévention du suicide en ESMS : un outil pour évaluer les risques dans sa structure</w:t>
        </w:r>
      </w:hyperlink>
      <w:r>
        <w:rPr>
          <w:rFonts w:ascii="Times New Roman" w:cs="Times New Roman" w:eastAsia="Times New Roman" w:hAnsi="Times New Roman"/>
          <w:color w:val="1F2937"/>
          <w:sz w:val="22"/>
          <w:szCs w:val="22"/>
        </w:rPr>
        <w:t xml:space="preserve"> — Outil ministériel d'auto-évaluation environnementale pour ESSMS.</w:t>
      </w:r>
    </w:p>
    <w:p>
      <w:pPr>
        <w:spacing w:after="40" w:before="40"/>
      </w:pPr>
      <w:r>
        <w:t xml:space="preserve"/>
      </w:r>
    </w:p>
    <w:p>
      <w:pPr>
        <w:pStyle w:val="Heading2"/>
        <w:spacing w:after="8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val="false"/>
          <w:bCs w:val="false"/>
          <w:i w:val="false"/>
          <w:iCs w:val="false"/>
          <w:color w:val="1F2937"/>
          <w:sz w:val="22"/>
          <w:szCs w:val="22"/>
        </w:rPr>
        <w:t xml:space="preserve">Leçon 16 / 20 — Handicap psychique et déficience intellectuelle : comorbidités, diagnostic différentiel, surhandicap</w:t>
      </w:r>
    </w:p>
    <w:p>
      <w:pPr>
        <w:spacing w:after="60" w:before="60"/>
      </w:pPr>
      <w:r>
        <w:rPr>
          <w:rFonts w:ascii="Times New Roman" w:cs="Times New Roman" w:eastAsia="Times New Roman" w:hAnsi="Times New Roman"/>
          <w:b w:val="false"/>
          <w:bCs w:val="false"/>
          <w:i w:val="false"/>
          <w:iCs w:val="false"/>
          <w:color w:val="1F2937"/>
          <w:sz w:val="22"/>
          <w:szCs w:val="22"/>
        </w:rPr>
        <w:t xml:space="preserve">Nous aborderons la coexistence entre troubles psychiatriques et déficience intellectuelle, les enjeux de diagnostic différentiel (symptômes qui se ressemblent mais n'ont pas la même origine), le concept de surhandicap, et les repères pour l'équipe éducative en ESSMS.</w:t>
      </w:r>
    </w:p>
    <w:p>
      <w:pPr>
        <w:spacing w:after="40" w:before="40"/>
      </w:pPr>
      <w:r>
        <w:t xml:space="preserve"/>
      </w:r>
    </w:p>
    <w:p>
      <w:pPr>
        <w:spacing w:after="40" w:before="200"/>
        <w:jc w:val="center"/>
      </w:pPr>
      <w:r>
        <w:rPr>
          <w:rFonts w:ascii="Times New Roman" w:cs="Times New Roman" w:eastAsia="Times New Roman" w:hAnsi="Times New Roman"/>
          <w:i/>
          <w:iCs/>
          <w:color w:val="888888"/>
          <w:sz w:val="18"/>
          <w:szCs w:val="18"/>
        </w:rPr>
        <w:t xml:space="preserve">Parcours Psychopathologie clinique — Leçon 15 / 20 — Usage personnel — Non destiné à un usage médical ou de diagnostic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4hbblcusgggtj1tq6zyl" Type="http://schemas.openxmlformats.org/officeDocument/2006/relationships/hyperlink" Target="https://www.psycom.org/sinformer/la-sante-mentale/quand-on-a-des-pensees-suicidaires/" TargetMode="External"/><Relationship Id="rIdtln97fngbmm3gxtlu_y2g" Type="http://schemas.openxmlformats.org/officeDocument/2006/relationships/hyperlink" Target="https://www.infosuicide.org/guide/la-crise-suicidaire/levaluation-du-potentiel-suicidaire/" TargetMode="External"/><Relationship Id="rIdr96wqgju4sq_9ptv78qqh" Type="http://schemas.openxmlformats.org/officeDocument/2006/relationships/hyperlink" Target="https://www.infosuicide.org/guide/grille-devaluation/" TargetMode="External"/><Relationship Id="rIdpkpsn0nnz16nf9rtsmeo7" Type="http://schemas.openxmlformats.org/officeDocument/2006/relationships/hyperlink" Target="https://www.merckmanuals.com/fr-ca/professional/troubles-psychiatriques/comportement-suicidaire-et-automutilation/comportement-suicidaire" TargetMode="External"/><Relationship Id="rIdaoxnbmgpzzebf5iciln_v" Type="http://schemas.openxmlformats.org/officeDocument/2006/relationships/hyperlink" Target="https://www.has-sante.fr/upload/docs/application/pdf/2021-09/reco348_synthese__idees_conduites_suicidaires_1re_ligne_2021_09_29_v3.pdf" TargetMode="External"/><Relationship Id="rId1y38hn78vvy0ts5mt8gan" Type="http://schemas.openxmlformats.org/officeDocument/2006/relationships/hyperlink" Target="https://www.lemediasocial.fr/prevention-du-suicide-en-esms-un-outil-pour-evaluer-les-risques-dans-sa-structure_M5eha6"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15 — La crise suicidaire : évaluation du risque et conduite à tenir</dc:title>
  <dc:creator>Claude — Parcours Psychopathologie clinique</dc:creator>
  <dc:description>Parcours Psychopathologie clinique, leçon 15/20, 7 septembre 2026</dc:description>
  <cp:lastModifiedBy>Un-named</cp:lastModifiedBy>
  <cp:revision>1</cp:revision>
  <dcterms:created xsi:type="dcterms:W3CDTF">2026-09-07T06:14:03.635Z</dcterms:created>
  <dcterms:modified xsi:type="dcterms:W3CDTF">2026-09-07T06:14:03.655Z</dcterms:modified>
</cp:coreProperties>
</file>

<file path=docProps/custom.xml><?xml version="1.0" encoding="utf-8"?>
<Properties xmlns="http://schemas.openxmlformats.org/officeDocument/2006/custom-properties" xmlns:vt="http://schemas.openxmlformats.org/officeDocument/2006/docPropsVTypes"/>
</file>