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B3A6B"/>
          <w:sz w:val="52"/>
          <w:szCs w:val="52"/>
        </w:rPr>
        <w:t xml:space="preserve">Leçon Placement financier n°12</w:t>
      </w:r>
    </w:p>
    <w:p>
      <w:pPr>
        <w:pStyle w:val="Heading1"/>
        <w:spacing w:after="2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B3A6B"/>
          <w:sz w:val="52"/>
          <w:szCs w:val="52"/>
        </w:rPr>
        <w:t xml:space="preserve">Obligations et fonds obligataires</w:t>
      </w:r>
    </w:p>
    <w:p>
      <w:pPr>
        <w:spacing w:after="120"/>
      </w:pPr>
      <w:r>
        <w:rPr>
          <w:rFonts w:ascii="Times New Roman" w:cs="Times New Roman" w:eastAsia="Times New Roman" w:hAnsi="Times New Roman"/>
          <w:b/>
          <w:bCs/>
          <w:color w:val="1F2937"/>
          <w:sz w:val="22"/>
          <w:szCs w:val="22"/>
        </w:rPr>
        <w:t xml:space="preserve">Date : 29 août 2026  |  Leçon 12 / 20</w:t>
      </w:r>
    </w:p>
    <w:p>
      <w:pPr>
        <w:spacing w:after="120"/>
      </w:pPr>
      <w:r>
        <w:rPr>
          <w:rFonts w:ascii="Times New Roman" w:cs="Times New Roman" w:eastAsia="Times New Roman" w:hAnsi="Times New Roman"/>
          <w:i/>
          <w:iCs/>
          <w:color w:val="1F2937"/>
          <w:sz w:val="22"/>
          <w:szCs w:val="22"/>
        </w:rPr>
        <w:t xml:space="preserve">Parcours : Éducation financière personnelle — du fondamental à l'avancé</w:t>
      </w:r>
    </w:p>
    <w:p>
      <w:pPr>
        <w:spacing w:after="160" w:before="160"/>
      </w:pPr>
      <w:r>
        <w:rPr>
          <w:rFonts w:ascii="Times New Roman" w:cs="Times New Roman" w:eastAsia="Times New Roman" w:hAnsi="Times New Roman"/>
          <w:color w:val="D1D5DB"/>
          <w:sz w:val="22"/>
          <w:szCs w:val="22"/>
        </w:rPr>
        <w:t xml:space="preserve">────────────────────────────────────────────────────</w:t>
      </w:r>
    </w:p>
    <w:p>
      <w:pPr>
        <w:pStyle w:val="Heading2"/>
        <w:spacing w:after="100" w:before="240"/>
      </w:pPr>
      <w:r>
        <w:rPr>
          <w:rFonts w:ascii="Times New Roman" w:cs="Times New Roman" w:eastAsia="Times New Roman" w:hAnsi="Times New Roman"/>
          <w:b/>
          <w:bCs/>
          <w:color w:val="1B3A6B"/>
          <w:sz w:val="30"/>
          <w:szCs w:val="30"/>
        </w:rPr>
        <w:t xml:space="preserve">🎯 Objectif &amp; continuité</w:t>
      </w:r>
    </w:p>
    <w:p>
      <w:pPr>
        <w:spacing w:after="1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À l'issue de cette leçon, tu sauras :</w:t>
      </w:r>
    </w:p>
    <w:p>
      <w:pPr>
        <w:pStyle w:val="ListParagraph"/>
        <w:numPr>
          <w:ilvl w:val="0"/>
          <w:numId w:val="1"/>
        </w:numPr>
        <w:spacing w:after="60"/>
        <w:ind w:left="7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Expliquer ce qu'est une obligation et comment elle fonctionne (émetteur, coupon, maturité, prix).</w:t>
      </w:r>
    </w:p>
    <w:p>
      <w:pPr>
        <w:pStyle w:val="ListParagraph"/>
        <w:numPr>
          <w:ilvl w:val="0"/>
          <w:numId w:val="1"/>
        </w:numPr>
        <w:spacing w:after="60"/>
        <w:ind w:left="7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Calculer le rendement courant d'une obligation et comprendre la relation inverse taux/prix.</w:t>
      </w:r>
    </w:p>
    <w:p>
      <w:pPr>
        <w:pStyle w:val="ListParagraph"/>
        <w:numPr>
          <w:ilvl w:val="0"/>
          <w:numId w:val="1"/>
        </w:numPr>
        <w:spacing w:after="60"/>
        <w:ind w:left="7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Identifier les principaux risques obligataires et distinguer les voies d'accès pour un particulier (direct, fonds, ETF).</w:t>
      </w:r>
    </w:p>
    <w:p>
      <w:pPr>
        <w:spacing w:after="120"/>
      </w:pPr>
      <w:r>
        <w:rPr>
          <w:rFonts w:ascii="Times New Roman" w:cs="Times New Roman" w:eastAsia="Times New Roman" w:hAnsi="Times New Roman"/>
          <w:b/>
          <w:bCs/>
          <w:color w:val="1F2937"/>
          <w:sz w:val="22"/>
          <w:szCs w:val="22"/>
        </w:rPr>
        <w:t xml:space="preserve">Lien avec la leçon précédente (n°11 — Épargne salariale) : </w:t>
      </w: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après avoir exploré les enveloppes collectives d'entreprise (PEE, PERECO), tu passes maintenant à une classe d'actifs spécifique : les titres de créance. Les fonds obligataires sont souvent proposés comme supports « prudents » dans les PEE, PERECO et l'assurance-vie. Cette leçon te permettra de comprendre ce que tu détiens réellement quand tu coches la case « fonds obligataires » dans ton épargne salariale ou ton contrat d'assurance-vie.</w:t>
      </w:r>
    </w:p>
    <w:p>
      <w:pPr>
        <w:shd w:fill="F3F4F6" w:color="F3F4F6" w:val="solid"/>
        <w:spacing w:after="140" w:before="80"/>
        <w:ind w:left="300" w:right="300"/>
      </w:pPr>
      <w:r>
        <w:rPr>
          <w:rFonts w:ascii="Times New Roman" w:cs="Times New Roman" w:eastAsia="Times New Roman" w:hAnsi="Times New Roman"/>
          <w:b w:val="false"/>
          <w:bCs w:val="false"/>
          <w:color w:val="1F2937"/>
          <w:sz w:val="22"/>
          <w:szCs w:val="22"/>
        </w:rPr>
        <w:t xml:space="preserve">⚖️ Rappel : cette leçon relève de l'éducation financière générale. Elle ne constitue en aucun cas un conseil en investissement personnalisé. Tout placement en obligations ou fonds obligataires comporte un </w:t>
      </w:r>
      <w:r>
        <w:rPr>
          <w:rFonts w:ascii="Times New Roman" w:cs="Times New Roman" w:eastAsia="Times New Roman" w:hAnsi="Times New Roman"/>
          <w:b/>
          <w:bCs/>
          <w:color w:val="1F2937"/>
          <w:sz w:val="22"/>
          <w:szCs w:val="22"/>
        </w:rPr>
        <w:t xml:space="preserve">risque de perte en capital</w:t>
      </w:r>
      <w:r>
        <w:rPr>
          <w:rFonts w:ascii="Times New Roman" w:cs="Times New Roman" w:eastAsia="Times New Roman" w:hAnsi="Times New Roman"/>
          <w:b w:val="false"/>
          <w:bCs w:val="false"/>
          <w:color w:val="1F2937"/>
          <w:sz w:val="22"/>
          <w:szCs w:val="22"/>
        </w:rPr>
        <w:t xml:space="preserve">. Pour toute décision, consulte un conseiller en gestion de patrimoine (CGP) ou un conseiller en investissements financiers (CIF) agréé AMF.</w:t>
      </w:r>
    </w:p>
    <w:p>
      <w:pPr>
        <w:spacing w:after="160" w:before="160"/>
      </w:pPr>
      <w:r>
        <w:rPr>
          <w:rFonts w:ascii="Times New Roman" w:cs="Times New Roman" w:eastAsia="Times New Roman" w:hAnsi="Times New Roman"/>
          <w:color w:val="D1D5DB"/>
          <w:sz w:val="22"/>
          <w:szCs w:val="22"/>
        </w:rPr>
        <w:t xml:space="preserve">────────────────────────────────────────────────────</w:t>
      </w:r>
    </w:p>
    <w:p>
      <w:pPr>
        <w:pStyle w:val="Heading2"/>
        <w:spacing w:after="100" w:before="240"/>
      </w:pPr>
      <w:r>
        <w:rPr>
          <w:rFonts w:ascii="Times New Roman" w:cs="Times New Roman" w:eastAsia="Times New Roman" w:hAnsi="Times New Roman"/>
          <w:b/>
          <w:bCs/>
          <w:color w:val="1B3A6B"/>
          <w:sz w:val="30"/>
          <w:szCs w:val="30"/>
        </w:rPr>
        <w:t xml:space="preserve">🔬 Théorie (20 %) — Qu'est-ce qu'une obligation ?</w:t>
      </w:r>
    </w:p>
    <w:p>
      <w:pPr>
        <w:pStyle w:val="Heading3"/>
        <w:spacing w:after="80" w:before="160"/>
      </w:pPr>
      <w:r>
        <w:rPr>
          <w:rFonts w:ascii="Times New Roman" w:cs="Times New Roman" w:eastAsia="Times New Roman" w:hAnsi="Times New Roman"/>
          <w:b/>
          <w:bCs/>
          <w:color w:val="1F2937"/>
          <w:sz w:val="26"/>
          <w:szCs w:val="26"/>
        </w:rPr>
        <w:t xml:space="preserve">1. Définition fondamentale</w:t>
      </w:r>
    </w:p>
    <w:p>
      <w:pPr>
        <w:spacing w:after="1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Une obligation est </w:t>
      </w:r>
      <w:r>
        <w:rPr>
          <w:rFonts w:ascii="Times New Roman" w:cs="Times New Roman" w:eastAsia="Times New Roman" w:hAnsi="Times New Roman"/>
          <w:i/>
          <w:iCs/>
          <w:color w:val="1F2937"/>
          <w:sz w:val="22"/>
          <w:szCs w:val="22"/>
        </w:rPr>
        <w:t xml:space="preserve">un titre financier représentatif d'un emprunt émis par un État, une collectivité locale ou une entreprise</w:t>
      </w: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 (définition : La Finance pour Tous, IEFP). Concrètement, quand tu achètes une obligation, tu prêtes de l'argent à l'émetteur. En échange, il s'engage à :</w:t>
      </w:r>
    </w:p>
    <w:p>
      <w:pPr>
        <w:pStyle w:val="ListParagraph"/>
        <w:numPr>
          <w:ilvl w:val="0"/>
          <w:numId w:val="1"/>
        </w:numPr>
        <w:spacing w:after="60"/>
        <w:ind w:left="7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te verser périodiquement des intérêts (le coupon) ;</w:t>
      </w:r>
    </w:p>
    <w:p>
      <w:pPr>
        <w:pStyle w:val="ListParagraph"/>
        <w:numPr>
          <w:ilvl w:val="0"/>
          <w:numId w:val="1"/>
        </w:numPr>
        <w:spacing w:after="60"/>
        <w:ind w:left="7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te rembourser le capital à l'échéance (la maturité).</w:t>
      </w:r>
    </w:p>
    <w:p>
      <w:pPr>
        <w:spacing w:after="120"/>
      </w:pPr>
      <w:r>
        <w:rPr>
          <w:rFonts w:ascii="Times New Roman" w:cs="Times New Roman" w:eastAsia="Times New Roman" w:hAnsi="Times New Roman"/>
          <w:i/>
          <w:iCs/>
          <w:color w:val="1F2937"/>
          <w:sz w:val="22"/>
          <w:szCs w:val="22"/>
        </w:rPr>
        <w:t xml:space="preserve">Contrairement à une action, une obligation ne confère aucun droit de vote ni participation aux bénéfices. C'est un contrat de dette.</w:t>
      </w:r>
    </w:p>
    <w:p>
      <w:pPr>
        <w:pStyle w:val="Heading3"/>
        <w:spacing w:after="80" w:before="160"/>
      </w:pPr>
      <w:r>
        <w:rPr>
          <w:rFonts w:ascii="Times New Roman" w:cs="Times New Roman" w:eastAsia="Times New Roman" w:hAnsi="Times New Roman"/>
          <w:b/>
          <w:bCs/>
          <w:color w:val="1F2937"/>
          <w:sz w:val="26"/>
          <w:szCs w:val="26"/>
        </w:rPr>
        <w:t xml:space="preserve">2. Anatomie d'une obligation — les 5 caractéristiques clés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1B3A6B" w:color="1B3A6B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Caractéristique</w:t>
            </w:r>
          </w:p>
        </w:tc>
        <w:tc>
          <w:tcPr>
            <w:shd w:fill="1B3A6B" w:color="1B3A6B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Définition</w:t>
            </w:r>
          </w:p>
        </w:tc>
        <w:tc>
          <w:tcPr>
            <w:shd w:fill="1B3A6B" w:color="1B3A6B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Exemple concret</w:t>
            </w:r>
          </w:p>
        </w:tc>
      </w:tr>
      <w:tr>
        <w:tc>
          <w:tcPr>
            <w:shd w:fill="FFFFFF" w:color="FFFFFF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Valeur nominale</w:t>
            </w:r>
          </w:p>
        </w:tc>
        <w:tc>
          <w:tcPr>
            <w:shd w:fill="FFFFFF" w:color="FFFFFF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Capital initial divisé par le nombre de titres émis</w:t>
            </w:r>
          </w:p>
        </w:tc>
        <w:tc>
          <w:tcPr>
            <w:shd w:fill="FFFFFF" w:color="FFFFFF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1 000 €</w:t>
            </w:r>
          </w:p>
        </w:tc>
      </w:tr>
      <w:tr>
        <w:tc>
          <w:tcPr>
            <w:shd w:fill="EEF2F7" w:color="EEF2F7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Taux nominal (coupon)</w:t>
            </w:r>
          </w:p>
        </w:tc>
        <w:tc>
          <w:tcPr>
            <w:shd w:fill="EEF2F7" w:color="EEF2F7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Taux d'intérêt annuel appliqué à la valeur nominale</w:t>
            </w:r>
          </w:p>
        </w:tc>
        <w:tc>
          <w:tcPr>
            <w:shd w:fill="EEF2F7" w:color="EEF2F7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2,50 %</w:t>
            </w:r>
          </w:p>
        </w:tc>
      </w:tr>
      <w:tr>
        <w:tc>
          <w:tcPr>
            <w:shd w:fill="FFFFFF" w:color="FFFFFF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Coupon annuel</w:t>
            </w:r>
          </w:p>
        </w:tc>
        <w:tc>
          <w:tcPr>
            <w:shd w:fill="FFFFFF" w:color="FFFFFF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Valeur nominale × taux nominal</w:t>
            </w:r>
          </w:p>
        </w:tc>
        <w:tc>
          <w:tcPr>
            <w:shd w:fill="FFFFFF" w:color="FFFFFF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1 000 € × 2,50 % = 25 €</w:t>
            </w:r>
          </w:p>
        </w:tc>
      </w:tr>
      <w:tr>
        <w:tc>
          <w:tcPr>
            <w:shd w:fill="EEF2F7" w:color="EEF2F7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Maturité</w:t>
            </w:r>
          </w:p>
        </w:tc>
        <w:tc>
          <w:tcPr>
            <w:shd w:fill="EEF2F7" w:color="EEF2F7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Durée de vie ; durée de vie moyenne ~10 ans</w:t>
            </w:r>
          </w:p>
        </w:tc>
        <w:tc>
          <w:tcPr>
            <w:shd w:fill="EEF2F7" w:color="EEF2F7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8 ans restants</w:t>
            </w:r>
          </w:p>
        </w:tc>
      </w:tr>
      <w:tr>
        <w:tc>
          <w:tcPr>
            <w:shd w:fill="FFFFFF" w:color="FFFFFF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Prix de marché</w:t>
            </w:r>
          </w:p>
        </w:tc>
        <w:tc>
          <w:tcPr>
            <w:shd w:fill="FFFFFF" w:color="FFFFFF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Exprimé en % du nominal, fluctue selon les taux</w:t>
            </w:r>
          </w:p>
        </w:tc>
        <w:tc>
          <w:tcPr>
            <w:shd w:fill="FFFFFF" w:color="FFFFFF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102,5 % (soit 1 025 €)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rFonts w:ascii="Times New Roman" w:cs="Times New Roman" w:eastAsia="Times New Roman" w:hAnsi="Times New Roman"/>
          <w:b/>
          <w:bCs/>
          <w:color w:val="1F2937"/>
          <w:sz w:val="22"/>
          <w:szCs w:val="22"/>
        </w:rPr>
        <w:t xml:space="preserve">Coupon couru (formule) : </w:t>
      </w: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(Taux nominal × nombre de jours écoulés depuis le dernier coupon) ÷ 360. C'est la rémunération accumulée que tu verses à l'ancien détenteur quand tu achètes en cours de période.</w:t>
      </w:r>
    </w:p>
    <w:p>
      <w:pPr>
        <w:pStyle w:val="Heading3"/>
        <w:spacing w:after="80" w:before="160"/>
      </w:pPr>
      <w:r>
        <w:rPr>
          <w:rFonts w:ascii="Times New Roman" w:cs="Times New Roman" w:eastAsia="Times New Roman" w:hAnsi="Times New Roman"/>
          <w:b/>
          <w:bCs/>
          <w:color w:val="1F2937"/>
          <w:sz w:val="26"/>
          <w:szCs w:val="26"/>
        </w:rPr>
        <w:t xml:space="preserve">3. La relation fondamentale : taux du marché ↔ prix des obligations</w:t>
      </w:r>
    </w:p>
    <w:p>
      <w:pPr>
        <w:shd w:fill="F3F4F6" w:color="F3F4F6" w:val="solid"/>
        <w:spacing w:after="140" w:before="80"/>
        <w:ind w:left="300" w:right="300"/>
      </w:pPr>
      <w:r>
        <w:rPr>
          <w:rFonts w:ascii="Times New Roman" w:cs="Times New Roman" w:eastAsia="Times New Roman" w:hAnsi="Times New Roman"/>
          <w:b/>
          <w:bCs/>
          <w:color w:val="1F2937"/>
          <w:sz w:val="22"/>
          <w:szCs w:val="22"/>
        </w:rPr>
        <w:t xml:space="preserve">📌 Règle d'or : </w:t>
      </w: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quand les taux d'intérêt du marché montent → le prix des obligations déjà émises baisse. Et inversement. C'est la relation inverse taux/prix, centrale en finance obligataire.</w:t>
      </w:r>
    </w:p>
    <w:p>
      <w:pPr>
        <w:spacing w:after="1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Illustration chiffrée (source : La Finance pour Tous, rubrique « Acquérir des obligations ») :</w:t>
      </w:r>
    </w:p>
    <w:p>
      <w:pPr>
        <w:pStyle w:val="ListParagraph"/>
        <w:numPr>
          <w:ilvl w:val="0"/>
          <w:numId w:val="1"/>
        </w:numPr>
        <w:spacing w:after="60"/>
        <w:ind w:left="7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Obligation émise à 100 € au taux de 5 %.</w:t>
      </w:r>
    </w:p>
    <w:p>
      <w:pPr>
        <w:pStyle w:val="ListParagraph"/>
        <w:numPr>
          <w:ilvl w:val="0"/>
          <w:numId w:val="1"/>
        </w:numPr>
        <w:spacing w:after="60"/>
        <w:ind w:left="7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Si les taux du marché montent à 10 % : personne ne veut payer 100 € pour toucher 5 %. Le prix tombe à ~50 € pour que le rendement soit équivalent.</w:t>
      </w:r>
    </w:p>
    <w:p>
      <w:pPr>
        <w:pStyle w:val="ListParagraph"/>
        <w:numPr>
          <w:ilvl w:val="0"/>
          <w:numId w:val="1"/>
        </w:numPr>
        <w:spacing w:after="60"/>
        <w:ind w:left="7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Si les taux du marché baissent à 3 % : l'obligation à 5 % devient très attractive. Son prix monte à ~166 €.</w:t>
      </w:r>
    </w:p>
    <w:p>
      <w:pPr>
        <w:pStyle w:val="Heading3"/>
        <w:spacing w:after="80" w:before="160"/>
      </w:pPr>
      <w:r>
        <w:rPr>
          <w:rFonts w:ascii="Times New Roman" w:cs="Times New Roman" w:eastAsia="Times New Roman" w:hAnsi="Times New Roman"/>
          <w:b/>
          <w:bCs/>
          <w:color w:val="1F2937"/>
          <w:sz w:val="26"/>
          <w:szCs w:val="26"/>
        </w:rPr>
        <w:t xml:space="preserve">4. Le rendement : deux mesures à connaître</w:t>
      </w:r>
    </w:p>
    <w:p>
      <w:pPr>
        <w:spacing w:after="120"/>
      </w:pPr>
      <w:r>
        <w:rPr>
          <w:rFonts w:ascii="Times New Roman" w:cs="Times New Roman" w:eastAsia="Times New Roman" w:hAnsi="Times New Roman"/>
          <w:b/>
          <w:bCs/>
          <w:color w:val="1F2937"/>
          <w:sz w:val="22"/>
          <w:szCs w:val="22"/>
        </w:rPr>
        <w:t xml:space="preserve">a) Rendement courant</w:t>
      </w: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 = Coupon ÷ Cours × 100</w:t>
      </w:r>
    </w:p>
    <w:p>
      <w:pPr>
        <w:spacing w:after="1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Exemple (source : La Finance pour Tous) : coupon de 4,8 — cours de 96 → Rendement courant = (4,8 / 96) × 100 = </w:t>
      </w:r>
      <w:r>
        <w:rPr>
          <w:rFonts w:ascii="Times New Roman" w:cs="Times New Roman" w:eastAsia="Times New Roman" w:hAnsi="Times New Roman"/>
          <w:b/>
          <w:bCs/>
          <w:color w:val="1F2937"/>
          <w:sz w:val="22"/>
          <w:szCs w:val="22"/>
        </w:rPr>
        <w:t xml:space="preserve">5,00 %</w:t>
      </w: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.</w:t>
      </w:r>
    </w:p>
    <w:p>
      <w:pPr>
        <w:spacing w:after="120"/>
      </w:pPr>
      <w:r>
        <w:rPr>
          <w:rFonts w:ascii="Times New Roman" w:cs="Times New Roman" w:eastAsia="Times New Roman" w:hAnsi="Times New Roman"/>
          <w:b/>
          <w:bCs/>
          <w:color w:val="1F2937"/>
          <w:sz w:val="22"/>
          <w:szCs w:val="22"/>
        </w:rPr>
        <w:t xml:space="preserve">b) Taux de rendement actuariel (TRA)</w:t>
      </w: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 = taux qui égalise la valeur actuelle de l'obligation avec la somme de tous les flux futurs (coupons + remboursement). C'est la mesure de référence des professionnels.</w:t>
      </w:r>
    </w:p>
    <w:p>
      <w:pPr>
        <w:spacing w:after="1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Exemple (source : La Finance pour Tous) : obligation à 102,5 % du nominal, coupon 4,5 %, 8 ans restants. Rendement courant = 4,5 / 102,5 = 4,39 %. Le titre est acheté AU-DESSUS du pair : on paie 102,5 pour être remboursé 100, soit une perte de 2,5 étalée sur 8 ans, environ −0,31 % par an. Ce second terme se SOUSTRAIT : 4,39 % − 0,31 % ≈ 4,08 %, et le calcul actuariel exact donne </w:t>
      </w:r>
      <w:r>
        <w:rPr>
          <w:rFonts w:ascii="Times New Roman" w:cs="Times New Roman" w:eastAsia="Times New Roman" w:hAnsi="Times New Roman"/>
          <w:b/>
          <w:bCs/>
          <w:color w:val="1F2937"/>
          <w:sz w:val="22"/>
          <w:szCs w:val="22"/>
        </w:rPr>
        <w:t xml:space="preserve">4,13 %</w:t>
      </w: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. 📌 Le sens du second terme est la seule chose à retenir ici : une obligation achetée AU-DESSUS du pair rapporte MOINS que son rendement courant, une obligation achetée AU-DESSOUS rapporte PLUS. La prime payée à l'achat est perdue au remboursement, la décote est encaissée. Si le calcul te donne un actuariel supérieur au courant sur un titre acheté à 102,5 %, c'est que le signe a été inversé.</w:t>
      </w:r>
    </w:p>
    <w:p>
      <w:pPr>
        <w:pStyle w:val="Heading3"/>
        <w:spacing w:after="80" w:before="160"/>
      </w:pPr>
      <w:r>
        <w:rPr>
          <w:rFonts w:ascii="Times New Roman" w:cs="Times New Roman" w:eastAsia="Times New Roman" w:hAnsi="Times New Roman"/>
          <w:b/>
          <w:bCs/>
          <w:color w:val="1F2937"/>
          <w:sz w:val="26"/>
          <w:szCs w:val="26"/>
        </w:rPr>
        <w:t xml:space="preserve">5. Les principaux types d'émetteurs et la notation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1B3A6B" w:color="1B3A6B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Émetteur</w:t>
            </w:r>
          </w:p>
        </w:tc>
        <w:tc>
          <w:tcPr>
            <w:shd w:fill="1B3A6B" w:color="1B3A6B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Risque</w:t>
            </w:r>
          </w:p>
        </w:tc>
        <w:tc>
          <w:tcPr>
            <w:shd w:fill="1B3A6B" w:color="1B3A6B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Notation typique (S&amp;P)</w:t>
            </w:r>
          </w:p>
        </w:tc>
        <w:tc>
          <w:tcPr>
            <w:shd w:fill="1B3A6B" w:color="1B3A6B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Rendement</w:t>
            </w:r>
          </w:p>
        </w:tc>
      </w:tr>
      <w:tr>
        <w:tc>
          <w:tcPr>
            <w:shd w:fill="FFFFFF" w:color="FFFFFF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État français (OAT)</w:t>
            </w:r>
          </w:p>
        </w:tc>
        <w:tc>
          <w:tcPr>
            <w:shd w:fill="FFFFFF" w:color="FFFFFF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Très faible</w:t>
            </w:r>
          </w:p>
        </w:tc>
        <w:tc>
          <w:tcPr>
            <w:shd w:fill="FFFFFF" w:color="FFFFFF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A+ — S&amp;P a abaissé la France de AA- à A+ le 17/10/2025. Les deux autres agences, vérifiées le 24/09/2026 : Fitch A+ (perspective stable, 06/03/2026) et Moody's Aa3 (stable, 14/12/2024). Vérifier avant réutilisation : une notation souveraine bouge.</w:t>
            </w:r>
            <w:r>
              <w:rPr>
                <w:rFonts w:ascii="Times New Roman" w:cs="Times New Roman" w:eastAsia="Times New Roman" w:hAnsi="Times New Roman"/>
                <w:i/>
                <w:iCs/>
                <w:color w:val="6B7280"/>
                <w:sz w:val="20"/>
                <w:szCs w:val="20"/>
              </w:rPr>
              <w:t xml:space="preserve"> [Corrigé le 24/09/2026 : la version du 29/08/2026 donnait « Fitch : AA- ». Fitch a dégradé la France à A+ — la notice française le date de septembre 2025, le tableau des notations souveraines de Wikipédia en anglais porte « A+, Stable, 6 March 2026 ». Deux agences sur trois sont donc à A+, et non une seule. S&amp;P (A+ au 17/10/2025) et Moody's (Aa3 au 14/12/2024) sont confirmées.]</w:t>
            </w:r>
          </w:p>
        </w:tc>
        <w:tc>
          <w:tcPr>
            <w:shd w:fill="FFFFFF" w:color="FFFFFF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Bas</w:t>
            </w:r>
          </w:p>
        </w:tc>
      </w:tr>
      <w:tr>
        <w:tc>
          <w:tcPr>
            <w:shd w:fill="EEF2F7" w:color="EEF2F7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États développés (Allemagne, USA)</w:t>
            </w:r>
          </w:p>
        </w:tc>
        <w:tc>
          <w:tcPr>
            <w:shd w:fill="EEF2F7" w:color="EEF2F7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Très faible à faible</w:t>
            </w:r>
          </w:p>
        </w:tc>
        <w:tc>
          <w:tcPr>
            <w:shd w:fill="EEF2F7" w:color="EEF2F7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AAA / AA+</w:t>
            </w:r>
          </w:p>
        </w:tc>
        <w:tc>
          <w:tcPr>
            <w:shd w:fill="EEF2F7" w:color="EEF2F7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Bas</w:t>
            </w:r>
          </w:p>
        </w:tc>
      </w:tr>
      <w:tr>
        <w:tc>
          <w:tcPr>
            <w:shd w:fill="FFFFFF" w:color="FFFFFF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Grandes entreprises solides (investment grade)</w:t>
            </w:r>
          </w:p>
        </w:tc>
        <w:tc>
          <w:tcPr>
            <w:shd w:fill="FFFFFF" w:color="FFFFFF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Modéré</w:t>
            </w:r>
          </w:p>
        </w:tc>
        <w:tc>
          <w:tcPr>
            <w:shd w:fill="FFFFFF" w:color="FFFFFF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BBB- à AAA</w:t>
            </w:r>
          </w:p>
        </w:tc>
        <w:tc>
          <w:tcPr>
            <w:shd w:fill="FFFFFF" w:color="FFFFFF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Intermédiaire</w:t>
            </w:r>
          </w:p>
        </w:tc>
      </w:tr>
      <w:tr>
        <w:tc>
          <w:tcPr>
            <w:shd w:fill="EEF2F7" w:color="EEF2F7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Entreprises à haut rendement (high yield)</w:t>
            </w:r>
          </w:p>
        </w:tc>
        <w:tc>
          <w:tcPr>
            <w:shd w:fill="EEF2F7" w:color="EEF2F7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Élevé</w:t>
            </w:r>
          </w:p>
        </w:tc>
        <w:tc>
          <w:tcPr>
            <w:shd w:fill="EEF2F7" w:color="EEF2F7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BB+ et inférieur</w:t>
            </w:r>
          </w:p>
        </w:tc>
        <w:tc>
          <w:tcPr>
            <w:shd w:fill="EEF2F7" w:color="EEF2F7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Élevé</w:t>
            </w:r>
          </w:p>
        </w:tc>
      </w:tr>
    </w:tbl>
    <w:p>
      <w:pPr>
        <w:spacing w:after="100"/>
      </w:pPr>
    </w:p>
    <w:p>
      <w:pPr>
        <w:spacing w:after="120" w:before="80"/>
        <w:ind w:left="540"/>
      </w:pPr>
      <w:r>
        <w:rPr>
          <w:rFonts w:ascii="Times New Roman" w:cs="Times New Roman" w:eastAsia="Times New Roman" w:hAnsi="Times New Roman"/>
          <w:i/>
          <w:iCs/>
          <w:color w:val="1B3A6B"/>
          <w:sz w:val="22"/>
          <w:szCs w:val="22"/>
        </w:rPr>
        <w:t xml:space="preserve">« Plus le risque pris est important, plus le rendement espéré est élevé. » — La Finance pour Tous, Les risques obligataires</w:t>
      </w:r>
    </w:p>
    <w:p>
      <w:pPr>
        <w:pStyle w:val="Heading3"/>
        <w:spacing w:after="80" w:before="160"/>
      </w:pPr>
      <w:r>
        <w:rPr>
          <w:rFonts w:ascii="Times New Roman" w:cs="Times New Roman" w:eastAsia="Times New Roman" w:hAnsi="Times New Roman"/>
          <w:b/>
          <w:bCs/>
          <w:color w:val="1F2937"/>
          <w:sz w:val="26"/>
          <w:szCs w:val="26"/>
        </w:rPr>
        <w:t xml:space="preserve">6. Les risques obligataires</w:t>
      </w:r>
    </w:p>
    <w:p>
      <w:pPr>
        <w:spacing w:after="1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Cinq risques à connaître (source : La Finance pour Tous, section « Risques obligataires ») :</w:t>
      </w:r>
    </w:p>
    <w:p>
      <w:pPr>
        <w:pStyle w:val="ListParagraph"/>
        <w:numPr>
          <w:ilvl w:val="0"/>
          <w:numId w:val="1"/>
        </w:numPr>
        <w:spacing w:after="60"/>
        <w:ind w:left="7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Risque de taux : la hausse des taux fait baisser la valeur des obligations en portefeuille. La sensibilité mesure cet impact : une sensibilité de 7 signifie qu'une hausse de 1 % des taux provoque une baisse de 7 % de la valeur du fonds.</w:t>
      </w:r>
    </w:p>
    <w:p>
      <w:pPr>
        <w:pStyle w:val="ListParagraph"/>
        <w:numPr>
          <w:ilvl w:val="0"/>
          <w:numId w:val="1"/>
        </w:numPr>
        <w:spacing w:after="60"/>
        <w:ind w:left="7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Risque de défaut (crédit) : l'émetteur ne rembourse pas. Mesuré par les agences de notation (Standard &amp; Poor's, Moody's, Fitch). AAA = risque minimal. Exemple historique (1994) : lors d'une hausse brutale des taux par la Fed, un portefeuille obligataire a perdu 4,46 € par titre ; il a fallu presque 22 mois pour effacer la perte grâce aux coupons.</w:t>
      </w:r>
    </w:p>
    <w:p>
      <w:pPr>
        <w:pStyle w:val="ListParagraph"/>
        <w:numPr>
          <w:ilvl w:val="0"/>
          <w:numId w:val="1"/>
        </w:numPr>
        <w:spacing w:after="60"/>
        <w:ind w:left="7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Risque de liquidité : difficulté à revendre l'obligation au prix souhaité si peu d'acheteurs sont présents sur le marché.</w:t>
      </w:r>
    </w:p>
    <w:p>
      <w:pPr>
        <w:pStyle w:val="ListParagraph"/>
        <w:numPr>
          <w:ilvl w:val="0"/>
          <w:numId w:val="1"/>
        </w:numPr>
        <w:spacing w:after="60"/>
        <w:ind w:left="7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Risque de change : si l'obligation est libellée en devises étrangères (dollar, livre…), une appréciation de la devise étrangère peut affecter le rendement réel.</w:t>
      </w:r>
    </w:p>
    <w:p>
      <w:pPr>
        <w:pStyle w:val="ListParagraph"/>
        <w:numPr>
          <w:ilvl w:val="0"/>
          <w:numId w:val="1"/>
        </w:numPr>
        <w:spacing w:after="60"/>
        <w:ind w:left="7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Risque d'inflation : les coupons fixes perdent du pouvoir d'achat si l'inflation monte. Les obligations indexées sur l'inflation (OATi en France) offrent une protection partielle.</w:t>
      </w:r>
    </w:p>
    <w:p>
      <w:pPr>
        <w:pStyle w:val="Heading3"/>
        <w:spacing w:after="80" w:before="160"/>
      </w:pPr>
      <w:r>
        <w:rPr>
          <w:rFonts w:ascii="Times New Roman" w:cs="Times New Roman" w:eastAsia="Times New Roman" w:hAnsi="Times New Roman"/>
          <w:b/>
          <w:bCs/>
          <w:color w:val="1F2937"/>
          <w:sz w:val="26"/>
          <w:szCs w:val="26"/>
        </w:rPr>
        <w:t xml:space="preserve">7. Comment accéder aux obligations en tant que particulier ?</w:t>
      </w:r>
    </w:p>
    <w:p>
      <w:pPr>
        <w:spacing w:after="1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Trois voies principales (source : La Finance pour Tous, « Acquérir des obligations ») 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1B3A6B" w:color="1B3A6B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Voie d'accès</w:t>
            </w:r>
          </w:p>
        </w:tc>
        <w:tc>
          <w:tcPr>
            <w:shd w:fill="1B3A6B" w:color="1B3A6B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Avantages</w:t>
            </w:r>
          </w:p>
        </w:tc>
        <w:tc>
          <w:tcPr>
            <w:shd w:fill="1B3A6B" w:color="1B3A6B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Inconvénients</w:t>
            </w:r>
          </w:p>
        </w:tc>
        <w:tc>
          <w:tcPr>
            <w:shd w:fill="1B3A6B" w:color="1B3A6B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Adapté à…</w:t>
            </w:r>
          </w:p>
        </w:tc>
      </w:tr>
      <w:tr>
        <w:tc>
          <w:tcPr>
            <w:shd w:fill="FFFFFF" w:color="FFFFFF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Direct (OAT, obligations d'entreprise)</w:t>
            </w:r>
          </w:p>
        </w:tc>
        <w:tc>
          <w:tcPr>
            <w:shd w:fill="FFFFFF" w:color="FFFFFF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Maîtrise totale, coupon connu</w:t>
            </w:r>
          </w:p>
        </w:tc>
        <w:tc>
          <w:tcPr>
            <w:shd w:fill="FFFFFF" w:color="FFFFFF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Montants élevés, complexité, risque de concentration</w:t>
            </w:r>
          </w:p>
        </w:tc>
        <w:tc>
          <w:tcPr>
            <w:shd w:fill="FFFFFF" w:color="FFFFFF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Investisseurs avertis avec capital important</w:t>
            </w:r>
          </w:p>
        </w:tc>
      </w:tr>
      <w:tr>
        <w:tc>
          <w:tcPr>
            <w:shd w:fill="EEF2F7" w:color="EEF2F7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Fonds obligataires (SICAV/FCP)</w:t>
            </w:r>
          </w:p>
        </w:tc>
        <w:tc>
          <w:tcPr>
            <w:shd w:fill="EEF2F7" w:color="EEF2F7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Diversification, gestion déléguée, liquidité quotidienne</w:t>
            </w:r>
          </w:p>
        </w:tc>
        <w:tc>
          <w:tcPr>
            <w:shd w:fill="EEF2F7" w:color="EEF2F7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Frais de gestion, aucune garantie en capital</w:t>
            </w:r>
          </w:p>
        </w:tc>
        <w:tc>
          <w:tcPr>
            <w:shd w:fill="EEF2F7" w:color="EEF2F7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Particuliers souhaitant déléguer</w:t>
            </w:r>
          </w:p>
        </w:tc>
      </w:tr>
      <w:tr>
        <w:tc>
          <w:tcPr>
            <w:shd w:fill="FFFFFF" w:color="FFFFFF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ETF obligataires</w:t>
            </w:r>
          </w:p>
        </w:tc>
        <w:tc>
          <w:tcPr>
            <w:shd w:fill="FFFFFF" w:color="FFFFFF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Frais très faibles, diversification, transparence</w:t>
            </w:r>
          </w:p>
        </w:tc>
        <w:tc>
          <w:tcPr>
            <w:shd w:fill="FFFFFF" w:color="FFFFFF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Variation de prix quotidienne, risque de taux non amorti</w:t>
            </w:r>
          </w:p>
        </w:tc>
        <w:tc>
          <w:tcPr>
            <w:shd w:fill="FFFFFF" w:color="FFFFFF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Particuliers à l'aise avec les marchés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rFonts w:ascii="Times New Roman" w:cs="Times New Roman" w:eastAsia="Times New Roman" w:hAnsi="Times New Roman"/>
          <w:i/>
          <w:iCs/>
          <w:color w:val="1F2937"/>
          <w:sz w:val="22"/>
          <w:szCs w:val="22"/>
        </w:rPr>
        <w:t xml:space="preserve">💡 Les fonds en euros des contrats d'assurance-vie sont composés à 80-100 % d'obligations. En choisissant un fonds en euros, tu es déjà un investisseur obligataire — souvent sans le savoir.</w:t>
      </w:r>
    </w:p>
    <w:p>
      <w:pPr>
        <w:pStyle w:val="Heading3"/>
        <w:spacing w:after="80" w:before="160"/>
      </w:pPr>
      <w:r>
        <w:rPr>
          <w:rFonts w:ascii="Times New Roman" w:cs="Times New Roman" w:eastAsia="Times New Roman" w:hAnsi="Times New Roman"/>
          <w:b/>
          <w:bCs/>
          <w:color w:val="1F2937"/>
          <w:sz w:val="26"/>
          <w:szCs w:val="26"/>
        </w:rPr>
        <w:t xml:space="preserve">8. Fiscalité des revenus obligataires en France (2026)</w:t>
      </w:r>
    </w:p>
    <w:p>
      <w:pPr>
        <w:shd w:fill="F3F4F6" w:color="F3F4F6" w:val="solid"/>
        <w:spacing w:after="140" w:before="80"/>
        <w:ind w:left="300" w:right="300"/>
      </w:pPr>
      <w:r>
        <w:rPr>
          <w:rFonts w:ascii="Times New Roman" w:cs="Times New Roman" w:eastAsia="Times New Roman" w:hAnsi="Times New Roman"/>
          <w:b/>
          <w:bCs/>
          <w:color w:val="1F2937"/>
          <w:sz w:val="22"/>
          <w:szCs w:val="22"/>
        </w:rPr>
        <w:t xml:space="preserve">⚠️ Attention : le PFU a évolué au 1ᵉʳ janvier 2026 (hausse des prélèvements sociaux de 17,2 % à 18,6 % pour la grande majorité des produits).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shd w:fill="1B3A6B" w:color="1B3A6B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Régime</w:t>
            </w:r>
          </w:p>
        </w:tc>
        <w:tc>
          <w:tcPr>
            <w:shd w:fill="1B3A6B" w:color="1B3A6B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Taux IR</w:t>
            </w:r>
          </w:p>
        </w:tc>
        <w:tc>
          <w:tcPr>
            <w:shd w:fill="1B3A6B" w:color="1B3A6B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Prélèvements sociaux</w:t>
            </w:r>
          </w:p>
        </w:tc>
        <w:tc>
          <w:tcPr>
            <w:shd w:fill="1B3A6B" w:color="1B3A6B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Total</w:t>
            </w:r>
          </w:p>
        </w:tc>
        <w:tc>
          <w:tcPr>
            <w:shd w:fill="1B3A6B" w:color="1B3A6B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Exceptions</w:t>
            </w:r>
          </w:p>
        </w:tc>
      </w:tr>
      <w:tr>
        <w:tc>
          <w:tcPr>
            <w:shd w:fill="FFFFFF" w:color="FFFFFF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PFU (flat tax) — régime par défaut</w:t>
            </w:r>
          </w:p>
        </w:tc>
        <w:tc>
          <w:tcPr>
            <w:shd w:fill="FFFFFF" w:color="FFFFFF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12,8 %</w:t>
            </w:r>
          </w:p>
        </w:tc>
        <w:tc>
          <w:tcPr>
            <w:shd w:fill="FFFFFF" w:color="FFFFFF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18,6 %</w:t>
            </w:r>
          </w:p>
        </w:tc>
        <w:tc>
          <w:tcPr>
            <w:shd w:fill="FFFFFF" w:color="FFFFFF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31,4 %</w:t>
            </w:r>
          </w:p>
        </w:tc>
        <w:tc>
          <w:tcPr>
            <w:shd w:fill="FFFFFF" w:color="FFFFFF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fill="EEF2F7" w:color="EEF2F7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PEL, CEL, assurance-vie (selon conditions)</w:t>
            </w:r>
          </w:p>
        </w:tc>
        <w:tc>
          <w:tcPr>
            <w:shd w:fill="EEF2F7" w:color="EEF2F7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12,8 %</w:t>
            </w:r>
          </w:p>
        </w:tc>
        <w:tc>
          <w:tcPr>
            <w:shd w:fill="EEF2F7" w:color="EEF2F7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17,2 %</w:t>
            </w:r>
          </w:p>
        </w:tc>
        <w:tc>
          <w:tcPr>
            <w:shd w:fill="EEF2F7" w:color="EEF2F7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29,2 %</w:t>
            </w:r>
          </w:p>
        </w:tc>
        <w:tc>
          <w:tcPr>
            <w:shd w:fill="EEF2F7" w:color="EEF2F7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Oui — taux maintenu à 17,2 %</w:t>
            </w:r>
          </w:p>
        </w:tc>
      </w:tr>
      <w:tr>
        <w:tc>
          <w:tcPr>
            <w:shd w:fill="FFFFFF" w:color="FFFFFF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Option barème progressif</w:t>
            </w:r>
          </w:p>
        </w:tc>
        <w:tc>
          <w:tcPr>
            <w:shd w:fill="FFFFFF" w:color="FFFFFF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Variable (TMI)</w:t>
            </w:r>
          </w:p>
        </w:tc>
        <w:tc>
          <w:tcPr>
            <w:shd w:fill="FFFFFF" w:color="FFFFFF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18,6 % − déductibilité CSG 6,8 %</w:t>
            </w:r>
          </w:p>
        </w:tc>
        <w:tc>
          <w:tcPr>
            <w:shd w:fill="FFFFFF" w:color="FFFFFF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Variable</w:t>
            </w:r>
          </w:p>
        </w:tc>
        <w:tc>
          <w:tcPr>
            <w:shd w:fill="FFFFFF" w:color="FFFFFF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Tout ou rien (tous les placements du PFU)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rFonts w:ascii="Times New Roman" w:cs="Times New Roman" w:eastAsia="Times New Roman" w:hAnsi="Times New Roman"/>
          <w:b/>
          <w:bCs/>
          <w:color w:val="1F2937"/>
          <w:sz w:val="22"/>
          <w:szCs w:val="22"/>
        </w:rPr>
        <w:t xml:space="preserve">Acompte à la source : </w:t>
      </w: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un acompte de 12,8 % est prélevé par l'établissement payeur à chaque versement de coupon. Cet acompte est non libératoire : il constitue un avance d'impôt régularisée lors de la déclaration annuelle.</w:t>
      </w:r>
    </w:p>
    <w:p>
      <w:pPr>
        <w:spacing w:after="1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Dispense d'acompte possible sous condition de revenu fiscal de référence : &lt; 25 000 € (célibataire) ou &lt; 50 000 € (couple) pour les intérêts. Demande à effectuer avant le 30 novembre auprès de l'établissement payeur. (Source : La Finance pour Tous, « Obligations : quelle fiscalité ? »)</w:t>
      </w:r>
    </w:p>
    <w:p>
      <w:pPr>
        <w:spacing w:after="120"/>
      </w:pPr>
      <w:r>
        <w:rPr>
          <w:rFonts w:ascii="Times New Roman" w:cs="Times New Roman" w:eastAsia="Times New Roman" w:hAnsi="Times New Roman"/>
          <w:i/>
          <w:iCs/>
          <w:color w:val="1F2937"/>
          <w:sz w:val="22"/>
          <w:szCs w:val="22"/>
        </w:rPr>
        <w:t xml:space="preserve">⚠️ Ces taux proviennent de la page « Obligations : quelle fiscalité ? » de La Finance pour Tous (IEFP), consultée le 29/08/2026. Pour les produits soumis à régimes dérogatoires (assurance-vie, PEL antérieurs à 2018, etc.), vérifier impots.gouv.fr ou auprès d'un CGP.</w:t>
      </w:r>
    </w:p>
    <w:p>
      <w:pPr>
        <w:spacing w:after="160" w:before="160"/>
      </w:pPr>
      <w:r>
        <w:rPr>
          <w:rFonts w:ascii="Times New Roman" w:cs="Times New Roman" w:eastAsia="Times New Roman" w:hAnsi="Times New Roman"/>
          <w:color w:val="D1D5DB"/>
          <w:sz w:val="22"/>
          <w:szCs w:val="22"/>
        </w:rPr>
        <w:t xml:space="preserve">────────────────────────────────────────────────────</w:t>
      </w:r>
    </w:p>
    <w:p>
      <w:pPr>
        <w:pStyle w:val="Heading2"/>
        <w:spacing w:after="100" w:before="240"/>
      </w:pPr>
      <w:r>
        <w:rPr>
          <w:rFonts w:ascii="Times New Roman" w:cs="Times New Roman" w:eastAsia="Times New Roman" w:hAnsi="Times New Roman"/>
          <w:b/>
          <w:bCs/>
          <w:color w:val="1B3A6B"/>
          <w:sz w:val="30"/>
          <w:szCs w:val="30"/>
        </w:rPr>
        <w:t xml:space="preserve">🛠️ Pratique (80 %) — Exercices</w:t>
      </w:r>
    </w:p>
    <w:p>
      <w:pPr>
        <w:pStyle w:val="Heading3"/>
        <w:spacing w:after="80" w:before="160"/>
      </w:pPr>
      <w:r>
        <w:rPr>
          <w:rFonts w:ascii="Times New Roman" w:cs="Times New Roman" w:eastAsia="Times New Roman" w:hAnsi="Times New Roman"/>
          <w:b/>
          <w:bCs/>
          <w:color w:val="1F2937"/>
          <w:sz w:val="26"/>
          <w:szCs w:val="26"/>
        </w:rPr>
        <w:t xml:space="preserve">Exercice 1 — Calcul du coupon et du rendement courant</w:t>
      </w:r>
    </w:p>
    <w:p>
      <w:pPr>
        <w:spacing w:after="1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Tu envisages d'acheter une obligation d'entreprise avec les caractéristiques suivantes :</w:t>
      </w:r>
    </w:p>
    <w:p>
      <w:pPr>
        <w:pStyle w:val="ListParagraph"/>
        <w:numPr>
          <w:ilvl w:val="0"/>
          <w:numId w:val="1"/>
        </w:numPr>
        <w:spacing w:after="60"/>
        <w:ind w:left="7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Valeur nominale : 1 000 €</w:t>
      </w:r>
    </w:p>
    <w:p>
      <w:pPr>
        <w:pStyle w:val="ListParagraph"/>
        <w:numPr>
          <w:ilvl w:val="0"/>
          <w:numId w:val="1"/>
        </w:numPr>
        <w:spacing w:after="60"/>
        <w:ind w:left="7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Taux nominal : 3,20 %</w:t>
      </w:r>
    </w:p>
    <w:p>
      <w:pPr>
        <w:pStyle w:val="ListParagraph"/>
        <w:numPr>
          <w:ilvl w:val="0"/>
          <w:numId w:val="1"/>
        </w:numPr>
        <w:spacing w:after="60"/>
        <w:ind w:left="7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Cours actuel sur le marché secondaire : 94,5 % du nominal</w:t>
      </w:r>
    </w:p>
    <w:p>
      <w:pPr>
        <w:pStyle w:val="ListParagraph"/>
        <w:numPr>
          <w:ilvl w:val="0"/>
          <w:numId w:val="1"/>
        </w:numPr>
        <w:spacing w:after="60"/>
        <w:ind w:left="7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Maturité résiduelle : 6 ans</w:t>
      </w:r>
    </w:p>
    <w:p>
      <w:pPr>
        <w:spacing w:after="120"/>
      </w:pPr>
      <w:r>
        <w:rPr>
          <w:rFonts w:ascii="Times New Roman" w:cs="Times New Roman" w:eastAsia="Times New Roman" w:hAnsi="Times New Roman"/>
          <w:b/>
          <w:bCs/>
          <w:color w:val="1F2937"/>
          <w:sz w:val="22"/>
          <w:szCs w:val="22"/>
        </w:rPr>
        <w:t xml:space="preserve">Questions :</w:t>
      </w:r>
    </w:p>
    <w:p>
      <w:pPr>
        <w:pStyle w:val="ListParagraph"/>
        <w:numPr>
          <w:ilvl w:val="0"/>
          <w:numId w:val="1"/>
        </w:numPr>
        <w:spacing w:after="60"/>
        <w:ind w:left="7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a) Quel est le montant du coupon annuel versé ?</w:t>
      </w:r>
    </w:p>
    <w:p>
      <w:pPr>
        <w:pStyle w:val="ListParagraph"/>
        <w:numPr>
          <w:ilvl w:val="0"/>
          <w:numId w:val="1"/>
        </w:numPr>
        <w:spacing w:after="60"/>
        <w:ind w:left="7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b) Quel est le rendement courant de cette obligation ?</w:t>
      </w:r>
    </w:p>
    <w:p>
      <w:pPr>
        <w:pStyle w:val="ListParagraph"/>
        <w:numPr>
          <w:ilvl w:val="0"/>
          <w:numId w:val="1"/>
        </w:numPr>
        <w:spacing w:after="60"/>
        <w:ind w:left="7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c) Le fait que le cours soit inférieur au pair (100 %) est-il un signal d'opportunité ou d'alerte ? Développe ta réponse.</w:t>
      </w:r>
    </w:p>
    <w:p>
      <w:pPr>
        <w:spacing w:after="80"/>
      </w:pPr>
    </w:p>
    <w:p>
      <w:pPr>
        <w:shd w:fill="F3F4F6" w:color="F3F4F6" w:val="solid"/>
        <w:spacing w:after="140" w:before="80"/>
        <w:ind w:left="300" w:right="300"/>
      </w:pPr>
      <w:r>
        <w:rPr>
          <w:rFonts w:ascii="Times New Roman" w:cs="Times New Roman" w:eastAsia="Times New Roman" w:hAnsi="Times New Roman"/>
          <w:b/>
          <w:bCs/>
          <w:color w:val="1F2937"/>
          <w:sz w:val="22"/>
          <w:szCs w:val="22"/>
        </w:rPr>
        <w:t xml:space="preserve">✅ Corrigé :</w:t>
      </w: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
a) Coupon = 1 000 € × 3,20 % = 32 € par an.</w:t>
      </w: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
b) Rendement courant = 32 € ÷ 945 € × 100 = 3,39 %.</w:t>
      </w: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
c) Un cours inférieur au pair peut signifier plusieurs choses : les taux du marché ont monté depuis l'émission (relation inverse), et/ou le risque de crédit de l'émetteur a augmenté. Ce n'est pas automatiquement une opportunité — c'est un signal à analyser. Il faut comparer le rendement actuariel avec celui d'obligations comparables et vérifier la notation de l'émetteur.</w:t>
      </w:r>
    </w:p>
    <w:p>
      <w:pPr>
        <w:pStyle w:val="Heading3"/>
        <w:spacing w:after="80" w:before="160"/>
      </w:pPr>
      <w:r>
        <w:rPr>
          <w:rFonts w:ascii="Times New Roman" w:cs="Times New Roman" w:eastAsia="Times New Roman" w:hAnsi="Times New Roman"/>
          <w:b/>
          <w:bCs/>
          <w:color w:val="1F2937"/>
          <w:sz w:val="26"/>
          <w:szCs w:val="26"/>
        </w:rPr>
        <w:t xml:space="preserve">Exercice 2 — La relation taux / prix</w:t>
      </w:r>
    </w:p>
    <w:p>
      <w:pPr>
        <w:spacing w:after="1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Tu possèdes une obligation d'État (OAT) achetée au pair (100) il y a 2 ans, coupon 1,5 %, maturité initiale 10 ans. Depuis lors, les taux directeurs ont fortement remonté et les OAT équivalentes offrent désormais 3,5 % sur le marché.</w:t>
      </w:r>
    </w:p>
    <w:p>
      <w:pPr>
        <w:spacing w:after="120"/>
      </w:pPr>
      <w:r>
        <w:rPr>
          <w:rFonts w:ascii="Times New Roman" w:cs="Times New Roman" w:eastAsia="Times New Roman" w:hAnsi="Times New Roman"/>
          <w:b/>
          <w:bCs/>
          <w:color w:val="1F2937"/>
          <w:sz w:val="22"/>
          <w:szCs w:val="22"/>
        </w:rPr>
        <w:t xml:space="preserve">Questions :</w:t>
      </w:r>
    </w:p>
    <w:p>
      <w:pPr>
        <w:pStyle w:val="ListParagraph"/>
        <w:numPr>
          <w:ilvl w:val="0"/>
          <w:numId w:val="1"/>
        </w:numPr>
        <w:spacing w:after="60"/>
        <w:ind w:left="7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a) Ton obligation vaut-elle désormais plus ou moins que 100 ? Justifie sans faire de calcul exact.</w:t>
      </w:r>
    </w:p>
    <w:p>
      <w:pPr>
        <w:pStyle w:val="ListParagraph"/>
        <w:numPr>
          <w:ilvl w:val="0"/>
          <w:numId w:val="1"/>
        </w:numPr>
        <w:spacing w:after="60"/>
        <w:ind w:left="7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b) Si tu dois vendre aujourd'hui, réalises-tu une plus-value ou une moins-value ?</w:t>
      </w:r>
    </w:p>
    <w:p>
      <w:pPr>
        <w:pStyle w:val="ListParagraph"/>
        <w:numPr>
          <w:ilvl w:val="0"/>
          <w:numId w:val="1"/>
        </w:numPr>
        <w:spacing w:after="60"/>
        <w:ind w:left="7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c) Quelle est la seule situation où tu récupères ton capital intégral sans perte ?</w:t>
      </w:r>
    </w:p>
    <w:p>
      <w:pPr>
        <w:spacing w:after="80"/>
      </w:pPr>
    </w:p>
    <w:p>
      <w:pPr>
        <w:shd w:fill="F3F4F6" w:color="F3F4F6" w:val="solid"/>
        <w:spacing w:after="140" w:before="80"/>
        <w:ind w:left="300" w:right="300"/>
      </w:pPr>
      <w:r>
        <w:rPr>
          <w:rFonts w:ascii="Times New Roman" w:cs="Times New Roman" w:eastAsia="Times New Roman" w:hAnsi="Times New Roman"/>
          <w:b/>
          <w:bCs/>
          <w:color w:val="1F2937"/>
          <w:sz w:val="22"/>
          <w:szCs w:val="22"/>
        </w:rPr>
        <w:t xml:space="preserve">✅ Corrigé :</w:t>
      </w: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
a) Elle vaut moins que 100. Les nouvelles OAT offrant 3,5 % pour le même risque, personne ne paiera le prix plein pour une OAT à 1,5 %. Le marché ajuste le prix à la baisse pour que le rendement courant soit compétitif.</w:t>
      </w: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
b) Tu réalises une moins-value (valeur de revente &lt; prix d'achat). C'est le risque de taux en action.</w:t>
      </w: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
c) Si tu conserves l'obligation jusqu'à sa maturité (ici, 8 ans restants) : l'émetteur te rembourse alors la valeur nominale intégrale (100), indépendamment des fluctuations intermédiaires de cours.</w:t>
      </w:r>
    </w:p>
    <w:p>
      <w:pPr>
        <w:pStyle w:val="Heading3"/>
        <w:spacing w:after="80" w:before="160"/>
      </w:pPr>
      <w:r>
        <w:rPr>
          <w:rFonts w:ascii="Times New Roman" w:cs="Times New Roman" w:eastAsia="Times New Roman" w:hAnsi="Times New Roman"/>
          <w:b/>
          <w:bCs/>
          <w:color w:val="1F2937"/>
          <w:sz w:val="26"/>
          <w:szCs w:val="26"/>
        </w:rPr>
        <w:t xml:space="preserve">Exercice 3 — Comparer fonds obligataire et ETF obligataire</w:t>
      </w:r>
    </w:p>
    <w:p>
      <w:pPr>
        <w:spacing w:after="1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Voici deux produits présentés par ton conseiller bancaire 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1B3A6B" w:color="1B3A6B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Critère</w:t>
            </w:r>
          </w:p>
        </w:tc>
        <w:tc>
          <w:tcPr>
            <w:shd w:fill="1B3A6B" w:color="1B3A6B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Fonds actif (SICAV obligataire)</w:t>
            </w:r>
          </w:p>
        </w:tc>
        <w:tc>
          <w:tcPr>
            <w:shd w:fill="1B3A6B" w:color="1B3A6B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ETF obligataire (ex. ETF zone euro)</w:t>
            </w:r>
          </w:p>
        </w:tc>
      </w:tr>
      <w:tr>
        <w:tc>
          <w:tcPr>
            <w:shd w:fill="FFFFFF" w:color="FFFFFF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Frais de gestion annuels</w:t>
            </w:r>
          </w:p>
        </w:tc>
        <w:tc>
          <w:tcPr>
            <w:shd w:fill="FFFFFF" w:color="FFFFFF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1,2 %</w:t>
            </w:r>
          </w:p>
        </w:tc>
        <w:tc>
          <w:tcPr>
            <w:shd w:fill="FFFFFF" w:color="FFFFFF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0,15 %</w:t>
            </w:r>
          </w:p>
        </w:tc>
      </w:tr>
      <w:tr>
        <w:tc>
          <w:tcPr>
            <w:shd w:fill="EEF2F7" w:color="EEF2F7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Objectif</w:t>
            </w:r>
          </w:p>
        </w:tc>
        <w:tc>
          <w:tcPr>
            <w:shd w:fill="EEF2F7" w:color="EEF2F7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Battre un indice de référence</w:t>
            </w:r>
          </w:p>
        </w:tc>
        <w:tc>
          <w:tcPr>
            <w:shd w:fill="EEF2F7" w:color="EEF2F7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Répliquer un indice</w:t>
            </w:r>
          </w:p>
        </w:tc>
      </w:tr>
      <w:tr>
        <w:tc>
          <w:tcPr>
            <w:shd w:fill="FFFFFF" w:color="FFFFFF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Gestion</w:t>
            </w:r>
          </w:p>
        </w:tc>
        <w:tc>
          <w:tcPr>
            <w:shd w:fill="FFFFFF" w:color="FFFFFF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Gérant professionnel actif</w:t>
            </w:r>
          </w:p>
        </w:tc>
        <w:tc>
          <w:tcPr>
            <w:shd w:fill="FFFFFF" w:color="FFFFFF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Algorithmique / passive</w:t>
            </w:r>
          </w:p>
        </w:tc>
      </w:tr>
      <w:tr>
        <w:tc>
          <w:tcPr>
            <w:shd w:fill="EEF2F7" w:color="EEF2F7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Valorisation</w:t>
            </w:r>
          </w:p>
        </w:tc>
        <w:tc>
          <w:tcPr>
            <w:shd w:fill="EEF2F7" w:color="EEF2F7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Valeur liquidative quotidienne</w:t>
            </w:r>
          </w:p>
        </w:tc>
        <w:tc>
          <w:tcPr>
            <w:shd w:fill="EEF2F7" w:color="EEF2F7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Prix en continu en bourse</w:t>
            </w:r>
          </w:p>
        </w:tc>
      </w:tr>
      <w:tr>
        <w:tc>
          <w:tcPr>
            <w:shd w:fill="FFFFFF" w:color="FFFFFF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Garantie en capital</w:t>
            </w:r>
          </w:p>
        </w:tc>
        <w:tc>
          <w:tcPr>
            <w:shd w:fill="FFFFFF" w:color="FFFFFF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Aucune</w:t>
            </w:r>
          </w:p>
        </w:tc>
        <w:tc>
          <w:tcPr>
            <w:shd w:fill="FFFFFF" w:color="FFFFFF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Aucune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cs="Times New Roman" w:eastAsia="Times New Roman" w:hAnsi="Times New Roman"/>
          <w:b/>
          <w:bCs/>
          <w:color w:val="1F2937"/>
          <w:sz w:val="22"/>
          <w:szCs w:val="22"/>
        </w:rPr>
        <w:t xml:space="preserve">Questions :</w:t>
      </w:r>
    </w:p>
    <w:p>
      <w:pPr>
        <w:pStyle w:val="ListParagraph"/>
        <w:numPr>
          <w:ilvl w:val="0"/>
          <w:numId w:val="1"/>
        </w:numPr>
        <w:spacing w:after="60"/>
        <w:ind w:left="7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a) Sur 10 ans, quelle est la différence d'impact des frais sur un investissement de 10 000 € (calcul approximatif) ?</w:t>
      </w:r>
    </w:p>
    <w:p>
      <w:pPr>
        <w:pStyle w:val="ListParagraph"/>
        <w:numPr>
          <w:ilvl w:val="0"/>
          <w:numId w:val="1"/>
        </w:numPr>
        <w:spacing w:after="60"/>
        <w:ind w:left="7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b) Dans quel cas un fonds actif peut-il se justifier malgré des frais plus élevés ?</w:t>
      </w:r>
    </w:p>
    <w:p>
      <w:pPr>
        <w:pStyle w:val="ListParagraph"/>
        <w:numPr>
          <w:ilvl w:val="0"/>
          <w:numId w:val="1"/>
        </w:numPr>
        <w:spacing w:after="60"/>
        <w:ind w:left="7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c) Ces deux produits sont-ils compatibles avec une enveloppe d'assurance-vie ou PEE ?</w:t>
      </w:r>
    </w:p>
    <w:p>
      <w:pPr>
        <w:spacing w:after="80"/>
      </w:pPr>
    </w:p>
    <w:p>
      <w:pPr>
        <w:shd w:fill="F3F4F6" w:color="F3F4F6" w:val="solid"/>
        <w:spacing w:after="140" w:before="80"/>
        <w:ind w:left="300" w:right="300"/>
      </w:pPr>
      <w:r>
        <w:rPr>
          <w:rFonts w:ascii="Times New Roman" w:cs="Times New Roman" w:eastAsia="Times New Roman" w:hAnsi="Times New Roman"/>
          <w:b/>
          <w:bCs/>
          <w:color w:val="1F2937"/>
          <w:sz w:val="22"/>
          <w:szCs w:val="22"/>
        </w:rPr>
        <w:t xml:space="preserve">✅ Corrigé :</w:t>
      </w: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
a) Sur un rendement brut identique de 3 % : fonds actif net ≈ 1,8 % ; ETF net ≈ 2,85 %. Sur 10 ans, 10 000 € : fonds actif → ~11 960 €, ETF → ~13 280 €. Écart ≈ 1 320 € uniquement dû aux frais (illustration de la leçon n°9).</w:t>
      </w: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
b) Si le gérant démontre une surperformance régulière après frais, notamment en période de forte dispersion (crise de crédit, marchés instables). Mais la littérature académique montre que la surperformance persistante est rare.</w:t>
      </w: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
c) Oui, les deux peuvent être logés en assurance-vie (UC) et, selon les contrats, en PERECO. La compatibilité PEE dépend des fonds proposés par l'employeur.</w:t>
      </w:r>
    </w:p>
    <w:p>
      <w:pPr>
        <w:spacing w:after="160" w:before="160"/>
      </w:pPr>
      <w:r>
        <w:rPr>
          <w:rFonts w:ascii="Times New Roman" w:cs="Times New Roman" w:eastAsia="Times New Roman" w:hAnsi="Times New Roman"/>
          <w:color w:val="D1D5DB"/>
          <w:sz w:val="22"/>
          <w:szCs w:val="22"/>
        </w:rPr>
        <w:t xml:space="preserve">────────────────────────────────────────────────────</w:t>
      </w:r>
    </w:p>
    <w:p>
      <w:pPr>
        <w:pStyle w:val="Heading2"/>
        <w:spacing w:after="100" w:before="240"/>
      </w:pPr>
      <w:r>
        <w:rPr>
          <w:rFonts w:ascii="Times New Roman" w:cs="Times New Roman" w:eastAsia="Times New Roman" w:hAnsi="Times New Roman"/>
          <w:b/>
          <w:bCs/>
          <w:color w:val="1B3A6B"/>
          <w:sz w:val="30"/>
          <w:szCs w:val="30"/>
        </w:rPr>
        <w:t xml:space="preserve">🎯 Challenge — Synthèse</w:t>
      </w:r>
    </w:p>
    <w:p>
      <w:pPr>
        <w:spacing w:after="120"/>
      </w:pPr>
      <w:r>
        <w:rPr>
          <w:rFonts w:ascii="Times New Roman" w:cs="Times New Roman" w:eastAsia="Times New Roman" w:hAnsi="Times New Roman"/>
          <w:b/>
          <w:bCs/>
          <w:color w:val="1F2937"/>
          <w:sz w:val="22"/>
          <w:szCs w:val="22"/>
        </w:rPr>
        <w:t xml:space="preserve">Scénario : </w:t>
      </w: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Tu as 20 000 € disponibles sur ton contrat d'assurance-vie (horizon de placement : 7 ans). Ton conseiller te propose trois allocations pour la partie « défensive » de ton contrat 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shd w:fill="1B3A6B" w:color="1B3A6B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Option</w:t>
            </w:r>
          </w:p>
        </w:tc>
        <w:tc>
          <w:tcPr>
            <w:shd w:fill="1B3A6B" w:color="1B3A6B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Produit</w:t>
            </w:r>
          </w:p>
        </w:tc>
        <w:tc>
          <w:tcPr>
            <w:shd w:fill="1B3A6B" w:color="1B3A6B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Taux servi (indicatif 2025)</w:t>
            </w:r>
          </w:p>
        </w:tc>
        <w:tc>
          <w:tcPr>
            <w:shd w:fill="1B3A6B" w:color="1B3A6B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Risque de taux</w:t>
            </w:r>
          </w:p>
        </w:tc>
        <w:tc>
          <w:tcPr>
            <w:shd w:fill="1B3A6B" w:color="1B3A6B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Garantie</w:t>
            </w:r>
          </w:p>
        </w:tc>
      </w:tr>
      <w:tr>
        <w:tc>
          <w:tcPr>
            <w:shd w:fill="FFFFFF" w:color="FFFFFF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A</w:t>
            </w:r>
          </w:p>
        </w:tc>
        <w:tc>
          <w:tcPr>
            <w:shd w:fill="FFFFFF" w:color="FFFFFF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Fonds en euros</w:t>
            </w:r>
          </w:p>
        </w:tc>
        <w:tc>
          <w:tcPr>
            <w:shd w:fill="FFFFFF" w:color="FFFFFF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2,80 % net (illustration)</w:t>
            </w:r>
          </w:p>
        </w:tc>
        <w:tc>
          <w:tcPr>
            <w:shd w:fill="FFFFFF" w:color="FFFFFF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Faible (géré par assureur)</w:t>
            </w:r>
          </w:p>
        </w:tc>
        <w:tc>
          <w:tcPr>
            <w:shd w:fill="FFFFFF" w:color="FFFFFF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Capital garanti (net de frais)</w:t>
            </w:r>
          </w:p>
        </w:tc>
      </w:tr>
      <w:tr>
        <w:tc>
          <w:tcPr>
            <w:shd w:fill="EEF2F7" w:color="EEF2F7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B</w:t>
            </w:r>
          </w:p>
        </w:tc>
        <w:tc>
          <w:tcPr>
            <w:shd w:fill="EEF2F7" w:color="EEF2F7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Fonds obligataire daté 7 ans (corporate)</w:t>
            </w:r>
          </w:p>
        </w:tc>
        <w:tc>
          <w:tcPr>
            <w:shd w:fill="EEF2F7" w:color="EEF2F7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4,20 % brut estimé</w:t>
            </w:r>
          </w:p>
        </w:tc>
        <w:tc>
          <w:tcPr>
            <w:shd w:fill="EEF2F7" w:color="EEF2F7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Faible (si conservé à terme)</w:t>
            </w:r>
          </w:p>
        </w:tc>
        <w:tc>
          <w:tcPr>
            <w:shd w:fill="EEF2F7" w:color="EEF2F7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Non garanti</w:t>
            </w:r>
          </w:p>
        </w:tc>
      </w:tr>
      <w:tr>
        <w:tc>
          <w:tcPr>
            <w:shd w:fill="FFFFFF" w:color="FFFFFF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C</w:t>
            </w:r>
          </w:p>
        </w:tc>
        <w:tc>
          <w:tcPr>
            <w:shd w:fill="FFFFFF" w:color="FFFFFF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ETF obligataire zone euro (duration 8 ans)</w:t>
            </w:r>
          </w:p>
        </w:tc>
        <w:tc>
          <w:tcPr>
            <w:shd w:fill="FFFFFF" w:color="FFFFFF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Variable</w:t>
            </w:r>
          </w:p>
        </w:tc>
        <w:tc>
          <w:tcPr>
            <w:shd w:fill="FFFFFF" w:color="FFFFFF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Élevé (sensibilité ~8)</w:t>
            </w:r>
          </w:p>
        </w:tc>
        <w:tc>
          <w:tcPr>
            <w:shd w:fill="FFFFFF" w:color="FFFFFF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Non garanti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cs="Times New Roman" w:eastAsia="Times New Roman" w:hAnsi="Times New Roman"/>
          <w:b/>
          <w:bCs/>
          <w:color w:val="1F2937"/>
          <w:sz w:val="22"/>
          <w:szCs w:val="22"/>
        </w:rPr>
        <w:t xml:space="preserve">Questions :</w:t>
      </w:r>
    </w:p>
    <w:p>
      <w:pPr>
        <w:pStyle w:val="ListParagraph"/>
        <w:numPr>
          <w:ilvl w:val="0"/>
          <w:numId w:val="1"/>
        </w:numPr>
        <w:spacing w:after="60"/>
        <w:ind w:left="7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1. Pour chacune des trois options, identifie le principal avantage et le principal risque.</w:t>
      </w:r>
    </w:p>
    <w:p>
      <w:pPr>
        <w:pStyle w:val="ListParagraph"/>
        <w:numPr>
          <w:ilvl w:val="0"/>
          <w:numId w:val="1"/>
        </w:numPr>
        <w:spacing w:after="60"/>
        <w:ind w:left="7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2. Le fonds daté à 7 ans coïncide exactement avec ton horizon. Quel avantage spécifique cela présente-t-il ?</w:t>
      </w:r>
    </w:p>
    <w:p>
      <w:pPr>
        <w:pStyle w:val="ListParagraph"/>
        <w:numPr>
          <w:ilvl w:val="0"/>
          <w:numId w:val="1"/>
        </w:numPr>
        <w:spacing w:after="60"/>
        <w:ind w:left="7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3. L'ETF en option C a une sensibilité de 8. Que se passe-t-il sur ta poche de 20 000 € si les taux montent de 1,5 % d'un coup ?</w:t>
      </w:r>
    </w:p>
    <w:p>
      <w:pPr>
        <w:pStyle w:val="ListParagraph"/>
        <w:numPr>
          <w:ilvl w:val="0"/>
          <w:numId w:val="1"/>
        </w:numPr>
        <w:spacing w:after="60"/>
        <w:ind w:left="7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4. Quelle question CONCRÈTE poserais-tu à ton conseiller avant de choisir l'option B ?</w:t>
      </w:r>
    </w:p>
    <w:p>
      <w:pPr>
        <w:spacing w:after="80"/>
      </w:pPr>
    </w:p>
    <w:p>
      <w:pPr>
        <w:shd w:fill="F3F4F6" w:color="F3F4F6" w:val="solid"/>
        <w:spacing w:after="140" w:before="80"/>
        <w:ind w:left="300" w:right="300"/>
      </w:pPr>
      <w:r>
        <w:rPr>
          <w:rFonts w:ascii="Times New Roman" w:cs="Times New Roman" w:eastAsia="Times New Roman" w:hAnsi="Times New Roman"/>
          <w:b/>
          <w:bCs/>
          <w:color w:val="1F2937"/>
          <w:sz w:val="22"/>
          <w:szCs w:val="22"/>
        </w:rPr>
        <w:t xml:space="preserve">✅ Éléments de corrigé :</w:t>
      </w: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
1. A : avantage = capital garanti net de frais ; risque = rendement potentiellement inférieur à l'inflation long terme. B : avantage = rendement plus élevé et risque de taux maîtrisé si on attend l'échéance ; risque = défaut d'un ou plusieurs émetteurs du fonds. C : avantage = frais minimaux, diversification large ; risque = forte volatilité du prix en cas de hausse des taux.</w:t>
      </w: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
2. Un fonds daté à 7 ans « amortit » le risque de taux si tu le conserves jusqu'à l'échéance du fonds : le fonds liquide progressivement ses positions et te rembourse à terme, comme une obligation individuelle. La variation de prix intermédiaire n'impacte pas le résultat final si tu ne vends pas avant.</w:t>
      </w: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
3. Impact estimé : −20 000 € × 8 × 1,5 % = −2 400 €, soit une moins-value latente d'environ 12 % sur la poche ETF. Ce n'est pas une perte définitive si tu attends, mais c'est significatif sur un horizon de 7 ans si les taux restent élevés.</w:t>
      </w: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
4. Question essentielle : « Quels sont les émetteurs (notation, secteurs, géographies) qui composent ce fonds, et quel est le taux de défaut historique moyen sur ce type de fonds daté ? » — pour évaluer le risque de crédit réel.</w:t>
      </w:r>
    </w:p>
    <w:p>
      <w:pPr>
        <w:spacing w:after="160" w:before="160"/>
      </w:pPr>
      <w:r>
        <w:rPr>
          <w:rFonts w:ascii="Times New Roman" w:cs="Times New Roman" w:eastAsia="Times New Roman" w:hAnsi="Times New Roman"/>
          <w:color w:val="D1D5DB"/>
          <w:sz w:val="22"/>
          <w:szCs w:val="22"/>
        </w:rPr>
        <w:t xml:space="preserve">────────────────────────────────────────────────────</w:t>
      </w:r>
    </w:p>
    <w:p>
      <w:pPr>
        <w:pStyle w:val="Heading2"/>
        <w:spacing w:after="100" w:before="240"/>
      </w:pPr>
      <w:r>
        <w:rPr>
          <w:rFonts w:ascii="Times New Roman" w:cs="Times New Roman" w:eastAsia="Times New Roman" w:hAnsi="Times New Roman"/>
          <w:b/>
          <w:bCs/>
          <w:color w:val="1B3A6B"/>
          <w:sz w:val="30"/>
          <w:szCs w:val="30"/>
        </w:rPr>
        <w:t xml:space="preserve">🌉 Pont pro (optionnel)</w:t>
      </w:r>
    </w:p>
    <w:p>
      <w:pPr>
        <w:spacing w:after="1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Les fonds en euros de ton contrat de retraite collectif ou de ta prévoyance sont majoritairement composés d'obligations. Comprendre la relation taux/prix te permet de mieux interpréter les communications de ton assureur lorsqu'il annonce une baisse du taux servi dans un contexte de taux bas : l'assureur ne peut plus investir les nouvelles primes aux mêmes rendements passés. Ce n'est pas une décision commerciale arbitraire — c'est une contrainte structurelle de la classe obligataire.</w:t>
      </w:r>
    </w:p>
    <w:p>
      <w:pPr>
        <w:spacing w:after="120"/>
      </w:pPr>
      <w:r>
        <w:rPr>
          <w:rFonts w:ascii="Times New Roman" w:cs="Times New Roman" w:eastAsia="Times New Roman" w:hAnsi="Times New Roman"/>
          <w:i/>
          <w:iCs/>
          <w:color w:val="1F2937"/>
          <w:sz w:val="22"/>
          <w:szCs w:val="22"/>
        </w:rPr>
        <w:t xml:space="preserve">Note : aucune RBPP HAS n'est citée ici — ce pont s'appuie uniquement sur des mécanismes financiers objectifs, sans lien avec les pratiques professionnelles d'accompagnement.</w:t>
      </w:r>
    </w:p>
    <w:p>
      <w:pPr>
        <w:spacing w:after="160" w:before="160"/>
      </w:pPr>
      <w:r>
        <w:rPr>
          <w:rFonts w:ascii="Times New Roman" w:cs="Times New Roman" w:eastAsia="Times New Roman" w:hAnsi="Times New Roman"/>
          <w:color w:val="D1D5DB"/>
          <w:sz w:val="22"/>
          <w:szCs w:val="22"/>
        </w:rPr>
        <w:t xml:space="preserve">────────────────────────────────────────────────────</w:t>
      </w:r>
    </w:p>
    <w:p>
      <w:pPr>
        <w:pStyle w:val="Heading2"/>
        <w:spacing w:after="100" w:before="240"/>
      </w:pPr>
      <w:r>
        <w:rPr>
          <w:rFonts w:ascii="Times New Roman" w:cs="Times New Roman" w:eastAsia="Times New Roman" w:hAnsi="Times New Roman"/>
          <w:b/>
          <w:bCs/>
          <w:color w:val="1B3A6B"/>
          <w:sz w:val="30"/>
          <w:szCs w:val="30"/>
        </w:rPr>
        <w:t xml:space="preserve">📚 Ressources pour approfondir</w:t>
      </w:r>
    </w:p>
    <w:p>
      <w:pPr>
        <w:spacing w:after="1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Toutes les URLs ci-dessous ont été testées le 29/08/2026 (code HTTP 200).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1. </w:t>
      </w:r>
      <w:hyperlink w:history="1" r:id="rIddmmfgjn18tacba1cjmh4d">
        <w:r>
          <w:rPr>
            <w:rFonts w:ascii="Times New Roman" w:cs="Times New Roman" w:eastAsia="Times New Roman" w:hAnsi="Times New Roman"/>
            <w:color w:val="1155CC"/>
            <w:sz w:val="22"/>
            <w:szCs w:val="22"/>
            <w:u w:val="single"/>
          </w:rPr>
          <w:t xml:space="preserve">Obligations — présentation générale</w:t>
        </w:r>
      </w:hyperlink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 — La Finance pour Tous (IEFP)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2. </w:t>
      </w:r>
      <w:hyperlink w:history="1" r:id="rId1n2w-wqhrve98bl7kovqx">
        <w:r>
          <w:rPr>
            <w:rFonts w:ascii="Times New Roman" w:cs="Times New Roman" w:eastAsia="Times New Roman" w:hAnsi="Times New Roman"/>
            <w:color w:val="1155CC"/>
            <w:sz w:val="22"/>
            <w:szCs w:val="22"/>
            <w:u w:val="single"/>
          </w:rPr>
          <w:t xml:space="preserve">Les caractéristiques d'une obligation</w:t>
        </w:r>
      </w:hyperlink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 — La Finance pour Tous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3. </w:t>
      </w:r>
      <w:hyperlink w:history="1" r:id="rIdq9r9nekg57_sc3jfx9u80">
        <w:r>
          <w:rPr>
            <w:rFonts w:ascii="Times New Roman" w:cs="Times New Roman" w:eastAsia="Times New Roman" w:hAnsi="Times New Roman"/>
            <w:color w:val="1155CC"/>
            <w:sz w:val="22"/>
            <w:szCs w:val="22"/>
            <w:u w:val="single"/>
          </w:rPr>
          <w:t xml:space="preserve">Les risques obligataires</w:t>
        </w:r>
      </w:hyperlink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 — La Finance pour Tous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4. </w:t>
      </w:r>
      <w:hyperlink w:history="1" r:id="rIddjksg7nm3_yqx7buqgo_6">
        <w:r>
          <w:rPr>
            <w:rFonts w:ascii="Times New Roman" w:cs="Times New Roman" w:eastAsia="Times New Roman" w:hAnsi="Times New Roman"/>
            <w:color w:val="1155CC"/>
            <w:sz w:val="22"/>
            <w:szCs w:val="22"/>
            <w:u w:val="single"/>
          </w:rPr>
          <w:t xml:space="preserve">Déterminer le rendement d'une obligation</w:t>
        </w:r>
      </w:hyperlink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 — La Finance pour Tous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5. </w:t>
      </w:r>
      <w:hyperlink w:history="1" r:id="rId4m0xz_gycwo_usvvpeq5a">
        <w:r>
          <w:rPr>
            <w:rFonts w:ascii="Times New Roman" w:cs="Times New Roman" w:eastAsia="Times New Roman" w:hAnsi="Times New Roman"/>
            <w:color w:val="1155CC"/>
            <w:sz w:val="22"/>
            <w:szCs w:val="22"/>
            <w:u w:val="single"/>
          </w:rPr>
          <w:t xml:space="preserve">Acquérir des obligations</w:t>
        </w:r>
      </w:hyperlink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 — La Finance pour Tous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6. </w:t>
      </w:r>
      <w:hyperlink w:history="1" r:id="rIdexdzxktbgp8wfgvt1-vkg">
        <w:r>
          <w:rPr>
            <w:rFonts w:ascii="Times New Roman" w:cs="Times New Roman" w:eastAsia="Times New Roman" w:hAnsi="Times New Roman"/>
            <w:color w:val="1155CC"/>
            <w:sz w:val="22"/>
            <w:szCs w:val="22"/>
            <w:u w:val="single"/>
          </w:rPr>
          <w:t xml:space="preserve">Obligations : quelle fiscalité ?</w:t>
        </w:r>
      </w:hyperlink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 — La Finance pour Tous (PFU 31,4 %, taux 2026)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7. </w:t>
      </w:r>
      <w:hyperlink w:history="1" r:id="rIdu5elx9v4c4mitknpwejlf">
        <w:r>
          <w:rPr>
            <w:rFonts w:ascii="Times New Roman" w:cs="Times New Roman" w:eastAsia="Times New Roman" w:hAnsi="Times New Roman"/>
            <w:color w:val="1155CC"/>
            <w:sz w:val="22"/>
            <w:szCs w:val="22"/>
            <w:u w:val="single"/>
          </w:rPr>
          <w:t xml:space="preserve">CSG : un taux à double vitesse pour 2026</w:t>
        </w:r>
      </w:hyperlink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 — La Finance pour Tous (explique les exceptions assurance-vie, PEL, CEL)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8. </w:t>
      </w:r>
      <w:hyperlink w:history="1" r:id="rId-quyaybhba9brajk17vkp">
        <w:r>
          <w:rPr>
            <w:rFonts w:ascii="Times New Roman" w:cs="Times New Roman" w:eastAsia="Times New Roman" w:hAnsi="Times New Roman"/>
            <w:color w:val="1155CC"/>
            <w:sz w:val="22"/>
            <w:szCs w:val="22"/>
            <w:u w:val="single"/>
          </w:rPr>
          <w:t xml:space="preserve">Comprendre le PFU</w:t>
        </w:r>
      </w:hyperlink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 — La Finance pour Tous</w:t>
      </w:r>
    </w:p>
    <w:p>
      <w:pPr>
        <w:spacing w:after="120"/>
      </w:pPr>
      <w:r>
        <w:rPr>
          <w:rFonts w:ascii="Times New Roman" w:cs="Times New Roman" w:eastAsia="Times New Roman" w:hAnsi="Times New Roman"/>
          <w:i/>
          <w:iCs/>
          <w:color w:val="1F2937"/>
          <w:sz w:val="22"/>
          <w:szCs w:val="22"/>
        </w:rPr>
        <w:t xml:space="preserve">Sources ⛔ inaccessibles lors de cette exécution (404/403) : amf-france.org/obligations, abe-infoservice.fr/obligations, impots.gouv.fr (pages directes). Les informations fiscales ont été croisées avec les résultats WebSearch de lafinancepourtous.com.</w:t>
      </w:r>
    </w:p>
    <w:p>
      <w:pPr>
        <w:spacing w:after="160" w:before="160"/>
      </w:pPr>
      <w:r>
        <w:rPr>
          <w:rFonts w:ascii="Times New Roman" w:cs="Times New Roman" w:eastAsia="Times New Roman" w:hAnsi="Times New Roman"/>
          <w:color w:val="D1D5DB"/>
          <w:sz w:val="22"/>
          <w:szCs w:val="22"/>
        </w:rPr>
        <w:t xml:space="preserve">────────────────────────────────────────────────────</w:t>
      </w:r>
    </w:p>
    <w:p>
      <w:pPr>
        <w:pStyle w:val="Heading2"/>
        <w:spacing w:after="100" w:before="240"/>
      </w:pPr>
      <w:r>
        <w:rPr>
          <w:rFonts w:ascii="Times New Roman" w:cs="Times New Roman" w:eastAsia="Times New Roman" w:hAnsi="Times New Roman"/>
          <w:b/>
          <w:bCs/>
          <w:color w:val="1B3A6B"/>
          <w:sz w:val="30"/>
          <w:szCs w:val="30"/>
        </w:rPr>
        <w:t xml:space="preserve">👤 Pour aller plus loin avec un conseiller agréé (CGP/CIF)</w:t>
      </w:r>
    </w:p>
    <w:p>
      <w:pPr>
        <w:spacing w:after="1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3 questions concrètes à poser lors de ton prochain rendez-vous :</w:t>
      </w:r>
    </w:p>
    <w:p>
      <w:pPr>
        <w:pStyle w:val="ListParagraph"/>
        <w:numPr>
          <w:ilvl w:val="0"/>
          <w:numId w:val="1"/>
        </w:numPr>
        <w:spacing w:after="60"/>
        <w:ind w:left="7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« Dans mon contrat d'assurance-vie, les unités de compte obligataires proposées ont-elles une durée fixe (fonds datés) ou une duration variable, et quelle est leur sensibilité aux taux actuels ? »</w:t>
      </w:r>
    </w:p>
    <w:p>
      <w:pPr>
        <w:pStyle w:val="ListParagraph"/>
        <w:numPr>
          <w:ilvl w:val="0"/>
          <w:numId w:val="1"/>
        </w:numPr>
        <w:spacing w:after="60"/>
        <w:ind w:left="7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« En tenant compte de mon horizon de 7-8 ans et de ma tranche marginale d'imposition, vaut-il mieux loger des obligations dans mon assurance-vie (PFU à 7,5 % IR après 8 ans + prélèvements sociaux 17,2 %) ou dans un compte-titres ordinaire (PFU 31,4 %) ? »</w:t>
      </w:r>
    </w:p>
    <w:p>
      <w:pPr>
        <w:pStyle w:val="ListParagraph"/>
        <w:numPr>
          <w:ilvl w:val="0"/>
          <w:numId w:val="1"/>
        </w:numPr>
        <w:spacing w:after="60"/>
        <w:ind w:left="7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« Comment évaluez-vous le risque de crédit des fonds obligataires d'entreprise que vous me proposez : quelle est leur répartition entre investment grade et high yield, et quel a été leur taux de défaut historique ? »</w:t>
      </w:r>
    </w:p>
    <w:p>
      <w:pPr>
        <w:spacing w:after="160" w:before="160"/>
      </w:pPr>
      <w:r>
        <w:rPr>
          <w:rFonts w:ascii="Times New Roman" w:cs="Times New Roman" w:eastAsia="Times New Roman" w:hAnsi="Times New Roman"/>
          <w:color w:val="D1D5DB"/>
          <w:sz w:val="22"/>
          <w:szCs w:val="22"/>
        </w:rPr>
        <w:t xml:space="preserve">────────────────────────────────────────────────────</w:t>
      </w:r>
    </w:p>
    <w:p>
      <w:pPr>
        <w:pStyle w:val="Heading2"/>
        <w:spacing w:after="100" w:before="240"/>
      </w:pPr>
      <w:r>
        <w:rPr>
          <w:rFonts w:ascii="Times New Roman" w:cs="Times New Roman" w:eastAsia="Times New Roman" w:hAnsi="Times New Roman"/>
          <w:b/>
          <w:bCs/>
          <w:color w:val="1B3A6B"/>
          <w:sz w:val="30"/>
          <w:szCs w:val="30"/>
        </w:rPr>
        <w:t xml:space="preserve">🔜 Prochaine leçon</w:t>
      </w:r>
    </w:p>
    <w:p>
      <w:pPr>
        <w:spacing w:after="120"/>
      </w:pPr>
      <w:r>
        <w:rPr>
          <w:rFonts w:ascii="Times New Roman" w:cs="Times New Roman" w:eastAsia="Times New Roman" w:hAnsi="Times New Roman"/>
          <w:b/>
          <w:bCs/>
          <w:color w:val="1F2937"/>
          <w:sz w:val="22"/>
          <w:szCs w:val="22"/>
        </w:rPr>
        <w:t xml:space="preserve">Leçon n°13 / 20 : </w:t>
      </w: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ETF et gestion indicielle</w:t>
      </w: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 — Tu découvriras comment les ETF (fonds négociés en bourse) permettent de répliquer à faible coût la performance d'un indice (actions, obligations, secteurs), leurs avantages par rapport à la gestion active, et comment les sélectionner (tracking error, TER, liquidité, enveloppe fiscale). Ce sera le prolongement direct de ce que tu viens de voir sur les ETF obligataires.</w:t>
      </w:r>
    </w:p>
    <w:p>
      <w:pPr>
        <w:spacing w:after="160" w:before="160"/>
      </w:pPr>
      <w:r>
        <w:rPr>
          <w:rFonts w:ascii="Times New Roman" w:cs="Times New Roman" w:eastAsia="Times New Roman" w:hAnsi="Times New Roman"/>
          <w:color w:val="D1D5DB"/>
          <w:sz w:val="22"/>
          <w:szCs w:val="22"/>
        </w:rPr>
        <w:t xml:space="preserve">────────────────────────────────────────────────────</w:t>
      </w:r>
    </w:p>
    <w:p>
      <w:pPr>
        <w:spacing w:after="120"/>
      </w:pPr>
      <w:r>
        <w:rPr>
          <w:rFonts w:ascii="Times New Roman" w:cs="Times New Roman" w:eastAsia="Times New Roman" w:hAnsi="Times New Roman"/>
          <w:i/>
          <w:iCs/>
          <w:color w:val="9CA3AF"/>
          <w:sz w:val="22"/>
          <w:szCs w:val="22"/>
        </w:rPr>
        <w:t xml:space="preserve">─ Fin de la leçon 12 / 20 — Parcours Placement financier ─</w:t>
      </w:r>
    </w:p>
    <w:p>
      <w:pPr>
        <w:spacing w:after="120" w:before="300"/>
      </w:pPr>
      <w:r>
        <w:rPr>
          <w:rFonts w:ascii="Times New Roman" w:cs="Times New Roman" w:eastAsia="Times New Roman" w:hAnsi="Times New Roman"/>
          <w:b/>
          <w:bCs/>
          <w:color w:val="1B3A6B"/>
          <w:sz w:val="28"/>
          <w:szCs w:val="28"/>
        </w:rPr>
        <w:t xml:space="preserve">📝 Journal des corrections</w:t>
      </w:r>
    </w:p>
    <w:p>
      <w:pPr>
        <w:spacing w:after="1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Leçon produite et relue le 29/08/2026. Les corrections sont fondues dans le texte ci-dessus ; les formulations d'origine sont conservées ici.</w:t>
      </w:r>
    </w:p>
    <w:p>
      <w:pPr>
        <w:spacing w:after="1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1. Rendement actuariel — une erreur de signe, donc de principe.</w:t>
      </w:r>
    </w:p>
    <w:p>
      <w:pPr>
        <w:spacing w:after="1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Version initiale : « obligation à 102,5 % du nominal, coupon 4,5 %, 8 ans restants → TRA ≈ 4,62 % + 0,31 % = 4,93 % », suivie de « (Le second terme est le gain/perte annualisé lié à l'écart entre prix d'achat et remboursement au pair.) ». Deux fautes se cumulaient. Le rendement courant est 4,5 / 102,5 = 4,39 % et non 4,62 %. Et surtout, le second terme devait être SOUSTRAIT : acheter à 102,5 pour être remboursé 100 est une perte de 2,5 sur 8 ans, soit environ −0,31 % par an. Le calcul actuariel exact, refait le 29/08/2026 par résolution numérique de l'équation d'actualisation des huit coupons et du remboursement, donne 4,13 % — contre 4,93 % annoncés, soit 0,8 point d'écart. L'erreur inversait le principe même que l'exemple devait illustrer : une obligation achetée au-dessus du pair rapporte MOINS que son rendement courant. Un repère de vérification a été ajouté à la place de la parenthèse d'origine.</w:t>
      </w:r>
    </w:p>
    <w:p>
      <w:pPr>
        <w:spacing w:after="1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2. Notation de l'État français — donnée périmée.</w:t>
      </w:r>
    </w:p>
    <w:p>
      <w:pPr>
        <w:spacing w:after="1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Version initiale : le tableau des émetteurs notait l'OAT française « AA (2026) » chez Standard &amp; Poor's. L'agence a abaissé la France de AA- à A+ le 17 octobre 2025, soit deux crans sous la valeur affichée. Moody's la note Aa3 et Fitch AA- : aucune agence ne soutenait « AA ». Vérifié le 29/08/2026. La ligne porte désormais la note, sa date, celles des deux autres agences, et un rappel — une notation souveraine bouge, il faut la revérifier avant réutilisation.</w:t>
      </w:r>
    </w:p>
    <w:p>
      <w:pPr>
        <w:spacing w:after="1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5. Notation de l'État français — la correction du 29/08 était elle-même fausse sur un point (24/09/2026).</w:t>
      </w:r>
    </w:p>
    <w:p>
      <w:pPr>
        <w:spacing w:after="1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Version du 29/08/2026 : « Moody's la note Aa3 et Fitch AA- : aucune agence ne soutenait “AA”. » La conclusion était juste, la répartition non : Fitch n'est pas à AA- mais à A+ — la notice française date cette dégradation de septembre 2025, le tableau des notations souveraines de Wikipédia en anglais porte « A+, Stable, 6 March 2026 ». Les trois notes au 24/09/2026 : S&amp;P A+ (stable, 17/10/2025), Fitch A+ (stable, 06/03/2026), Moody's Aa3 (stable, 14/12/2024). Deux agences sur trois à A+, pas une. Ce qui l'a permis : la correction du 29/08 a vérifié la note de S&amp;P sur sa page et a repris les deux autres sans les rouvrir — exactement ce que la règle A3 bis, écrite le 24/09/2026 dans le prompt de ce parcours, interdit désormais.</w:t>
      </w:r>
    </w:p>
    <w:p>
      <w:pPr>
        <w:spacing w:after="1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Vérifié lors de la relecture et inchangé : la relation inverse taux/prix et son illustration chiffrée (5 % à 100 € → ~50 € si les taux passent à 10 %, ~166 € s'ils tombent à 3 %) ; le rendement courant de l'exemple 4,8 / 96 = 5,00 % ; le coupon et le rendement de l'exercice 1 (32 € et 3,39 %) ; l'impact de sensibilité du challenge (20 000 € × 8 × 1,5 % = 2 400 €, soit 12 %) ; l'écart de frais de l'exercice 3, proche de 1 300 € sur dix ans ; et tout le tableau fiscal, qui concorde avec les leçons 10 et 11 — PFU à 31,4 %, exception à 29,2 %, acompte non libératoire de 12,8 % et seuils de dispense.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color w:val="1F2937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dmmfgjn18tacba1cjmh4d" Type="http://schemas.openxmlformats.org/officeDocument/2006/relationships/hyperlink" Target="https://www.lafinancepourtous.com/decryptages/marches-financiers/produits-financiers/obligations/" TargetMode="External"/><Relationship Id="rId1n2w-wqhrve98bl7kovqx" Type="http://schemas.openxmlformats.org/officeDocument/2006/relationships/hyperlink" Target="https://www.lafinancepourtous.com/decryptages/marches-financiers/produits-financiers/obligations/les-caracteristiques-d-une-obligation/" TargetMode="External"/><Relationship Id="rIdq9r9nekg57_sc3jfx9u80" Type="http://schemas.openxmlformats.org/officeDocument/2006/relationships/hyperlink" Target="https://www.lafinancepourtous.com/decryptages/marches-financiers/produits-financiers/obligations/les-risques-obligataires/" TargetMode="External"/><Relationship Id="rIddjksg7nm3_yqx7buqgo_6" Type="http://schemas.openxmlformats.org/officeDocument/2006/relationships/hyperlink" Target="https://www.lafinancepourtous.com/decryptages/marches-financiers/produits-financiers/obligations/determiner-le-rendement-d-une-obligation/" TargetMode="External"/><Relationship Id="rId4m0xz_gycwo_usvvpeq5a" Type="http://schemas.openxmlformats.org/officeDocument/2006/relationships/hyperlink" Target="https://www.lafinancepourtous.com/pratique/placements/obligations/acquerir-des-obligations/" TargetMode="External"/><Relationship Id="rIdexdzxktbgp8wfgvt1-vkg" Type="http://schemas.openxmlformats.org/officeDocument/2006/relationships/hyperlink" Target="https://www.lafinancepourtous.com/pratique/impots/fiscalite-de-l-epargne-2/obligations-quelle-fiscalite/" TargetMode="External"/><Relationship Id="rIdu5elx9v4c4mitknpwejlf" Type="http://schemas.openxmlformats.org/officeDocument/2006/relationships/hyperlink" Target="https://www.lafinancepourtous.com/2025/12/17/csg-un-taux-a-double-vitesse-pour-2026/" TargetMode="External"/><Relationship Id="rId-quyaybhba9brajk17vkp" Type="http://schemas.openxmlformats.org/officeDocument/2006/relationships/hyperlink" Target="https://www.lafinancepourtous.com/pratique/impots/fiscalite-de-l-epargne-2/prelevement-forfaitaire-unique-pfu/comprendre-le-pfu/" TargetMode="External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Leçon Placement financier n°12 — Obligations et fonds obligataires</dc:title>
  <dc:creator>Parcours Placement financier</dc:creator>
  <dc:description>Leçon 12/20 du parcours d'éducation financière personnelle</dc:description>
  <cp:lastModifiedBy>Un-named</cp:lastModifiedBy>
  <cp:revision>1</cp:revision>
  <dcterms:created xsi:type="dcterms:W3CDTF">2026-08-29T06:09:18.918Z</dcterms:created>
  <dcterms:modified xsi:type="dcterms:W3CDTF">2026-08-29T06:09:19.168Z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