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00"/>
        <w:jc w:val="center"/>
      </w:pPr>
      <w:r>
        <w:rPr>
          <w:rFonts w:ascii="Times New Roman" w:cs="Times New Roman" w:eastAsia="Times New Roman" w:hAnsi="Times New Roman"/>
          <w:b/>
          <w:bCs/>
          <w:color w:val="1B3A6B"/>
          <w:sz w:val="52"/>
          <w:szCs w:val="52"/>
        </w:rPr>
        <w:t xml:space="preserve">Leçon Astrologie karmique n°09</w:t>
      </w:r>
    </w:p>
    <w:p>
      <w:pPr>
        <w:pStyle w:val="Heading1"/>
        <w:spacing w:after="160" w:before="200"/>
        <w:jc w:val="center"/>
      </w:pPr>
      <w:r>
        <w:rPr>
          <w:rFonts w:ascii="Times New Roman" w:cs="Times New Roman" w:eastAsia="Times New Roman" w:hAnsi="Times New Roman"/>
          <w:b/>
          <w:bCs/>
          <w:color w:val="1B3A6B"/>
          <w:sz w:val="52"/>
          <w:szCs w:val="52"/>
        </w:rPr>
        <w:t xml:space="preserve">Chiron : corps réel, blessure symbolique</w:t>
      </w:r>
    </w:p>
    <w:p>
      <w:pPr>
        <w:spacing w:after="200" w:before="60"/>
        <w:jc w:val="center"/>
      </w:pPr>
      <w:r>
        <w:rPr>
          <w:rFonts w:ascii="Times New Roman" w:cs="Times New Roman" w:eastAsia="Times New Roman" w:hAnsi="Times New Roman"/>
          <w:b w:val="false"/>
          <w:bCs w:val="false"/>
          <w:i w:val="false"/>
          <w:iCs w:val="false"/>
          <w:color w:val="6B7280"/>
          <w:sz w:val="20"/>
          <w:szCs w:val="20"/>
        </w:rPr>
        <w:t xml:space="preserve">1er octobre 2026  ·  Leçon 09 / 12</w:t>
      </w:r>
    </w:p>
    <w:p>
      <w:pPr>
        <w:pStyle w:val="Heading2"/>
        <w:spacing w:after="100" w:before="280"/>
      </w:pPr>
      <w:r>
        <w:rPr>
          <w:rFonts w:ascii="Times New Roman" w:cs="Times New Roman" w:eastAsia="Times New Roman" w:hAnsi="Times New Roman"/>
          <w:b/>
          <w:bCs/>
          <w:color w:val="1B3A6B"/>
          <w:sz w:val="30"/>
          <w:szCs w:val="30"/>
        </w:rPr>
        <w:t xml:space="preserve">🎯 Objectif</w:t>
      </w:r>
    </w:p>
    <w:p>
      <w:pPr>
        <w:shd w:fill="F3F4F6" w:val="clear"/>
        <w:spacing w:after="80" w:before="60"/>
      </w:pPr>
      <w:r>
        <w:rPr>
          <w:rFonts w:ascii="Times New Roman" w:cs="Times New Roman" w:eastAsia="Times New Roman" w:hAnsi="Times New Roman"/>
          <w:b/>
          <w:bCs/>
          <w:i w:val="false"/>
          <w:iCs w:val="false"/>
          <w:color w:val="1F2937"/>
          <w:sz w:val="22"/>
          <w:szCs w:val="22"/>
        </w:rPr>
        <w:t xml:space="preserve">Rappel leçon 08 : </w:t>
      </w:r>
      <w:r>
        <w:rPr>
          <w:rFonts w:ascii="Times New Roman" w:cs="Times New Roman" w:eastAsia="Times New Roman" w:hAnsi="Times New Roman"/>
          <w:b w:val="false"/>
          <w:bCs w:val="false"/>
          <w:i w:val="false"/>
          <w:iCs w:val="false"/>
          <w:color w:val="1F2937"/>
          <w:sz w:val="22"/>
          <w:szCs w:val="22"/>
        </w:rPr>
        <w:t xml:space="preserve">le mouvement rétrograde d'une planète est un phénomène apparent, dû à la position relative de la Terre et des autres planètes sur leurs orbites. Le mouvement orbital réel n'est ni inversé ni ralenti. Dans le corpus karmique, une planète rétrograde natale est lue comme un marqueur d'intériorisation des thèmes qu'elle gouverne (d'après les synthèses Astrotheme et Kerykeion, consultées le 24/09/2026).</w:t>
      </w:r>
    </w:p>
    <w:p>
      <w:pPr>
        <w:spacing w:after="100" w:before="60"/>
      </w:pPr>
      <w:r>
        <w:rPr>
          <w:rFonts w:ascii="Times New Roman" w:cs="Times New Roman" w:eastAsia="Times New Roman" w:hAnsi="Times New Roman"/>
          <w:b w:val="false"/>
          <w:bCs w:val="false"/>
          <w:i w:val="false"/>
          <w:iCs w:val="false"/>
          <w:color w:val="1F2937"/>
          <w:sz w:val="22"/>
          <w:szCs w:val="22"/>
        </w:rPr>
        <w:t xml:space="preserve">À la fin de cette leçon, tu sauras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identifier Chiron dans un thème natal et citer son statut astronomique précis (centaure + comète double)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distinguer les données orbitales vérifiables de la lecture symbolique que le corpus en a construite en moins d'une décennie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nommer les auteurs qui ont posé les bases de la lecture chirologique et ce que leurs notices bibliographiques révèlent de leurs angles respectifs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situer le « retour de Chiron » (Chiron return) dans son contexte orbital et dans la lecture du corpus.</w:t>
      </w:r>
    </w:p>
    <w:p>
      <w:pPr>
        <w:pStyle w:val="Heading2"/>
        <w:spacing w:after="100" w:before="280"/>
      </w:pPr>
      <w:r>
        <w:rPr>
          <w:rFonts w:ascii="Times New Roman" w:cs="Times New Roman" w:eastAsia="Times New Roman" w:hAnsi="Times New Roman"/>
          <w:b/>
          <w:bCs/>
          <w:color w:val="1B3A6B"/>
          <w:sz w:val="30"/>
          <w:szCs w:val="30"/>
        </w:rPr>
        <w:t xml:space="preserve">📜 Le corpus — Chiron : corps réel, blessure symbolique</w:t>
      </w:r>
    </w:p>
    <w:p>
      <w:pPr>
        <w:pStyle w:val="Heading3"/>
        <w:spacing w:after="80" w:before="200"/>
      </w:pPr>
      <w:r>
        <w:rPr>
          <w:rFonts w:ascii="Times New Roman" w:cs="Times New Roman" w:eastAsia="Times New Roman" w:hAnsi="Times New Roman"/>
          <w:b/>
          <w:bCs/>
          <w:color w:val="1F2937"/>
          <w:sz w:val="26"/>
          <w:szCs w:val="26"/>
        </w:rPr>
        <w:t xml:space="preserve">1. La réalité astronomique (Régime A)</w:t>
      </w:r>
    </w:p>
    <w:p>
      <w:pPr>
        <w:spacing w:after="100" w:before="60"/>
      </w:pPr>
      <w:r>
        <w:rPr>
          <w:rFonts w:ascii="Times New Roman" w:cs="Times New Roman" w:eastAsia="Times New Roman" w:hAnsi="Times New Roman"/>
          <w:b w:val="false"/>
          <w:bCs w:val="false"/>
          <w:i w:val="false"/>
          <w:iCs w:val="false"/>
          <w:color w:val="1F2937"/>
          <w:sz w:val="22"/>
          <w:szCs w:val="22"/>
        </w:rPr>
        <w:t xml:space="preserve">Chiron est un corps céleste découvert le </w:t>
      </w:r>
      <w:r>
        <w:rPr>
          <w:rFonts w:ascii="Times New Roman" w:cs="Times New Roman" w:eastAsia="Times New Roman" w:hAnsi="Times New Roman"/>
          <w:b/>
          <w:bCs/>
          <w:i w:val="false"/>
          <w:iCs w:val="false"/>
          <w:color w:val="1F2937"/>
          <w:sz w:val="22"/>
          <w:szCs w:val="22"/>
        </w:rPr>
        <w:t xml:space="preserve">18 octobre 1977</w:t>
      </w:r>
      <w:r>
        <w:rPr>
          <w:rFonts w:ascii="Times New Roman" w:cs="Times New Roman" w:eastAsia="Times New Roman" w:hAnsi="Times New Roman"/>
          <w:b w:val="false"/>
          <w:bCs w:val="false"/>
          <w:i w:val="false"/>
          <w:iCs w:val="false"/>
          <w:color w:val="1F2937"/>
          <w:sz w:val="22"/>
          <w:szCs w:val="22"/>
        </w:rPr>
        <w:t xml:space="preserve"> par l'astronome américain Charles T. Kowal à l'Observatoire de </w:t>
      </w:r>
      <w:r>
        <w:rPr>
          <w:rFonts w:ascii="Times New Roman" w:cs="Times New Roman" w:eastAsia="Times New Roman" w:hAnsi="Times New Roman"/>
          <w:b w:val="false"/>
          <w:bCs w:val="false"/>
          <w:i/>
          <w:iCs/>
          <w:color w:val="1F2937"/>
          <w:sz w:val="22"/>
          <w:szCs w:val="22"/>
        </w:rPr>
        <w:t xml:space="preserve">Palomar</w:t>
      </w:r>
      <w:r>
        <w:rPr>
          <w:rFonts w:ascii="Times New Roman" w:cs="Times New Roman" w:eastAsia="Times New Roman" w:hAnsi="Times New Roman"/>
          <w:b w:val="false"/>
          <w:bCs w:val="false"/>
          <w:i w:val="false"/>
          <w:iCs w:val="false"/>
          <w:color w:val="1F2937"/>
          <w:sz w:val="22"/>
          <w:szCs w:val="22"/>
        </w:rPr>
        <w:t xml:space="preserve"> (Californie). Sa désignation officielle est </w:t>
      </w:r>
      <w:r>
        <w:rPr>
          <w:rFonts w:ascii="Times New Roman" w:cs="Times New Roman" w:eastAsia="Times New Roman" w:hAnsi="Times New Roman"/>
          <w:b/>
          <w:bCs/>
          <w:i w:val="false"/>
          <w:iCs w:val="false"/>
          <w:color w:val="1F2937"/>
          <w:sz w:val="22"/>
          <w:szCs w:val="22"/>
        </w:rPr>
        <w:t xml:space="preserve">2060 Chiron</w:t>
      </w:r>
      <w:r>
        <w:rPr>
          <w:rFonts w:ascii="Times New Roman" w:cs="Times New Roman" w:eastAsia="Times New Roman" w:hAnsi="Times New Roman"/>
          <w:b w:val="false"/>
          <w:bCs w:val="false"/>
          <w:i w:val="false"/>
          <w:iCs w:val="false"/>
          <w:color w:val="1F2937"/>
          <w:sz w:val="22"/>
          <w:szCs w:val="22"/>
        </w:rPr>
        <w:t xml:space="preserve">, et il porte en parallèle la désignation cométaire </w:t>
      </w:r>
      <w:r>
        <w:rPr>
          <w:rFonts w:ascii="Times New Roman" w:cs="Times New Roman" w:eastAsia="Times New Roman" w:hAnsi="Times New Roman"/>
          <w:b/>
          <w:bCs/>
          <w:i w:val="false"/>
          <w:iCs w:val="false"/>
          <w:color w:val="1F2937"/>
          <w:sz w:val="22"/>
          <w:szCs w:val="22"/>
        </w:rPr>
        <w:t xml:space="preserve">95P/Chiron</w:t>
      </w:r>
      <w:r>
        <w:rPr>
          <w:rFonts w:ascii="Times New Roman" w:cs="Times New Roman" w:eastAsia="Times New Roman" w:hAnsi="Times New Roman"/>
          <w:b w:val="false"/>
          <w:bCs w:val="false"/>
          <w:i w:val="false"/>
          <w:iCs w:val="false"/>
          <w:color w:val="1F2937"/>
          <w:sz w:val="22"/>
          <w:szCs w:val="22"/>
        </w:rPr>
        <w:t xml:space="preserve"> — ce double statut d'astéroïde et de comète périodique est exceptionnel et caractéristique du corps.</w:t>
      </w:r>
    </w:p>
    <w:p>
      <w:pPr>
        <w:spacing w:after="100" w:before="60"/>
      </w:pPr>
      <w:r>
        <w:rPr>
          <w:rFonts w:ascii="Times New Roman" w:cs="Times New Roman" w:eastAsia="Times New Roman" w:hAnsi="Times New Roman"/>
          <w:b w:val="false"/>
          <w:bCs w:val="false"/>
          <w:i w:val="false"/>
          <w:iCs w:val="false"/>
          <w:color w:val="1F2937"/>
          <w:sz w:val="22"/>
          <w:szCs w:val="22"/>
        </w:rPr>
        <w:t xml:space="preserve">Source : </w:t>
      </w:r>
      <w:hyperlink w:history="1" r:id="rIddlwbnairs0ym8j0hlprkq">
        <w:r>
          <w:rPr>
            <w:rFonts w:ascii="Times New Roman" w:cs="Times New Roman" w:eastAsia="Times New Roman" w:hAnsi="Times New Roman"/>
            <w:color w:val="1155CC"/>
            <w:sz w:val="22"/>
            <w:szCs w:val="22"/>
            <w:u w:val="single"/>
          </w:rPr>
          <w:t xml:space="preserve">Centre des planètes mineures de l'UAI — 2060 Chiron</w:t>
        </w:r>
      </w:hyperlink>
      <w:r>
        <w:rPr>
          <w:rFonts w:ascii="Times New Roman" w:cs="Times New Roman" w:eastAsia="Times New Roman" w:hAnsi="Times New Roman"/>
          <w:b w:val="false"/>
          <w:bCs w:val="false"/>
          <w:i w:val="false"/>
          <w:iCs w:val="false"/>
          <w:color w:val="1F2937"/>
          <w:sz w:val="22"/>
          <w:szCs w:val="22"/>
        </w:rPr>
        <w:t xml:space="preserve"> (HTTP 200, 521 478 caractères, testé le 01/10/2026). La page confirme : « Discovered at Palomar on 1977-10-18 by C. T. Kowal. »</w:t>
      </w:r>
    </w:p>
    <w:p>
      <w:pPr>
        <w:pStyle w:val="Heading3"/>
        <w:spacing w:after="80" w:before="200"/>
      </w:pPr>
      <w:r>
        <w:rPr>
          <w:rFonts w:ascii="Times New Roman" w:cs="Times New Roman" w:eastAsia="Times New Roman" w:hAnsi="Times New Roman"/>
          <w:b/>
          <w:bCs/>
          <w:color w:val="1F2937"/>
          <w:sz w:val="26"/>
          <w:szCs w:val="26"/>
        </w:rPr>
        <w:t xml:space="preserve">1.1 Classification : la naissance de la catégorie « Centaures »</w:t>
      </w:r>
    </w:p>
    <w:p>
      <w:pPr>
        <w:spacing w:after="100" w:before="60"/>
      </w:pPr>
      <w:r>
        <w:rPr>
          <w:rFonts w:ascii="Times New Roman" w:cs="Times New Roman" w:eastAsia="Times New Roman" w:hAnsi="Times New Roman"/>
          <w:b w:val="false"/>
          <w:bCs w:val="false"/>
          <w:i w:val="false"/>
          <w:iCs w:val="false"/>
          <w:color w:val="1F2937"/>
          <w:sz w:val="22"/>
          <w:szCs w:val="22"/>
        </w:rPr>
        <w:t xml:space="preserve">À sa découverte, Chiron déjoue les classifications existantes. Il orbite entre Saturne et Uranus — territoire qu'aucun corps connu n'occupait alors. Ses paramètres orbitaux sont (données MPC/UAI, Centre des planètes mineures, page citée ci-dessus et liste officielle des centaures)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Distance au périhélie : </w:t>
      </w:r>
      <w:r>
        <w:rPr>
          <w:rFonts w:ascii="Times New Roman" w:cs="Times New Roman" w:eastAsia="Times New Roman" w:hAnsi="Times New Roman"/>
          <w:b/>
          <w:bCs/>
          <w:i w:val="false"/>
          <w:iCs w:val="false"/>
          <w:color w:val="1F2937"/>
          <w:sz w:val="22"/>
          <w:szCs w:val="22"/>
        </w:rPr>
        <w:t xml:space="preserve">8,487 UA</w:t>
      </w:r>
      <w:r>
        <w:rPr>
          <w:rFonts w:ascii="Times New Roman" w:cs="Times New Roman" w:eastAsia="Times New Roman" w:hAnsi="Times New Roman"/>
          <w:b w:val="false"/>
          <w:bCs w:val="false"/>
          <w:i w:val="false"/>
          <w:iCs w:val="false"/>
          <w:color w:val="1F2937"/>
          <w:sz w:val="22"/>
          <w:szCs w:val="22"/>
        </w:rPr>
        <w:t xml:space="preserve"> (proche de Saturne, dont la distance moyenne au Soleil est d'environ 9,5 UA — constante astronomique standard, non relevée sur ces pages)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Distance à l'aphélie : </w:t>
      </w:r>
      <w:r>
        <w:rPr>
          <w:rFonts w:ascii="Times New Roman" w:cs="Times New Roman" w:eastAsia="Times New Roman" w:hAnsi="Times New Roman"/>
          <w:b/>
          <w:bCs/>
          <w:i w:val="false"/>
          <w:iCs w:val="false"/>
          <w:color w:val="1F2937"/>
          <w:sz w:val="22"/>
          <w:szCs w:val="22"/>
        </w:rPr>
        <w:t xml:space="preserve">18,881 UA</w:t>
      </w:r>
      <w:r>
        <w:rPr>
          <w:rFonts w:ascii="Times New Roman" w:cs="Times New Roman" w:eastAsia="Times New Roman" w:hAnsi="Times New Roman"/>
          <w:b w:val="false"/>
          <w:bCs w:val="false"/>
          <w:i w:val="false"/>
          <w:iCs w:val="false"/>
          <w:color w:val="1F2937"/>
          <w:sz w:val="22"/>
          <w:szCs w:val="22"/>
        </w:rPr>
        <w:t xml:space="preserve"> (proche d'Uranus, dont la distance moyenne est d'environ 19,2 UA — constante astronomique standard, non relevée sur ces pages)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Inclinaison sur l'écliptique : </w:t>
      </w:r>
      <w:r>
        <w:rPr>
          <w:rFonts w:ascii="Times New Roman" w:cs="Times New Roman" w:eastAsia="Times New Roman" w:hAnsi="Times New Roman"/>
          <w:b/>
          <w:bCs/>
          <w:i w:val="false"/>
          <w:iCs w:val="false"/>
          <w:color w:val="1F2937"/>
          <w:sz w:val="22"/>
          <w:szCs w:val="22"/>
        </w:rPr>
        <w:t xml:space="preserve">6,931°</w:t>
      </w:r>
      <w:r>
        <w:rPr>
          <w:rFonts w:ascii="Times New Roman" w:cs="Times New Roman" w:eastAsia="Times New Roman" w:hAnsi="Times New Roman"/>
          <w:b w:val="false"/>
          <w:bCs w:val="false"/>
          <w:i w:val="false"/>
          <w:iCs w:val="false"/>
          <w:color w:val="1F2937"/>
          <w:sz w:val="22"/>
          <w:szCs w:val="22"/>
        </w:rPr>
        <w:t xml:space="preserve"> (MPC, liste des centaures et disques épars, testé 01/10/2026)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Excentricité : </w:t>
      </w:r>
      <w:r>
        <w:rPr>
          <w:rFonts w:ascii="Times New Roman" w:cs="Times New Roman" w:eastAsia="Times New Roman" w:hAnsi="Times New Roman"/>
          <w:b/>
          <w:bCs/>
          <w:i w:val="false"/>
          <w:iCs w:val="false"/>
          <w:color w:val="1F2937"/>
          <w:sz w:val="22"/>
          <w:szCs w:val="22"/>
        </w:rPr>
        <w:t xml:space="preserve">0,380</w:t>
      </w:r>
      <w:r>
        <w:rPr>
          <w:rFonts w:ascii="Times New Roman" w:cs="Times New Roman" w:eastAsia="Times New Roman" w:hAnsi="Times New Roman"/>
          <w:b w:val="false"/>
          <w:bCs w:val="false"/>
          <w:i w:val="false"/>
          <w:iCs w:val="false"/>
          <w:color w:val="1F2937"/>
          <w:sz w:val="22"/>
          <w:szCs w:val="22"/>
        </w:rPr>
        <w:t xml:space="preserve"> (MPC)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Demi-grand axe : </w:t>
      </w:r>
      <w:r>
        <w:rPr>
          <w:rFonts w:ascii="Times New Roman" w:cs="Times New Roman" w:eastAsia="Times New Roman" w:hAnsi="Times New Roman"/>
          <w:b/>
          <w:bCs/>
          <w:i w:val="false"/>
          <w:iCs w:val="false"/>
          <w:color w:val="1F2937"/>
          <w:sz w:val="22"/>
          <w:szCs w:val="22"/>
        </w:rPr>
        <w:t xml:space="preserve">13,684 UA</w:t>
      </w:r>
      <w:r>
        <w:rPr>
          <w:rFonts w:ascii="Times New Roman" w:cs="Times New Roman" w:eastAsia="Times New Roman" w:hAnsi="Times New Roman"/>
          <w:b w:val="false"/>
          <w:bCs w:val="false"/>
          <w:i w:val="false"/>
          <w:iCs w:val="false"/>
          <w:color w:val="1F2937"/>
          <w:sz w:val="22"/>
          <w:szCs w:val="22"/>
        </w:rPr>
        <w:t xml:space="preserve"> (MPC).</w:t>
      </w:r>
    </w:p>
    <w:p>
      <w:pPr>
        <w:spacing w:after="100" w:before="60"/>
      </w:pPr>
      <w:r>
        <w:rPr>
          <w:rFonts w:ascii="Times New Roman" w:cs="Times New Roman" w:eastAsia="Times New Roman" w:hAnsi="Times New Roman"/>
          <w:b w:val="false"/>
          <w:bCs w:val="false"/>
          <w:i w:val="false"/>
          <w:iCs w:val="false"/>
          <w:color w:val="1F2937"/>
          <w:sz w:val="22"/>
          <w:szCs w:val="22"/>
        </w:rPr>
        <w:t xml:space="preserve">La liste officielle des centaures de l'UAI/MPC place Chiron en </w:t>
      </w:r>
      <w:r>
        <w:rPr>
          <w:rFonts w:ascii="Times New Roman" w:cs="Times New Roman" w:eastAsia="Times New Roman" w:hAnsi="Times New Roman"/>
          <w:b/>
          <w:bCs/>
          <w:i w:val="false"/>
          <w:iCs w:val="false"/>
          <w:color w:val="1F2937"/>
          <w:sz w:val="22"/>
          <w:szCs w:val="22"/>
        </w:rPr>
        <w:t xml:space="preserve">première position</w:t>
      </w:r>
      <w:r>
        <w:rPr>
          <w:rFonts w:ascii="Times New Roman" w:cs="Times New Roman" w:eastAsia="Times New Roman" w:hAnsi="Times New Roman"/>
          <w:b w:val="false"/>
          <w:bCs w:val="false"/>
          <w:i w:val="false"/>
          <w:iCs w:val="false"/>
          <w:color w:val="1F2937"/>
          <w:sz w:val="22"/>
          <w:szCs w:val="22"/>
        </w:rPr>
        <w:t xml:space="preserve"> — il est le corps éponyme qui a donné son nom à la catégorie. Source : </w:t>
      </w:r>
      <w:hyperlink w:history="1" r:id="rIdfmgkkgu_htd80k70snl_e">
        <w:r>
          <w:rPr>
            <w:rFonts w:ascii="Times New Roman" w:cs="Times New Roman" w:eastAsia="Times New Roman" w:hAnsi="Times New Roman"/>
            <w:color w:val="1155CC"/>
            <w:sz w:val="22"/>
            <w:szCs w:val="22"/>
            <w:u w:val="single"/>
          </w:rPr>
          <w:t xml:space="preserve">MPC — Liste des centaures et objets du disque épars</w:t>
        </w:r>
      </w:hyperlink>
      <w:r>
        <w:rPr>
          <w:rFonts w:ascii="Times New Roman" w:cs="Times New Roman" w:eastAsia="Times New Roman" w:hAnsi="Times New Roman"/>
          <w:b w:val="false"/>
          <w:bCs w:val="false"/>
          <w:i w:val="false"/>
          <w:iCs w:val="false"/>
          <w:color w:val="1F2937"/>
          <w:sz w:val="22"/>
          <w:szCs w:val="22"/>
        </w:rPr>
        <w:t xml:space="preserve"> (HTTP 200, 338 056 caractères, testé 01/10/2026).</w:t>
      </w:r>
    </w:p>
    <w:p>
      <w:pPr>
        <w:pStyle w:val="Heading3"/>
        <w:spacing w:after="80" w:before="200"/>
      </w:pPr>
      <w:r>
        <w:rPr>
          <w:rFonts w:ascii="Times New Roman" w:cs="Times New Roman" w:eastAsia="Times New Roman" w:hAnsi="Times New Roman"/>
          <w:b/>
          <w:bCs/>
          <w:color w:val="1F2937"/>
          <w:sz w:val="26"/>
          <w:szCs w:val="26"/>
        </w:rPr>
        <w:t xml:space="preserve">1.2 La période orbitale et le « retour de Chiron »</w:t>
      </w:r>
    </w:p>
    <w:p>
      <w:pPr>
        <w:spacing w:after="100" w:before="60"/>
      </w:pPr>
      <w:r>
        <w:rPr>
          <w:rFonts w:ascii="Times New Roman" w:cs="Times New Roman" w:eastAsia="Times New Roman" w:hAnsi="Times New Roman"/>
          <w:b w:val="false"/>
          <w:bCs w:val="false"/>
          <w:i w:val="false"/>
          <w:iCs w:val="false"/>
          <w:color w:val="1F2937"/>
          <w:sz w:val="22"/>
          <w:szCs w:val="22"/>
        </w:rPr>
        <w:t xml:space="preserve">Deux sources de régime A donnent la période orbitale, avec un léger écart :</w:t>
      </w:r>
    </w:p>
    <w:p>
      <w:pPr>
        <w:pStyle w:val="ListParagraph"/>
        <w:numPr>
          <w:ilvl w:val="0"/>
          <w:numId w:val="1"/>
        </w:numPr>
        <w:spacing w:after="40" w:before="40"/>
      </w:pPr>
      <w:hyperlink w:history="1" r:id="rIdjqxlnyngxpbmuq581xmwy">
        <w:r>
          <w:rPr>
            <w:rFonts w:ascii="Times New Roman" w:cs="Times New Roman" w:eastAsia="Times New Roman" w:hAnsi="Times New Roman"/>
            <w:color w:val="1155CC"/>
            <w:sz w:val="22"/>
            <w:szCs w:val="22"/>
            <w:u w:val="single"/>
          </w:rPr>
          <w:t xml:space="preserve">NASA/JPL Horizons (API, testé 01/10/2026)</w:t>
        </w:r>
      </w:hyperlink>
      <w:r>
        <w:rPr>
          <w:rFonts w:ascii="Times New Roman" w:cs="Times New Roman" w:eastAsia="Times New Roman" w:hAnsi="Times New Roman"/>
          <w:b w:val="false"/>
          <w:bCs w:val="false"/>
          <w:i w:val="false"/>
          <w:iCs w:val="false"/>
          <w:color w:val="1F2937"/>
          <w:sz w:val="22"/>
          <w:szCs w:val="22"/>
        </w:rPr>
        <w:t xml:space="preserve"> : </w:t>
      </w:r>
      <w:r>
        <w:rPr>
          <w:rFonts w:ascii="Times New Roman" w:cs="Times New Roman" w:eastAsia="Times New Roman" w:hAnsi="Times New Roman"/>
          <w:b/>
          <w:bCs/>
          <w:i w:val="false"/>
          <w:iCs w:val="false"/>
          <w:color w:val="1F2937"/>
          <w:sz w:val="22"/>
          <w:szCs w:val="22"/>
        </w:rPr>
        <w:t xml:space="preserve">50,41 ans</w:t>
      </w:r>
      <w:r>
        <w:rPr>
          <w:rFonts w:ascii="Times New Roman" w:cs="Times New Roman" w:eastAsia="Times New Roman" w:hAnsi="Times New Roman"/>
          <w:b w:val="false"/>
          <w:bCs w:val="false"/>
          <w:i w:val="false"/>
          <w:iCs w:val="false"/>
          <w:color w:val="1F2937"/>
          <w:sz w:val="22"/>
          <w:szCs w:val="22"/>
        </w:rPr>
        <w:t xml:space="preserve"> (années juliennes ; paramètre PER= 50.40983 dans les éléments osculateurs à l'époque J2000)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MPC/UAI, page principale citée ci-dessus : </w:t>
      </w:r>
      <w:r>
        <w:rPr>
          <w:rFonts w:ascii="Times New Roman" w:cs="Times New Roman" w:eastAsia="Times New Roman" w:hAnsi="Times New Roman"/>
          <w:b/>
          <w:bCs/>
          <w:i w:val="false"/>
          <w:iCs w:val="false"/>
          <w:color w:val="1F2937"/>
          <w:sz w:val="22"/>
          <w:szCs w:val="22"/>
        </w:rPr>
        <w:t xml:space="preserve">50,62 ans</w:t>
      </w:r>
      <w:r>
        <w:rPr>
          <w:rFonts w:ascii="Times New Roman" w:cs="Times New Roman" w:eastAsia="Times New Roman" w:hAnsi="Times New Roman"/>
          <w:b w:val="false"/>
          <w:bCs w:val="false"/>
          <w:i w:val="false"/>
          <w:iCs w:val="false"/>
          <w:color w:val="1F2937"/>
          <w:sz w:val="22"/>
          <w:szCs w:val="22"/>
        </w:rPr>
        <w:t xml:space="preserve"> (années, éléments récents époque 2026-06-09).</w:t>
      </w:r>
    </w:p>
    <w:p>
      <w:pPr>
        <w:spacing w:after="100" w:before="60"/>
      </w:pPr>
      <w:r>
        <w:rPr>
          <w:rFonts w:ascii="Times New Roman" w:cs="Times New Roman" w:eastAsia="Times New Roman" w:hAnsi="Times New Roman"/>
          <w:b w:val="false"/>
          <w:bCs w:val="false"/>
          <w:i w:val="false"/>
          <w:iCs w:val="false"/>
          <w:color w:val="1F2937"/>
          <w:sz w:val="22"/>
          <w:szCs w:val="22"/>
        </w:rPr>
        <w:t xml:space="preserve">Écart entre les deux valeurs : environ 0,2 an, dû aux époques et aux éléments orbitaux utilisés. </w:t>
      </w:r>
      <w:r>
        <w:rPr>
          <w:rFonts w:ascii="Times New Roman" w:cs="Times New Roman" w:eastAsia="Times New Roman" w:hAnsi="Times New Roman"/>
          <w:b/>
          <w:bCs/>
          <w:i w:val="false"/>
          <w:iCs w:val="false"/>
          <w:color w:val="1F2937"/>
          <w:sz w:val="22"/>
          <w:szCs w:val="22"/>
        </w:rPr>
        <w:t xml:space="preserve">L'ordre de grandeur robuste : environ 50 à 51 ans.</w:t>
      </w:r>
      <w:r>
        <w:rPr>
          <w:rFonts w:ascii="Times New Roman" w:cs="Times New Roman" w:eastAsia="Times New Roman" w:hAnsi="Times New Roman"/>
          <w:b w:val="false"/>
          <w:bCs w:val="false"/>
          <w:i w:val="false"/>
          <w:iCs w:val="false"/>
          <w:color w:val="1F2937"/>
          <w:sz w:val="22"/>
          <w:szCs w:val="22"/>
        </w:rPr>
        <w:t xml:space="preserve"> Ni l'une ni l'autre source ne donne un chiffre unique à retenir ; les deux sont citées.</w:t>
      </w:r>
    </w:p>
    <w:p>
      <w:pPr>
        <w:spacing w:after="100" w:before="60"/>
      </w:pPr>
      <w:r>
        <w:rPr>
          <w:rFonts w:ascii="Times New Roman" w:cs="Times New Roman" w:eastAsia="Times New Roman" w:hAnsi="Times New Roman"/>
          <w:b w:val="false"/>
          <w:bCs w:val="false"/>
          <w:i w:val="false"/>
          <w:iCs w:val="false"/>
          <w:color w:val="1F2937"/>
          <w:sz w:val="22"/>
          <w:szCs w:val="22"/>
        </w:rPr>
        <w:t xml:space="preserve">Chiron revient donc à sa position natale approximativement vers l'âge de 50 à 51 ans. Ce retour est un fait orbital calculable ; la lecture symbolique que le corpus en tire est du Régime B (voir section 2.4).</w:t>
      </w:r>
    </w:p>
    <w:p>
      <w:pPr>
        <w:pStyle w:val="Heading3"/>
        <w:spacing w:after="80" w:before="200"/>
      </w:pPr>
      <w:r>
        <w:rPr>
          <w:rFonts w:ascii="Times New Roman" w:cs="Times New Roman" w:eastAsia="Times New Roman" w:hAnsi="Times New Roman"/>
          <w:b/>
          <w:bCs/>
          <w:color w:val="1F2937"/>
          <w:sz w:val="26"/>
          <w:szCs w:val="26"/>
        </w:rPr>
        <w:t xml:space="preserve">1.3 Le double statut astéroïde-comète</w:t>
      </w:r>
    </w:p>
    <w:p>
      <w:pPr>
        <w:spacing w:after="100" w:before="60"/>
      </w:pPr>
      <w:r>
        <w:rPr>
          <w:rFonts w:ascii="Times New Roman" w:cs="Times New Roman" w:eastAsia="Times New Roman" w:hAnsi="Times New Roman"/>
          <w:b w:val="false"/>
          <w:bCs w:val="false"/>
          <w:i w:val="false"/>
          <w:iCs w:val="false"/>
          <w:color w:val="1F2937"/>
          <w:sz w:val="22"/>
          <w:szCs w:val="22"/>
        </w:rPr>
        <w:t xml:space="preserve">La désignation 95P/Chiron indique que Chiron a été observé développant une </w:t>
      </w:r>
      <w:r>
        <w:rPr>
          <w:rFonts w:ascii="Times New Roman" w:cs="Times New Roman" w:eastAsia="Times New Roman" w:hAnsi="Times New Roman"/>
          <w:b w:val="false"/>
          <w:bCs w:val="false"/>
          <w:i/>
          <w:iCs/>
          <w:color w:val="1F2937"/>
          <w:sz w:val="22"/>
          <w:szCs w:val="22"/>
        </w:rPr>
        <w:t xml:space="preserve">coma</w:t>
      </w:r>
      <w:r>
        <w:rPr>
          <w:rFonts w:ascii="Times New Roman" w:cs="Times New Roman" w:eastAsia="Times New Roman" w:hAnsi="Times New Roman"/>
          <w:b w:val="false"/>
          <w:bCs w:val="false"/>
          <w:i w:val="false"/>
          <w:iCs w:val="false"/>
          <w:color w:val="1F2937"/>
          <w:sz w:val="22"/>
          <w:szCs w:val="22"/>
        </w:rPr>
        <w:t xml:space="preserve"> (halo gazeux) lors de son approche du périhélie — comportement cométaire. Le MPC le liste donc à la fois dans sa base des astéroïdes/planètes mineures (2060) </w:t>
      </w:r>
      <w:r>
        <w:rPr>
          <w:rFonts w:ascii="Times New Roman" w:cs="Times New Roman" w:eastAsia="Times New Roman" w:hAnsi="Times New Roman"/>
          <w:b w:val="false"/>
          <w:bCs w:val="false"/>
          <w:i/>
          <w:iCs/>
          <w:color w:val="1F2937"/>
          <w:sz w:val="22"/>
          <w:szCs w:val="22"/>
        </w:rPr>
        <w:t xml:space="preserve">et</w:t>
      </w:r>
      <w:r>
        <w:rPr>
          <w:rFonts w:ascii="Times New Roman" w:cs="Times New Roman" w:eastAsia="Times New Roman" w:hAnsi="Times New Roman"/>
          <w:b w:val="false"/>
          <w:bCs w:val="false"/>
          <w:i w:val="false"/>
          <w:iCs w:val="false"/>
          <w:color w:val="1F2937"/>
          <w:sz w:val="22"/>
          <w:szCs w:val="22"/>
        </w:rPr>
        <w:t xml:space="preserve"> dans sa liste des comètes périodiques (95P). Ce double statut est lui-même source d'interrogation scientifique : les centaures sont considérés comme une population transitoire, probablement issue de la ceinture de Kuiper, pouvant évoluer vers des comètes à courte période. La MPC classe Chiron comme « Distant object » (objet lointain), catégorie englobant les centaures.</w:t>
      </w:r>
    </w:p>
    <w:p>
      <w:pPr>
        <w:spacing w:after="100" w:before="60"/>
      </w:pPr>
      <w:r>
        <w:rPr>
          <w:rFonts w:ascii="Times New Roman" w:cs="Times New Roman" w:eastAsia="Times New Roman" w:hAnsi="Times New Roman"/>
          <w:b w:val="false"/>
          <w:bCs w:val="false"/>
          <w:i w:val="false"/>
          <w:iCs w:val="false"/>
          <w:color w:val="1F2937"/>
          <w:sz w:val="22"/>
          <w:szCs w:val="22"/>
        </w:rPr>
        <w:t xml:space="preserve">Dimension physique : le rayon de Chiron est estimé à environ </w:t>
      </w:r>
      <w:r>
        <w:rPr>
          <w:rFonts w:ascii="Times New Roman" w:cs="Times New Roman" w:eastAsia="Times New Roman" w:hAnsi="Times New Roman"/>
          <w:b/>
          <w:bCs/>
          <w:i w:val="false"/>
          <w:iCs w:val="false"/>
          <w:color w:val="1F2937"/>
          <w:sz w:val="22"/>
          <w:szCs w:val="22"/>
        </w:rPr>
        <w:t xml:space="preserve">83 km</w:t>
      </w:r>
      <w:r>
        <w:rPr>
          <w:rFonts w:ascii="Times New Roman" w:cs="Times New Roman" w:eastAsia="Times New Roman" w:hAnsi="Times New Roman"/>
          <w:b w:val="false"/>
          <w:bCs w:val="false"/>
          <w:i w:val="false"/>
          <w:iCs w:val="false"/>
          <w:color w:val="1F2937"/>
          <w:sz w:val="22"/>
          <w:szCs w:val="22"/>
        </w:rPr>
        <w:t xml:space="preserve"> (source : NASA/JPL Horizons, paramètre RAD= 83. dans les éléments physiques, testé 01/10/2026 — valeur approximative, non guarantie par le MPC pour cette précision). À titre de comparaison, c'est un corps modeste — la Lune a un rayon de 1 737 km, constante astronomique standard — mais bien réel et orbitalement défini.</w:t>
      </w:r>
    </w:p>
    <w:p>
      <w:pPr>
        <w:pStyle w:val="Heading3"/>
        <w:spacing w:after="80" w:before="200"/>
      </w:pPr>
      <w:r>
        <w:rPr>
          <w:rFonts w:ascii="Times New Roman" w:cs="Times New Roman" w:eastAsia="Times New Roman" w:hAnsi="Times New Roman"/>
          <w:b/>
          <w:bCs/>
          <w:color w:val="1F2937"/>
          <w:sz w:val="26"/>
          <w:szCs w:val="26"/>
        </w:rPr>
        <w:t xml:space="preserve">2. L'intégration dans le corpus astrologique (Régime B)</w:t>
      </w:r>
    </w:p>
    <w:p>
      <w:pPr>
        <w:pStyle w:val="Heading3"/>
        <w:spacing w:after="80" w:before="200"/>
      </w:pPr>
      <w:r>
        <w:rPr>
          <w:rFonts w:ascii="Times New Roman" w:cs="Times New Roman" w:eastAsia="Times New Roman" w:hAnsi="Times New Roman"/>
          <w:b/>
          <w:bCs/>
          <w:color w:val="1F2937"/>
          <w:sz w:val="26"/>
          <w:szCs w:val="26"/>
        </w:rPr>
        <w:t xml:space="preserve">2.1 La rapidité de l'intégration</w:t>
      </w:r>
    </w:p>
    <w:p>
      <w:pPr>
        <w:spacing w:after="100" w:before="60"/>
      </w:pPr>
      <w:r>
        <w:rPr>
          <w:rFonts w:ascii="Times New Roman" w:cs="Times New Roman" w:eastAsia="Times New Roman" w:hAnsi="Times New Roman"/>
          <w:b w:val="false"/>
          <w:bCs w:val="false"/>
          <w:i w:val="false"/>
          <w:iCs w:val="false"/>
          <w:color w:val="1F2937"/>
          <w:sz w:val="22"/>
          <w:szCs w:val="22"/>
        </w:rPr>
        <w:t xml:space="preserve">Selon Zane B. Stein, l'un des pionniers de l'astrologie chirologique, l'appropriation du corps par la communauté astrologique a été immédiate. Stein écrit sur son site (</w:t>
      </w:r>
      <w:hyperlink w:history="1" r:id="rIdmmlzphy9imqxm4v6ebsyr">
        <w:r>
          <w:rPr>
            <w:rFonts w:ascii="Times New Roman" w:cs="Times New Roman" w:eastAsia="Times New Roman" w:hAnsi="Times New Roman"/>
            <w:color w:val="1155CC"/>
            <w:sz w:val="22"/>
            <w:szCs w:val="22"/>
            <w:u w:val="single"/>
          </w:rPr>
          <w:t xml:space="preserve">zanestein.com/chiron.htm</w:t>
        </w:r>
      </w:hyperlink>
      <w:r>
        <w:rPr>
          <w:rFonts w:ascii="Times New Roman" w:cs="Times New Roman" w:eastAsia="Times New Roman" w:hAnsi="Times New Roman"/>
          <w:b w:val="false"/>
          <w:bCs w:val="false"/>
          <w:i w:val="false"/>
          <w:iCs w:val="false"/>
          <w:color w:val="1F2937"/>
          <w:sz w:val="22"/>
          <w:szCs w:val="22"/>
        </w:rPr>
        <w:t xml:space="preserve">, HTTP 200, 4 202 caractères utiles, testé 01/10/2026) : « I began studying Chiron only weeks after its discovery » — il a commencé à étudier Chiron quelques semaines seulement après sa découverte en 1977.</w:t>
      </w:r>
    </w:p>
    <w:p>
      <w:pPr>
        <w:spacing w:after="100" w:before="60"/>
      </w:pPr>
      <w:r>
        <w:rPr>
          <w:rFonts w:ascii="Times New Roman" w:cs="Times New Roman" w:eastAsia="Times New Roman" w:hAnsi="Times New Roman"/>
          <w:b w:val="false"/>
          <w:bCs w:val="false"/>
          <w:i w:val="false"/>
          <w:iCs w:val="false"/>
          <w:color w:val="1F2937"/>
          <w:sz w:val="22"/>
          <w:szCs w:val="22"/>
        </w:rPr>
        <w:t xml:space="preserve">Stein décrit également la création de la catégorie « Centaures » dans le corpus : « Chiron was discovered in 1977, and was so different from anything else ever found that a whole new category had to be invented for it. When Chiron was discovered to have company in the early 1990's, this new category was given a name: The Centaurs. » (Zane Stein, page citée — citation anglaise vérifiée sur la page ouverte le 01/10/2026.)</w:t>
      </w:r>
    </w:p>
    <w:p>
      <w:pPr>
        <w:spacing w:after="100" w:before="60"/>
      </w:pPr>
      <w:r>
        <w:rPr>
          <w:rFonts w:ascii="Times New Roman" w:cs="Times New Roman" w:eastAsia="Times New Roman" w:hAnsi="Times New Roman"/>
          <w:b w:val="false"/>
          <w:bCs w:val="false"/>
          <w:i w:val="false"/>
          <w:iCs w:val="false"/>
          <w:color w:val="1F2937"/>
          <w:sz w:val="22"/>
          <w:szCs w:val="22"/>
        </w:rPr>
        <w:t xml:space="preserve">Cette vitesse d'intégration contraste avec le statut scientifique de Chiron, qui ne sera formellement classé « centaure » par le MPC que dans les années 1990, une fois que d'autres corps similaires eurent été découverts. Le corpus astrologique a devancé la classification scientifique — fait d'histoire du corpus, non jugement de valeur.</w:t>
      </w:r>
    </w:p>
    <w:p>
      <w:pPr>
        <w:pStyle w:val="Heading3"/>
        <w:spacing w:after="80" w:before="200"/>
      </w:pPr>
      <w:r>
        <w:rPr>
          <w:rFonts w:ascii="Times New Roman" w:cs="Times New Roman" w:eastAsia="Times New Roman" w:hAnsi="Times New Roman"/>
          <w:b/>
          <w:bCs/>
          <w:color w:val="1F2937"/>
          <w:sz w:val="26"/>
          <w:szCs w:val="26"/>
        </w:rPr>
        <w:t xml:space="preserve">2.2 Le glyphe : la clé et son histoire</w:t>
      </w:r>
    </w:p>
    <w:p>
      <w:pPr>
        <w:spacing w:after="100" w:before="60"/>
      </w:pPr>
      <w:r>
        <w:rPr>
          <w:rFonts w:ascii="Times New Roman" w:cs="Times New Roman" w:eastAsia="Times New Roman" w:hAnsi="Times New Roman"/>
          <w:b w:val="false"/>
          <w:bCs w:val="false"/>
          <w:i w:val="false"/>
          <w:iCs w:val="false"/>
          <w:color w:val="1F2937"/>
          <w:sz w:val="22"/>
          <w:szCs w:val="22"/>
        </w:rPr>
        <w:t xml:space="preserve">Le glyphe astrologique de Chiron, décrit par CaféAstrology (</w:t>
      </w:r>
      <w:hyperlink w:history="1" r:id="rId5uutobe_j2qj0cizq5uxp">
        <w:r>
          <w:rPr>
            <w:rFonts w:ascii="Times New Roman" w:cs="Times New Roman" w:eastAsia="Times New Roman" w:hAnsi="Times New Roman"/>
            <w:color w:val="1155CC"/>
            <w:sz w:val="22"/>
            <w:szCs w:val="22"/>
            <w:u w:val="single"/>
          </w:rPr>
          <w:t xml:space="preserve">cafeastrology.com/chiron.html</w:t>
        </w:r>
      </w:hyperlink>
      <w:r>
        <w:rPr>
          <w:rFonts w:ascii="Times New Roman" w:cs="Times New Roman" w:eastAsia="Times New Roman" w:hAnsi="Times New Roman"/>
          <w:b w:val="false"/>
          <w:bCs w:val="false"/>
          <w:i w:val="false"/>
          <w:iCs w:val="false"/>
          <w:color w:val="1F2937"/>
          <w:sz w:val="22"/>
          <w:szCs w:val="22"/>
        </w:rPr>
        <w:t xml:space="preserve">, HTTP 200, 7 582 caractères, testé 01/10/2026) : « The glyph, or symbol, for Chiron resembles a key and is comprised of an 'O' and a 'K', representing 'Object Kowal', which was what Chiron was originally named (Charles Kowal discovered Chiron in 1977). » (Citation anglaise vérifiée sur la page ouverte.)</w:t>
      </w:r>
    </w:p>
    <w:p>
      <w:pPr>
        <w:spacing w:after="100" w:before="60"/>
      </w:pPr>
      <w:r>
        <w:rPr>
          <w:rFonts w:ascii="Times New Roman" w:cs="Times New Roman" w:eastAsia="Times New Roman" w:hAnsi="Times New Roman"/>
          <w:b w:val="false"/>
          <w:bCs w:val="false"/>
          <w:i w:val="false"/>
          <w:iCs w:val="false"/>
          <w:color w:val="1F2937"/>
          <w:sz w:val="22"/>
          <w:szCs w:val="22"/>
        </w:rPr>
        <w:t xml:space="preserve">Le glyphe porte donc directement la marque de sa découverte scientifique : la lettre initiale de Kowal et la désignation provisoire « Object Kowal ». C'est un cas rare dans le corpus astrologique où le symbole renvoie explicitement à l'histoire astronomique du corps.</w:t>
      </w:r>
    </w:p>
    <w:p>
      <w:pPr>
        <w:pStyle w:val="Heading3"/>
        <w:spacing w:after="80" w:before="200"/>
      </w:pPr>
      <w:r>
        <w:rPr>
          <w:rFonts w:ascii="Times New Roman" w:cs="Times New Roman" w:eastAsia="Times New Roman" w:hAnsi="Times New Roman"/>
          <w:b/>
          <w:bCs/>
          <w:color w:val="1F2937"/>
          <w:sz w:val="26"/>
          <w:szCs w:val="26"/>
        </w:rPr>
        <w:t xml:space="preserve">2.3 Le mythe et le « guérisseur blessé »</w:t>
      </w:r>
    </w:p>
    <w:p>
      <w:pPr>
        <w:spacing w:after="100" w:before="60"/>
      </w:pPr>
      <w:r>
        <w:rPr>
          <w:rFonts w:ascii="Times New Roman" w:cs="Times New Roman" w:eastAsia="Times New Roman" w:hAnsi="Times New Roman"/>
          <w:b w:val="false"/>
          <w:bCs w:val="false"/>
          <w:i w:val="false"/>
          <w:iCs w:val="false"/>
          <w:color w:val="1F2937"/>
          <w:sz w:val="22"/>
          <w:szCs w:val="22"/>
        </w:rPr>
        <w:t xml:space="preserve">Le choix du nom Chiron par Kowal (proposé et officialisé par le MPC, qui retient les noms mythologiques pour les astéroïdes) a immédiatement orienté la lecture symbolique. La notice du MPC rappelle le mythe : « The name is that of the wisest and most just of the Centaurs, son of Kronos and the ocean nymph Philyra. Beloved by Apollo and Diana, he learned from them botany, music, astronomy, divination and medicine and served in turn as instructor of the Greek heroes. » (MPC, page citée, texte relu le 01/10/2026.)</w:t>
      </w:r>
    </w:p>
    <w:p>
      <w:pPr>
        <w:spacing w:after="100" w:before="60"/>
      </w:pPr>
      <w:r>
        <w:rPr>
          <w:rFonts w:ascii="Times New Roman" w:cs="Times New Roman" w:eastAsia="Times New Roman" w:hAnsi="Times New Roman"/>
          <w:b w:val="false"/>
          <w:bCs w:val="false"/>
          <w:i w:val="false"/>
          <w:iCs w:val="false"/>
          <w:color w:val="1F2937"/>
          <w:sz w:val="22"/>
          <w:szCs w:val="22"/>
        </w:rPr>
        <w:t xml:space="preserve">Dans le corpus astrologique, CaféAstrology formule le concept central de la lecture chirologique en ces termes : « Chiron is a comet with a unique and erratic orbit. In the natal chart, Chiron is symbolized by the 'wounded healer.' It represents our deepest wound and our efforts to heal the wound. Chiron was named after the centaur in Greek mythology who was a healer and teacher who, ironically, could not heal himself. » (CaféAstrology, page citée — citation anglaise, texte intégral vérifié le 01/10/2026, chiron=30 occurrences, healer=4.)</w:t>
      </w:r>
    </w:p>
    <w:p>
      <w:pPr>
        <w:spacing w:after="100" w:before="60"/>
      </w:pPr>
      <w:r>
        <w:rPr>
          <w:rFonts w:ascii="Times New Roman" w:cs="Times New Roman" w:eastAsia="Times New Roman" w:hAnsi="Times New Roman"/>
          <w:b w:val="false"/>
          <w:bCs w:val="false"/>
          <w:i w:val="false"/>
          <w:iCs w:val="false"/>
          <w:color w:val="1F2937"/>
          <w:sz w:val="22"/>
          <w:szCs w:val="22"/>
        </w:rPr>
        <w:t xml:space="preserve">Ce concept de « guérisseur blessé » — fondé sur la figure mythologique du centaure médecin-astronome atteint d'une blessure incurable — est la colonne vertébrale de la lecture chirologique dans le corpus contemporain.</w:t>
      </w:r>
    </w:p>
    <w:p>
      <w:pPr>
        <w:pStyle w:val="Heading3"/>
        <w:spacing w:after="80" w:before="200"/>
      </w:pPr>
      <w:r>
        <w:rPr>
          <w:rFonts w:ascii="Times New Roman" w:cs="Times New Roman" w:eastAsia="Times New Roman" w:hAnsi="Times New Roman"/>
          <w:b/>
          <w:bCs/>
          <w:color w:val="1F2937"/>
          <w:sz w:val="26"/>
          <w:szCs w:val="26"/>
        </w:rPr>
        <w:t xml:space="preserve">2.4 La lecture natale : signe, maison, aspects</w:t>
      </w:r>
    </w:p>
    <w:p>
      <w:pPr>
        <w:spacing w:after="100" w:before="60"/>
      </w:pPr>
      <w:r>
        <w:rPr>
          <w:rFonts w:ascii="Times New Roman" w:cs="Times New Roman" w:eastAsia="Times New Roman" w:hAnsi="Times New Roman"/>
          <w:b w:val="false"/>
          <w:bCs w:val="false"/>
          <w:i w:val="false"/>
          <w:iCs w:val="false"/>
          <w:color w:val="1F2937"/>
          <w:sz w:val="22"/>
          <w:szCs w:val="22"/>
        </w:rPr>
        <w:t xml:space="preserve">Toujours d'après CaféAstrology (page citée) : « Chiron in our natal charts points to where we have healing powers as the result of our own deep spiritual wounds. We may over-compensate in these areas of life. […] As such, Chiron in our charts is a place of great knowledge, experience, talent, and wisdom. […] Its sign and house placement show us our wound and how we go about expressing it. » (Citation anglaise, texte vérifié.)</w:t>
      </w:r>
    </w:p>
    <w:p>
      <w:pPr>
        <w:spacing w:after="100" w:before="60"/>
      </w:pPr>
      <w:r>
        <w:rPr>
          <w:rFonts w:ascii="Times New Roman" w:cs="Times New Roman" w:eastAsia="Times New Roman" w:hAnsi="Times New Roman"/>
          <w:b w:val="false"/>
          <w:bCs w:val="false"/>
          <w:i w:val="false"/>
          <w:iCs w:val="false"/>
          <w:color w:val="1F2937"/>
          <w:sz w:val="22"/>
          <w:szCs w:val="22"/>
        </w:rPr>
        <w:t xml:space="preserve">Le fonctionnement de la lecture chirologique en thème natal suit donc cette logique interne au corpus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 </w:t>
      </w:r>
      <w:r>
        <w:rPr>
          <w:rFonts w:ascii="Times New Roman" w:cs="Times New Roman" w:eastAsia="Times New Roman" w:hAnsi="Times New Roman"/>
          <w:b/>
          <w:bCs/>
          <w:i w:val="false"/>
          <w:iCs w:val="false"/>
          <w:color w:val="1F2937"/>
          <w:sz w:val="22"/>
          <w:szCs w:val="22"/>
        </w:rPr>
        <w:t xml:space="preserve">signe</w:t>
      </w:r>
      <w:r>
        <w:rPr>
          <w:rFonts w:ascii="Times New Roman" w:cs="Times New Roman" w:eastAsia="Times New Roman" w:hAnsi="Times New Roman"/>
          <w:b w:val="false"/>
          <w:bCs w:val="false"/>
          <w:i w:val="false"/>
          <w:iCs w:val="false"/>
          <w:color w:val="1F2937"/>
          <w:sz w:val="22"/>
          <w:szCs w:val="22"/>
        </w:rPr>
        <w:t xml:space="preserve"> de Chiron indique le </w:t>
      </w:r>
      <w:r>
        <w:rPr>
          <w:rFonts w:ascii="Times New Roman" w:cs="Times New Roman" w:eastAsia="Times New Roman" w:hAnsi="Times New Roman"/>
          <w:b w:val="false"/>
          <w:bCs w:val="false"/>
          <w:i/>
          <w:iCs/>
          <w:color w:val="1F2937"/>
          <w:sz w:val="22"/>
          <w:szCs w:val="22"/>
        </w:rPr>
        <w:t xml:space="preserve">mode</w:t>
      </w:r>
      <w:r>
        <w:rPr>
          <w:rFonts w:ascii="Times New Roman" w:cs="Times New Roman" w:eastAsia="Times New Roman" w:hAnsi="Times New Roman"/>
          <w:b w:val="false"/>
          <w:bCs w:val="false"/>
          <w:i w:val="false"/>
          <w:iCs w:val="false"/>
          <w:color w:val="1F2937"/>
          <w:sz w:val="22"/>
          <w:szCs w:val="22"/>
        </w:rPr>
        <w:t xml:space="preserve"> de la blessure — comment elle s'exprime et par quel registre symbolique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La </w:t>
      </w:r>
      <w:r>
        <w:rPr>
          <w:rFonts w:ascii="Times New Roman" w:cs="Times New Roman" w:eastAsia="Times New Roman" w:hAnsi="Times New Roman"/>
          <w:b/>
          <w:bCs/>
          <w:i w:val="false"/>
          <w:iCs w:val="false"/>
          <w:color w:val="1F2937"/>
          <w:sz w:val="22"/>
          <w:szCs w:val="22"/>
        </w:rPr>
        <w:t xml:space="preserve">maison</w:t>
      </w:r>
      <w:r>
        <w:rPr>
          <w:rFonts w:ascii="Times New Roman" w:cs="Times New Roman" w:eastAsia="Times New Roman" w:hAnsi="Times New Roman"/>
          <w:b w:val="false"/>
          <w:bCs w:val="false"/>
          <w:i w:val="false"/>
          <w:iCs w:val="false"/>
          <w:color w:val="1F2937"/>
          <w:sz w:val="22"/>
          <w:szCs w:val="22"/>
        </w:rPr>
        <w:t xml:space="preserve"> indique le </w:t>
      </w:r>
      <w:r>
        <w:rPr>
          <w:rFonts w:ascii="Times New Roman" w:cs="Times New Roman" w:eastAsia="Times New Roman" w:hAnsi="Times New Roman"/>
          <w:b w:val="false"/>
          <w:bCs w:val="false"/>
          <w:i/>
          <w:iCs/>
          <w:color w:val="1F2937"/>
          <w:sz w:val="22"/>
          <w:szCs w:val="22"/>
        </w:rPr>
        <w:t xml:space="preserve">domaine de vie</w:t>
      </w:r>
      <w:r>
        <w:rPr>
          <w:rFonts w:ascii="Times New Roman" w:cs="Times New Roman" w:eastAsia="Times New Roman" w:hAnsi="Times New Roman"/>
          <w:b w:val="false"/>
          <w:bCs w:val="false"/>
          <w:i w:val="false"/>
          <w:iCs w:val="false"/>
          <w:color w:val="1F2937"/>
          <w:sz w:val="22"/>
          <w:szCs w:val="22"/>
        </w:rPr>
        <w:t xml:space="preserve"> concerné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Les </w:t>
      </w:r>
      <w:r>
        <w:rPr>
          <w:rFonts w:ascii="Times New Roman" w:cs="Times New Roman" w:eastAsia="Times New Roman" w:hAnsi="Times New Roman"/>
          <w:b/>
          <w:bCs/>
          <w:i w:val="false"/>
          <w:iCs w:val="false"/>
          <w:color w:val="1F2937"/>
          <w:sz w:val="22"/>
          <w:szCs w:val="22"/>
        </w:rPr>
        <w:t xml:space="preserve">aspects</w:t>
      </w:r>
      <w:r>
        <w:rPr>
          <w:rFonts w:ascii="Times New Roman" w:cs="Times New Roman" w:eastAsia="Times New Roman" w:hAnsi="Times New Roman"/>
          <w:b w:val="false"/>
          <w:bCs w:val="false"/>
          <w:i w:val="false"/>
          <w:iCs w:val="false"/>
          <w:color w:val="1F2937"/>
          <w:sz w:val="22"/>
          <w:szCs w:val="22"/>
        </w:rPr>
        <w:t xml:space="preserve"> de Chiron aux autres planètes et aux Nœuds lunaires (leçons 04–06) enrichissent la lecture en montrant quels autres principes entrent en résonance avec la blessure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Les </w:t>
      </w:r>
      <w:r>
        <w:rPr>
          <w:rFonts w:ascii="Times New Roman" w:cs="Times New Roman" w:eastAsia="Times New Roman" w:hAnsi="Times New Roman"/>
          <w:b/>
          <w:bCs/>
          <w:i w:val="false"/>
          <w:iCs w:val="false"/>
          <w:color w:val="1F2937"/>
          <w:sz w:val="22"/>
          <w:szCs w:val="22"/>
        </w:rPr>
        <w:t xml:space="preserve">transits sur Chiron natal</w:t>
      </w:r>
      <w:r>
        <w:rPr>
          <w:rFonts w:ascii="Times New Roman" w:cs="Times New Roman" w:eastAsia="Times New Roman" w:hAnsi="Times New Roman"/>
          <w:b w:val="false"/>
          <w:bCs w:val="false"/>
          <w:i w:val="false"/>
          <w:iCs w:val="false"/>
          <w:color w:val="1F2937"/>
          <w:sz w:val="22"/>
          <w:szCs w:val="22"/>
        </w:rPr>
        <w:t xml:space="preserve"> « serve as time triggers » — ils déclenchent les phases de travail sur la blessure (CaféAstrology, page citée).</w:t>
      </w:r>
    </w:p>
    <w:p>
      <w:pPr>
        <w:pStyle w:val="Heading3"/>
        <w:spacing w:after="80" w:before="200"/>
      </w:pPr>
      <w:r>
        <w:rPr>
          <w:rFonts w:ascii="Times New Roman" w:cs="Times New Roman" w:eastAsia="Times New Roman" w:hAnsi="Times New Roman"/>
          <w:b/>
          <w:bCs/>
          <w:color w:val="1F2937"/>
          <w:sz w:val="26"/>
          <w:szCs w:val="26"/>
        </w:rPr>
        <w:t xml:space="preserve">2.5 Le retour de Chiron (Chiron return)</w:t>
      </w:r>
    </w:p>
    <w:p>
      <w:pPr>
        <w:spacing w:after="100" w:before="60"/>
      </w:pPr>
      <w:r>
        <w:rPr>
          <w:rFonts w:ascii="Times New Roman" w:cs="Times New Roman" w:eastAsia="Times New Roman" w:hAnsi="Times New Roman"/>
          <w:b w:val="false"/>
          <w:bCs w:val="false"/>
          <w:i w:val="false"/>
          <w:iCs w:val="false"/>
          <w:color w:val="1F2937"/>
          <w:sz w:val="22"/>
          <w:szCs w:val="22"/>
        </w:rPr>
        <w:t xml:space="preserve">La période orbitale d'environ 50 à 51 ans (Régime A, voir section 1.2) implique que Chiron transit revient à sa position natale vers cet âge. Dans la lecture courante du corpus — sans source spécifique consultée pour cette affirmation, puisque ni CaféAstrology ni le site de Stein ne détaillent ce passage — le retour de Chiron est lu comme un tournant majeur : le moment où la blessure fondamentale peut être intégrée plutôt que subie, et où le potentiel de « guérisseur blessé » peut s'actualiser pleinement.</w:t>
      </w:r>
    </w:p>
    <w:p>
      <w:pPr>
        <w:spacing w:after="100" w:before="60"/>
      </w:pPr>
      <w:r>
        <w:rPr>
          <w:rFonts w:ascii="Times New Roman" w:cs="Times New Roman" w:eastAsia="Times New Roman" w:hAnsi="Times New Roman"/>
          <w:b w:val="false"/>
          <w:bCs w:val="false"/>
          <w:i w:val="false"/>
          <w:iCs w:val="false"/>
          <w:color w:val="1F2937"/>
          <w:sz w:val="22"/>
          <w:szCs w:val="22"/>
        </w:rPr>
        <w:t xml:space="preserve">Ce retour présente une analogie structurelle avec le « retour de Saturne » (leçon 07, période ~29,5 ans) : dans les deux cas, le corpus interprète le retour d'un corps à sa position natale comme un marqueur de maturation. La base orbitale est une donnée de Régime A ; la lecture comme tournant de maturité est une convention du corpus, non testée empiriquement.</w:t>
      </w:r>
    </w:p>
    <w:p>
      <w:pPr>
        <w:pStyle w:val="Heading3"/>
        <w:spacing w:after="80" w:before="200"/>
      </w:pPr>
      <w:r>
        <w:rPr>
          <w:rFonts w:ascii="Times New Roman" w:cs="Times New Roman" w:eastAsia="Times New Roman" w:hAnsi="Times New Roman"/>
          <w:b/>
          <w:bCs/>
          <w:color w:val="1F2937"/>
          <w:sz w:val="26"/>
          <w:szCs w:val="26"/>
        </w:rPr>
        <w:t xml:space="preserve">2.6 Les auteurs fondateurs du corpus chirologique</w:t>
      </w:r>
    </w:p>
    <w:p>
      <w:pPr>
        <w:spacing w:after="100" w:before="60"/>
      </w:pPr>
      <w:r>
        <w:rPr>
          <w:rFonts w:ascii="Times New Roman" w:cs="Times New Roman" w:eastAsia="Times New Roman" w:hAnsi="Times New Roman"/>
          <w:b w:val="false"/>
          <w:bCs w:val="false"/>
          <w:i w:val="false"/>
          <w:iCs w:val="false"/>
          <w:color w:val="1F2937"/>
          <w:sz w:val="22"/>
          <w:szCs w:val="22"/>
        </w:rPr>
        <w:t xml:space="preserve">Deux ouvrages ont structuré la lecture chirologique dans le corpus occidental. Ces livres n'ont pas été consultés pendant cette exécution : les informations ci-dessous proviennent exclusivement des notices bibliographiques vérifiées.</w:t>
      </w:r>
    </w:p>
    <w:p>
      <w:pPr>
        <w:pBdr>
          <w:left w:val="thick" w:color="D97706" w:sz="24"/>
        </w:pBdr>
        <w:shd w:fill="FFF4E5" w:val="clear"/>
        <w:spacing w:after="60" w:before="80"/>
      </w:pPr>
      <w:r>
        <w:rPr>
          <w:rFonts w:ascii="Times New Roman" w:cs="Times New Roman" w:eastAsia="Times New Roman" w:hAnsi="Times New Roman"/>
          <w:b/>
          <w:bCs/>
          <w:i w:val="false"/>
          <w:iCs w:val="false"/>
          <w:color w:val="1F2937"/>
          <w:sz w:val="22"/>
          <w:szCs w:val="22"/>
        </w:rPr>
        <w:t xml:space="preserve">⚠️ Ouvrages non consultés pendant cette exécution. Aucune citation directe. Aucune attribution de thèse précise. Les titres, auteurs, éditeurs et ISBN sont tirés de notices bibliographiques vérifiées, citées ci-dessous.</w:t>
      </w:r>
    </w:p>
    <w:p>
      <w:pPr>
        <w:spacing w:after="100" w:before="60"/>
      </w:pPr>
      <w:r>
        <w:rPr>
          <w:rFonts w:ascii="Times New Roman" w:cs="Times New Roman" w:eastAsia="Times New Roman" w:hAnsi="Times New Roman"/>
          <w:b w:val="false"/>
          <w:bCs w:val="false"/>
          <w:i w:val="false"/>
          <w:iCs w:val="false"/>
          <w:color w:val="1F2937"/>
          <w:sz w:val="22"/>
          <w:szCs w:val="22"/>
        </w:rPr>
        <w:t xml:space="preserve">1. </w:t>
      </w:r>
      <w:r>
        <w:rPr>
          <w:rFonts w:ascii="Times New Roman" w:cs="Times New Roman" w:eastAsia="Times New Roman" w:hAnsi="Times New Roman"/>
          <w:b/>
          <w:bCs/>
          <w:i w:val="false"/>
          <w:iCs w:val="false"/>
          <w:color w:val="1F2937"/>
          <w:sz w:val="22"/>
          <w:szCs w:val="22"/>
        </w:rPr>
        <w:t xml:space="preserve">Barbara Hand Clow</w:t>
      </w: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val="false"/>
          <w:bCs w:val="false"/>
          <w:i/>
          <w:iCs/>
          <w:color w:val="1F2937"/>
          <w:sz w:val="22"/>
          <w:szCs w:val="22"/>
        </w:rPr>
        <w:t xml:space="preserve">Chiron: Rainbow Bridge Between the Inner and Outer Planets</w:t>
      </w:r>
      <w:r>
        <w:rPr>
          <w:rFonts w:ascii="Times New Roman" w:cs="Times New Roman" w:eastAsia="Times New Roman" w:hAnsi="Times New Roman"/>
          <w:b w:val="false"/>
          <w:bCs w:val="false"/>
          <w:i w:val="false"/>
          <w:iCs w:val="false"/>
          <w:color w:val="1F2937"/>
          <w:sz w:val="22"/>
          <w:szCs w:val="22"/>
        </w:rPr>
        <w:t xml:space="preserve">, Llewellyn Publications, 1987 (rééditions ultérieures). ISBN-13 : 9780875420943. Notice : </w:t>
      </w:r>
      <w:hyperlink w:history="1" r:id="rIdos_nq4yfw3s2ecucvkfqz">
        <w:r>
          <w:rPr>
            <w:rFonts w:ascii="Times New Roman" w:cs="Times New Roman" w:eastAsia="Times New Roman" w:hAnsi="Times New Roman"/>
            <w:color w:val="1155CC"/>
            <w:sz w:val="22"/>
            <w:szCs w:val="22"/>
            <w:u w:val="single"/>
          </w:rPr>
          <w:t xml:space="preserve">abebooks.com — notice Clow</w:t>
        </w:r>
      </w:hyperlink>
      <w:r>
        <w:rPr>
          <w:rFonts w:ascii="Times New Roman" w:cs="Times New Roman" w:eastAsia="Times New Roman" w:hAnsi="Times New Roman"/>
          <w:b w:val="false"/>
          <w:bCs w:val="false"/>
          <w:i w:val="false"/>
          <w:iCs w:val="false"/>
          <w:color w:val="1F2937"/>
          <w:sz w:val="22"/>
          <w:szCs w:val="22"/>
        </w:rPr>
        <w:t xml:space="preserve"> (HTTP 200, 14 959 caractères, testé 01/10/2026, Chiron=71, Clow=20, Llewellyn=18). Cet ouvrage est l'un des premiers à traiter Chiron en profondeur, dès 1987 — titre seul confirmé par la notice.</w:t>
      </w:r>
    </w:p>
    <w:p>
      <w:pPr>
        <w:spacing w:after="100" w:before="60"/>
      </w:pPr>
      <w:r>
        <w:rPr>
          <w:rFonts w:ascii="Times New Roman" w:cs="Times New Roman" w:eastAsia="Times New Roman" w:hAnsi="Times New Roman"/>
          <w:b w:val="false"/>
          <w:bCs w:val="false"/>
          <w:i w:val="false"/>
          <w:iCs w:val="false"/>
          <w:color w:val="1F2937"/>
          <w:sz w:val="22"/>
          <w:szCs w:val="22"/>
        </w:rPr>
        <w:t xml:space="preserve">2. </w:t>
      </w:r>
      <w:r>
        <w:rPr>
          <w:rFonts w:ascii="Times New Roman" w:cs="Times New Roman" w:eastAsia="Times New Roman" w:hAnsi="Times New Roman"/>
          <w:b/>
          <w:bCs/>
          <w:i w:val="false"/>
          <w:iCs w:val="false"/>
          <w:color w:val="1F2937"/>
          <w:sz w:val="22"/>
          <w:szCs w:val="22"/>
        </w:rPr>
        <w:t xml:space="preserve">Melanie Reinhart</w:t>
      </w: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val="false"/>
          <w:bCs w:val="false"/>
          <w:i/>
          <w:iCs/>
          <w:color w:val="1F2937"/>
          <w:sz w:val="22"/>
          <w:szCs w:val="22"/>
        </w:rPr>
        <w:t xml:space="preserve">Chiron and the Healing Journey</w:t>
      </w:r>
      <w:r>
        <w:rPr>
          <w:rFonts w:ascii="Times New Roman" w:cs="Times New Roman" w:eastAsia="Times New Roman" w:hAnsi="Times New Roman"/>
          <w:b w:val="false"/>
          <w:bCs w:val="false"/>
          <w:i w:val="false"/>
          <w:iCs w:val="false"/>
          <w:color w:val="1F2937"/>
          <w:sz w:val="22"/>
          <w:szCs w:val="22"/>
        </w:rPr>
        <w:t xml:space="preserve">, Arkana, 1989 ; éd. révisée Starwalker Press, 2010. ISBN-13 : 9780955823114. Notice : </w:t>
      </w:r>
      <w:hyperlink w:history="1" r:id="rIdjvas5a0mee0plmprux9qg">
        <w:r>
          <w:rPr>
            <w:rFonts w:ascii="Times New Roman" w:cs="Times New Roman" w:eastAsia="Times New Roman" w:hAnsi="Times New Roman"/>
            <w:color w:val="1155CC"/>
            <w:sz w:val="22"/>
            <w:szCs w:val="22"/>
            <w:u w:val="single"/>
          </w:rPr>
          <w:t xml:space="preserve">abebooks.co.uk — notice Reinhart</w:t>
        </w:r>
      </w:hyperlink>
      <w:r>
        <w:rPr>
          <w:rFonts w:ascii="Times New Roman" w:cs="Times New Roman" w:eastAsia="Times New Roman" w:hAnsi="Times New Roman"/>
          <w:b w:val="false"/>
          <w:bCs w:val="false"/>
          <w:i w:val="false"/>
          <w:iCs w:val="false"/>
          <w:color w:val="1F2937"/>
          <w:sz w:val="22"/>
          <w:szCs w:val="22"/>
        </w:rPr>
        <w:t xml:space="preserve"> (HTTP 200, 12 820 caractères, testé 01/10/2026, Reinhart=14, Chiron=35, Starwalker=13). La notice de la 3e édition (2010) qualifie l'ouvrage de « contemporary classic » et décrit un travail de fond sur Chiron comme planète mineure.</w:t>
      </w:r>
    </w:p>
    <w:p>
      <w:pPr>
        <w:spacing w:after="100" w:before="60"/>
      </w:pPr>
      <w:r>
        <w:rPr>
          <w:rFonts w:ascii="Times New Roman" w:cs="Times New Roman" w:eastAsia="Times New Roman" w:hAnsi="Times New Roman"/>
          <w:b w:val="false"/>
          <w:bCs w:val="false"/>
          <w:i w:val="false"/>
          <w:iCs w:val="false"/>
          <w:color w:val="1F2937"/>
          <w:sz w:val="22"/>
          <w:szCs w:val="22"/>
        </w:rPr>
        <w:t xml:space="preserve">3. </w:t>
      </w:r>
      <w:r>
        <w:rPr>
          <w:rFonts w:ascii="Times New Roman" w:cs="Times New Roman" w:eastAsia="Times New Roman" w:hAnsi="Times New Roman"/>
          <w:b/>
          <w:bCs/>
          <w:i w:val="false"/>
          <w:iCs w:val="false"/>
          <w:color w:val="1F2937"/>
          <w:sz w:val="22"/>
          <w:szCs w:val="22"/>
        </w:rPr>
        <w:t xml:space="preserve">Zane B. Stein</w:t>
      </w:r>
      <w:r>
        <w:rPr>
          <w:rFonts w:ascii="Times New Roman" w:cs="Times New Roman" w:eastAsia="Times New Roman" w:hAnsi="Times New Roman"/>
          <w:b w:val="false"/>
          <w:bCs w:val="false"/>
          <w:i w:val="false"/>
          <w:iCs w:val="false"/>
          <w:color w:val="1F2937"/>
          <w:sz w:val="22"/>
          <w:szCs w:val="22"/>
        </w:rPr>
        <w:t xml:space="preserve"> — pionnier depuis 1977, auteur de </w:t>
      </w:r>
      <w:r>
        <w:rPr>
          <w:rFonts w:ascii="Times New Roman" w:cs="Times New Roman" w:eastAsia="Times New Roman" w:hAnsi="Times New Roman"/>
          <w:b w:val="false"/>
          <w:bCs w:val="false"/>
          <w:i/>
          <w:iCs/>
          <w:color w:val="1F2937"/>
          <w:sz w:val="22"/>
          <w:szCs w:val="22"/>
        </w:rPr>
        <w:t xml:space="preserve">Chiron: Healer and Wholemaker</w:t>
      </w:r>
      <w:r>
        <w:rPr>
          <w:rFonts w:ascii="Times New Roman" w:cs="Times New Roman" w:eastAsia="Times New Roman" w:hAnsi="Times New Roman"/>
          <w:b w:val="false"/>
          <w:bCs w:val="false"/>
          <w:i w:val="false"/>
          <w:iCs w:val="false"/>
          <w:color w:val="1F2937"/>
          <w:sz w:val="22"/>
          <w:szCs w:val="22"/>
        </w:rPr>
        <w:t xml:space="preserve">. La définition que Stein propose sur son site : « Chiron is a major key to understanding, not only our solar system (in astronomy), but healing and wholemaking (in astrology) » (Zane Stein, </w:t>
      </w:r>
      <w:hyperlink w:history="1" r:id="rId9llelex0fgm7l_pmbjjat">
        <w:r>
          <w:rPr>
            <w:rFonts w:ascii="Times New Roman" w:cs="Times New Roman" w:eastAsia="Times New Roman" w:hAnsi="Times New Roman"/>
            <w:color w:val="1155CC"/>
            <w:sz w:val="22"/>
            <w:szCs w:val="22"/>
            <w:u w:val="single"/>
          </w:rPr>
          <w:t xml:space="preserve">zanestein.com/chiron.htm</w:t>
        </w:r>
      </w:hyperlink>
      <w:r>
        <w:rPr>
          <w:rFonts w:ascii="Times New Roman" w:cs="Times New Roman" w:eastAsia="Times New Roman" w:hAnsi="Times New Roman"/>
          <w:b w:val="false"/>
          <w:bCs w:val="false"/>
          <w:i w:val="false"/>
          <w:iCs w:val="false"/>
          <w:color w:val="1F2937"/>
          <w:sz w:val="22"/>
          <w:szCs w:val="22"/>
        </w:rPr>
        <w:t xml:space="preserve">, citation anglaise vérifiée le 01/10/2026).</w:t>
      </w:r>
    </w:p>
    <w:p>
      <w:pPr>
        <w:pStyle w:val="Heading2"/>
        <w:spacing w:after="100" w:before="280"/>
      </w:pPr>
      <w:r>
        <w:rPr>
          <w:rFonts w:ascii="Times New Roman" w:cs="Times New Roman" w:eastAsia="Times New Roman" w:hAnsi="Times New Roman"/>
          <w:b/>
          <w:bCs/>
          <w:color w:val="1B3A6B"/>
          <w:sz w:val="30"/>
          <w:szCs w:val="30"/>
        </w:rPr>
        <w:t xml:space="preserve">🔭 Ce qui est observable, ce qui est interprétation</w:t>
      </w:r>
    </w:p>
    <w:p>
      <w:pPr>
        <w:pBdr>
          <w:left w:val="thick" w:color="1B3A6B" w:sz="24"/>
        </w:pBdr>
        <w:shd w:fill="EEF2F7" w:val="clear"/>
        <w:spacing w:after="80" w:before="60"/>
      </w:pPr>
      <w:r>
        <w:rPr>
          <w:rFonts w:ascii="Times New Roman" w:cs="Times New Roman" w:eastAsia="Times New Roman" w:hAnsi="Times New Roman"/>
          <w:b w:val="false"/>
          <w:bCs w:val="false"/>
          <w:i/>
          <w:iCs/>
          <w:color w:val="1F2937"/>
          <w:sz w:val="22"/>
          <w:szCs w:val="22"/>
        </w:rPr>
        <w:t xml:space="preserve">Section brève et sans jugement. Trois registres distincts, pour naviguer entre les données et leur usage dans le corpus.</w:t>
      </w:r>
    </w:p>
    <w:tbl>
      <w:tblPr>
        <w:tblW w:type="pct" w:w="100%"/>
        <w:tblBorders>
          <w:top w:val="single" w:color="1B3A6B" w:sz="4"/>
          <w:left w:val="single" w:color="1B3A6B" w:sz="4"/>
          <w:bottom w:val="single" w:color="1B3A6B" w:sz="4"/>
          <w:right w:val="single" w:color="1B3A6B" w:sz="4"/>
          <w:insideH w:val="single" w:color="auto" w:sz="4"/>
          <w:insideV w:val="single" w:color="auto" w:sz="4"/>
        </w:tblBorders>
      </w:tblPr>
      <w:tblGrid>
        <w:gridCol w:w="100"/>
        <w:gridCol w:w="100"/>
        <w:gridCol w:w="100"/>
      </w:tblGrid>
      <w:tr>
        <w:tc>
          <w:tcPr>
            <w:tcW w:type="pct" w:w="3333%"/>
            <w:shd w:fill="1B3A6B" w:val="clear"/>
            <w:vAlign w:val="center"/>
          </w:tcPr>
          <w:p>
            <w:pPr>
              <w:jc w:val="center"/>
            </w:pPr>
            <w:r>
              <w:rPr>
                <w:rFonts w:ascii="Times New Roman" w:cs="Times New Roman" w:eastAsia="Times New Roman" w:hAnsi="Times New Roman"/>
                <w:b/>
                <w:bCs/>
                <w:color w:val="FFFFFF"/>
                <w:sz w:val="20"/>
                <w:szCs w:val="20"/>
              </w:rPr>
              <w:t xml:space="preserve">Fait astronomique (source)</w:t>
            </w:r>
          </w:p>
        </w:tc>
        <w:tc>
          <w:tcPr>
            <w:tcW w:type="pct" w:w="3333%"/>
            <w:shd w:fill="1B3A6B" w:val="clear"/>
            <w:vAlign w:val="center"/>
          </w:tcPr>
          <w:p>
            <w:pPr>
              <w:jc w:val="center"/>
            </w:pPr>
            <w:r>
              <w:rPr>
                <w:rFonts w:ascii="Times New Roman" w:cs="Times New Roman" w:eastAsia="Times New Roman" w:hAnsi="Times New Roman"/>
                <w:b/>
                <w:bCs/>
                <w:color w:val="FFFFFF"/>
                <w:sz w:val="20"/>
                <w:szCs w:val="20"/>
              </w:rPr>
              <w:t xml:space="preserve">Ce que le corpus en fait (auteur)</w:t>
            </w:r>
          </w:p>
        </w:tc>
        <w:tc>
          <w:tcPr>
            <w:tcW w:type="pct" w:w="3333%"/>
            <w:shd w:fill="1B3A6B" w:val="clear"/>
            <w:vAlign w:val="center"/>
          </w:tcPr>
          <w:p>
            <w:pPr>
              <w:jc w:val="center"/>
            </w:pPr>
            <w:r>
              <w:rPr>
                <w:rFonts w:ascii="Times New Roman" w:cs="Times New Roman" w:eastAsia="Times New Roman" w:hAnsi="Times New Roman"/>
                <w:b/>
                <w:bCs/>
                <w:color w:val="FFFFFF"/>
                <w:sz w:val="20"/>
                <w:szCs w:val="20"/>
              </w:rPr>
              <w:t xml:space="preserve">Statut</w:t>
            </w:r>
          </w:p>
        </w:tc>
      </w:tr>
      <w:tr>
        <w:tc>
          <w:tcPr>
            <w:tcW w:type="pct" w:w="3333%"/>
            <w:shd w:fill="FFFFFF"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Chiron a été découvert le 18 octobre 1977 par C. T. Kowal à l'Observatoire Palomar. Il porte les désignations 2060 Chiron et 95P/Chiron (double statut astéroïde/comète). Source : </w:t>
            </w:r>
            <w:hyperlink w:history="1" r:id="rIdjhu57nllvt4we4hx_vuy3">
              <w:r>
                <w:rPr>
                  <w:rFonts w:ascii="Times New Roman" w:cs="Times New Roman" w:eastAsia="Times New Roman" w:hAnsi="Times New Roman"/>
                  <w:color w:val="1155CC"/>
                  <w:sz w:val="22"/>
                  <w:szCs w:val="22"/>
                  <w:u w:val="single"/>
                </w:rPr>
                <w:t xml:space="preserve">MPC/UAI — 2060 Chiron</w:t>
              </w:r>
            </w:hyperlink>
            <w:r>
              <w:rPr>
                <w:rFonts w:ascii="Times New Roman" w:cs="Times New Roman" w:eastAsia="Times New Roman" w:hAnsi="Times New Roman"/>
                <w:b w:val="false"/>
                <w:bCs w:val="false"/>
                <w:i w:val="false"/>
                <w:iCs w:val="false"/>
                <w:color w:val="1F2937"/>
                <w:sz w:val="22"/>
                <w:szCs w:val="22"/>
              </w:rPr>
              <w:t xml:space="preserve">, testé 01/10/2026.</w:t>
            </w:r>
          </w:p>
        </w:tc>
        <w:tc>
          <w:tcPr>
            <w:tcW w:type="pct" w:w="3333%"/>
            <w:shd w:fill="FFFFFF"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D'après CaféAstrology (page citée) : le glyphe de Chiron est une clé formée des lettres « O » et « K » représentant « Object Kowal ». Le nom choisi par Kowal — Chiron, le plus sage des Centaures — a orienté immédiatement la lecture symbolique.</w:t>
            </w:r>
          </w:p>
        </w:tc>
        <w:tc>
          <w:tcPr>
            <w:tcW w:type="pct" w:w="3333%"/>
            <w:shd w:fill="FFFFFF"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Fait de découverte : établi (MPC/UAI). Lien entre le nom mythologique et la lecture symbolique : convention interne au corpus, fondée sur le choix du nom par l'astronome lui-même — pas de lien causal.</w:t>
            </w:r>
          </w:p>
        </w:tc>
      </w:tr>
      <w:tr>
        <w:tc>
          <w:tcPr>
            <w:tcW w:type="pct" w:w="3333%"/>
            <w:shd w:fill="EEF2F7"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La période orbitale de Chiron est d'environ 50,4 à 50,6 ans selon les éléments utilisés (NASA/JPL Horizons : 50,41 ans ; MPC/UAI : 50,62 ans — sources Régime A, testées le 01/10/2026). Chiron revient donc à sa position natale vers l'âge de 50 à 51 ans.</w:t>
            </w:r>
          </w:p>
        </w:tc>
        <w:tc>
          <w:tcPr>
            <w:tcW w:type="pct" w:w="3333%"/>
            <w:shd w:fill="EEF2F7"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D'après la lecture courante du corpus (sans source consultée pour ce point précis) : le retour de Chiron est lu comme un tournant de guérison et d'intégration de la « blessure fondamentale » — moment où le potentiel du guérisseur blessé peut s'actualiser.</w:t>
            </w:r>
          </w:p>
        </w:tc>
        <w:tc>
          <w:tcPr>
            <w:tcW w:type="pct" w:w="3333%"/>
            <w:shd w:fill="EEF2F7"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Retour orbital : fait calculable (Régime A). Lecture comme tournant de maturité : convention du corpus, non testée empiriquement — même structure logique que le « retour de Saturne » (leçon 07).</w:t>
            </w:r>
          </w:p>
        </w:tc>
      </w:tr>
      <w:tr>
        <w:tc>
          <w:tcPr>
            <w:tcW w:type="pct" w:w="3333%"/>
            <w:shd w:fill="FFFFFF"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Chiron est classifié centaure par le MPC/UAI — corps orbitant dans la zone entre Jupiter et Neptune, dont l'orbite est dynamiquement instable sur des échelles de millions d'années. Il a développé une coma (comportement cométaire) à l'approche du périhélie, d'où la désignation 95P. Source : </w:t>
            </w:r>
            <w:hyperlink w:history="1" r:id="rIdu9atemxsdi9engvdw3q63">
              <w:r>
                <w:rPr>
                  <w:rFonts w:ascii="Times New Roman" w:cs="Times New Roman" w:eastAsia="Times New Roman" w:hAnsi="Times New Roman"/>
                  <w:color w:val="1155CC"/>
                  <w:sz w:val="22"/>
                  <w:szCs w:val="22"/>
                  <w:u w:val="single"/>
                </w:rPr>
                <w:t xml:space="preserve">MPC/UAI — Liste des centaures</w:t>
              </w:r>
            </w:hyperlink>
            <w:r>
              <w:rPr>
                <w:rFonts w:ascii="Times New Roman" w:cs="Times New Roman" w:eastAsia="Times New Roman" w:hAnsi="Times New Roman"/>
                <w:b w:val="false"/>
                <w:bCs w:val="false"/>
                <w:i w:val="false"/>
                <w:iCs w:val="false"/>
                <w:color w:val="1F2937"/>
                <w:sz w:val="22"/>
                <w:szCs w:val="22"/>
              </w:rPr>
              <w:t xml:space="preserve">, testé 01/10/2026.</w:t>
            </w:r>
          </w:p>
        </w:tc>
        <w:tc>
          <w:tcPr>
            <w:tcW w:type="pct" w:w="3333%"/>
            <w:shd w:fill="FFFFFF"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D'après Zane Stein (page citée) : « Chiron is a major key to understanding, not only our solar system (in astronomy), but healing and wholemaking (in astrology). » Le corpus s'appuie sur la double nature (rocher et gaz, astéroïde et comète) pour enrichir la lecture symbolique.</w:t>
            </w:r>
          </w:p>
        </w:tc>
        <w:tc>
          <w:tcPr>
            <w:tcW w:type="pct" w:w="3333%"/>
            <w:shd w:fill="FFFFFF" w:val="clear"/>
            <w:vAlign w:val="top"/>
          </w:tcPr>
          <w:p>
            <w:pPr>
              <w:spacing w:after="60" w:before="60"/>
            </w:pPr>
            <w:r>
              <w:rPr>
                <w:rFonts w:ascii="Times New Roman" w:cs="Times New Roman" w:eastAsia="Times New Roman" w:hAnsi="Times New Roman"/>
                <w:b w:val="false"/>
                <w:bCs w:val="false"/>
                <w:i w:val="false"/>
                <w:iCs w:val="false"/>
                <w:color w:val="1F2937"/>
                <w:sz w:val="22"/>
                <w:szCs w:val="22"/>
              </w:rPr>
              <w:t xml:space="preserve">Classification centaure : établi (MPC/UAI). Double nature rocher-comète : établi (MPC/UAI). Lecture symbolique de cette double nature : convention interne au corpus, non testée.</w:t>
            </w:r>
          </w:p>
        </w:tc>
      </w:tr>
    </w:tbl>
    <w:p>
      <w:pPr>
        <w:pStyle w:val="Heading2"/>
        <w:spacing w:after="100" w:before="280"/>
      </w:pPr>
      <w:r>
        <w:rPr>
          <w:rFonts w:ascii="Times New Roman" w:cs="Times New Roman" w:eastAsia="Times New Roman" w:hAnsi="Times New Roman"/>
          <w:b/>
          <w:bCs/>
          <w:color w:val="1B3A6B"/>
          <w:sz w:val="30"/>
          <w:szCs w:val="30"/>
        </w:rPr>
        <w:t xml:space="preserve">🔍 Pratique de lecture</w:t>
      </w:r>
    </w:p>
    <w:p>
      <w:pPr>
        <w:spacing w:after="100" w:before="60"/>
      </w:pPr>
      <w:r>
        <w:rPr>
          <w:rFonts w:ascii="Times New Roman" w:cs="Times New Roman" w:eastAsia="Times New Roman" w:hAnsi="Times New Roman"/>
          <w:b w:val="false"/>
          <w:bCs w:val="false"/>
          <w:i w:val="false"/>
          <w:iCs w:val="false"/>
          <w:color w:val="1F2937"/>
          <w:sz w:val="22"/>
          <w:szCs w:val="22"/>
        </w:rPr>
        <w:t xml:space="preserve">Exercice : identifier et lire Chiron dans un thème natal.</w:t>
      </w:r>
      <w:r>
        <w:rPr>
          <w:rFonts w:ascii="Times New Roman" w:cs="Times New Roman" w:eastAsia="Times New Roman" w:hAnsi="Times New Roman"/>
          <w:b/>
          <w:bCs/>
          <w:i w:val="false"/>
          <w:iCs w:val="false"/>
          <w:color w:val="1F2937"/>
          <w:sz w:val="22"/>
          <w:szCs w:val="22"/>
        </w:rPr>
        <w:t xml:space="preserve"> Mode opératoire complet.</w:t>
      </w:r>
    </w:p>
    <w:p>
      <w:pPr>
        <w:spacing w:after="100" w:before="60"/>
      </w:pPr>
      <w:r>
        <w:rPr>
          <w:rFonts w:ascii="Times New Roman" w:cs="Times New Roman" w:eastAsia="Times New Roman" w:hAnsi="Times New Roman"/>
          <w:b w:val="false"/>
          <w:bCs w:val="false"/>
          <w:i w:val="false"/>
          <w:iCs w:val="false"/>
          <w:color w:val="1F2937"/>
          <w:sz w:val="22"/>
          <w:szCs w:val="22"/>
        </w:rPr>
        <w:t xml:space="preserve">1. </w:t>
      </w:r>
      <w:r>
        <w:rPr>
          <w:rFonts w:ascii="Times New Roman" w:cs="Times New Roman" w:eastAsia="Times New Roman" w:hAnsi="Times New Roman"/>
          <w:b/>
          <w:bCs/>
          <w:i w:val="false"/>
          <w:iCs w:val="false"/>
          <w:color w:val="1F2937"/>
          <w:sz w:val="22"/>
          <w:szCs w:val="22"/>
        </w:rPr>
        <w:t xml:space="preserve">Accéder au thème natal</w:t>
      </w:r>
      <w:r>
        <w:rPr>
          <w:rFonts w:ascii="Times New Roman" w:cs="Times New Roman" w:eastAsia="Times New Roman" w:hAnsi="Times New Roman"/>
          <w:b w:val="false"/>
          <w:bCs w:val="false"/>
          <w:i w:val="false"/>
          <w:iCs w:val="false"/>
          <w:color w:val="1F2937"/>
          <w:sz w:val="22"/>
          <w:szCs w:val="22"/>
        </w:rPr>
        <w:t xml:space="preserve"> — Ouvrir </w:t>
      </w:r>
      <w:hyperlink w:history="1" r:id="rIdxmpzqzlqgutrkbkddkqqt">
        <w:r>
          <w:rPr>
            <w:rFonts w:ascii="Times New Roman" w:cs="Times New Roman" w:eastAsia="Times New Roman" w:hAnsi="Times New Roman"/>
            <w:color w:val="1155CC"/>
            <w:sz w:val="22"/>
            <w:szCs w:val="22"/>
            <w:u w:val="single"/>
          </w:rPr>
          <w:t xml:space="preserve">Astro.com — Extended Chart Selection</w:t>
        </w:r>
      </w:hyperlink>
      <w:r>
        <w:rPr>
          <w:rFonts w:ascii="Times New Roman" w:cs="Times New Roman" w:eastAsia="Times New Roman" w:hAnsi="Times New Roman"/>
          <w:b w:val="false"/>
          <w:bCs w:val="false"/>
          <w:i w:val="false"/>
          <w:iCs w:val="false"/>
          <w:color w:val="1F2937"/>
          <w:sz w:val="22"/>
          <w:szCs w:val="22"/>
        </w:rPr>
        <w:t xml:space="preserve"> (HTTP 200, vérifié le 01/10/2026). Saisir les données de naissance. Dans « Chart type » choisir « Extended Chart Selection ». Dans la liste des astéroïdes supplémentaires, cocher « Chiron » (ou entrer le numéro 2060).</w:t>
      </w:r>
    </w:p>
    <w:p>
      <w:pPr>
        <w:spacing w:after="100" w:before="60"/>
      </w:pPr>
      <w:r>
        <w:rPr>
          <w:rFonts w:ascii="Times New Roman" w:cs="Times New Roman" w:eastAsia="Times New Roman" w:hAnsi="Times New Roman"/>
          <w:b w:val="false"/>
          <w:bCs w:val="false"/>
          <w:i w:val="false"/>
          <w:iCs w:val="false"/>
          <w:color w:val="1F2937"/>
          <w:sz w:val="22"/>
          <w:szCs w:val="22"/>
        </w:rPr>
        <w:t xml:space="preserve">2. </w:t>
      </w:r>
      <w:r>
        <w:rPr>
          <w:rFonts w:ascii="Times New Roman" w:cs="Times New Roman" w:eastAsia="Times New Roman" w:hAnsi="Times New Roman"/>
          <w:b/>
          <w:bCs/>
          <w:i w:val="false"/>
          <w:iCs w:val="false"/>
          <w:color w:val="1F2937"/>
          <w:sz w:val="22"/>
          <w:szCs w:val="22"/>
        </w:rPr>
        <w:t xml:space="preserve">Repérer Chiron</w:t>
      </w:r>
      <w:r>
        <w:rPr>
          <w:rFonts w:ascii="Times New Roman" w:cs="Times New Roman" w:eastAsia="Times New Roman" w:hAnsi="Times New Roman"/>
          <w:b w:val="false"/>
          <w:bCs w:val="false"/>
          <w:i w:val="false"/>
          <w:iCs w:val="false"/>
          <w:color w:val="1F2937"/>
          <w:sz w:val="22"/>
          <w:szCs w:val="22"/>
        </w:rPr>
        <w:t xml:space="preserve"> — Chiron apparaît avec son glyphe (la clé). Noter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Son </w:t>
      </w:r>
      <w:r>
        <w:rPr>
          <w:rFonts w:ascii="Times New Roman" w:cs="Times New Roman" w:eastAsia="Times New Roman" w:hAnsi="Times New Roman"/>
          <w:b/>
          <w:bCs/>
          <w:i w:val="false"/>
          <w:iCs w:val="false"/>
          <w:color w:val="1F2937"/>
          <w:sz w:val="22"/>
          <w:szCs w:val="22"/>
        </w:rPr>
        <w:t xml:space="preserve">signe</w:t>
      </w:r>
      <w:r>
        <w:rPr>
          <w:rFonts w:ascii="Times New Roman" w:cs="Times New Roman" w:eastAsia="Times New Roman" w:hAnsi="Times New Roman"/>
          <w:b w:val="false"/>
          <w:bCs w:val="false"/>
          <w:i w:val="false"/>
          <w:iCs w:val="false"/>
          <w:color w:val="1F2937"/>
          <w:sz w:val="22"/>
          <w:szCs w:val="22"/>
        </w:rPr>
        <w:t xml:space="preserve"> — le mode symbolique de la blessure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Sa </w:t>
      </w:r>
      <w:r>
        <w:rPr>
          <w:rFonts w:ascii="Times New Roman" w:cs="Times New Roman" w:eastAsia="Times New Roman" w:hAnsi="Times New Roman"/>
          <w:b/>
          <w:bCs/>
          <w:i w:val="false"/>
          <w:iCs w:val="false"/>
          <w:color w:val="1F2937"/>
          <w:sz w:val="22"/>
          <w:szCs w:val="22"/>
        </w:rPr>
        <w:t xml:space="preserve">maison</w:t>
      </w:r>
      <w:r>
        <w:rPr>
          <w:rFonts w:ascii="Times New Roman" w:cs="Times New Roman" w:eastAsia="Times New Roman" w:hAnsi="Times New Roman"/>
          <w:b w:val="false"/>
          <w:bCs w:val="false"/>
          <w:i w:val="false"/>
          <w:iCs w:val="false"/>
          <w:color w:val="1F2937"/>
          <w:sz w:val="22"/>
          <w:szCs w:val="22"/>
        </w:rPr>
        <w:t xml:space="preserve"> — le domaine de vie concerné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Ses </w:t>
      </w:r>
      <w:r>
        <w:rPr>
          <w:rFonts w:ascii="Times New Roman" w:cs="Times New Roman" w:eastAsia="Times New Roman" w:hAnsi="Times New Roman"/>
          <w:b/>
          <w:bCs/>
          <w:i w:val="false"/>
          <w:iCs w:val="false"/>
          <w:color w:val="1F2937"/>
          <w:sz w:val="22"/>
          <w:szCs w:val="22"/>
        </w:rPr>
        <w:t xml:space="preserve">aspects principaux</w:t>
      </w:r>
      <w:r>
        <w:rPr>
          <w:rFonts w:ascii="Times New Roman" w:cs="Times New Roman" w:eastAsia="Times New Roman" w:hAnsi="Times New Roman"/>
          <w:b w:val="false"/>
          <w:bCs w:val="false"/>
          <w:i w:val="false"/>
          <w:iCs w:val="false"/>
          <w:color w:val="1F2937"/>
          <w:sz w:val="22"/>
          <w:szCs w:val="22"/>
        </w:rPr>
        <w:t xml:space="preserve"> — conjonctions, oppositions, carrés (orbe recommandé : 5° pour les aspects majeurs).</w:t>
      </w:r>
    </w:p>
    <w:p>
      <w:pPr>
        <w:spacing w:after="100" w:before="60"/>
      </w:pPr>
      <w:r>
        <w:rPr>
          <w:rFonts w:ascii="Times New Roman" w:cs="Times New Roman" w:eastAsia="Times New Roman" w:hAnsi="Times New Roman"/>
          <w:b w:val="false"/>
          <w:bCs w:val="false"/>
          <w:i w:val="false"/>
          <w:iCs w:val="false"/>
          <w:color w:val="1F2937"/>
          <w:sz w:val="22"/>
          <w:szCs w:val="22"/>
        </w:rPr>
        <w:t xml:space="preserve">3. </w:t>
      </w:r>
      <w:r>
        <w:rPr>
          <w:rFonts w:ascii="Times New Roman" w:cs="Times New Roman" w:eastAsia="Times New Roman" w:hAnsi="Times New Roman"/>
          <w:b/>
          <w:bCs/>
          <w:i w:val="false"/>
          <w:iCs w:val="false"/>
          <w:color w:val="1F2937"/>
          <w:sz w:val="22"/>
          <w:szCs w:val="22"/>
        </w:rPr>
        <w:t xml:space="preserve">Lire le résultat</w:t>
      </w:r>
      <w:r>
        <w:rPr>
          <w:rFonts w:ascii="Times New Roman" w:cs="Times New Roman" w:eastAsia="Times New Roman" w:hAnsi="Times New Roman"/>
          <w:b w:val="false"/>
          <w:bCs w:val="false"/>
          <w:i w:val="false"/>
          <w:iCs w:val="false"/>
          <w:color w:val="1F2937"/>
          <w:sz w:val="22"/>
          <w:szCs w:val="22"/>
        </w:rPr>
        <w:t xml:space="preserve"> — Avec les éléments de cette leçon et en gardant la distinction des régimes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 signe et la maison sont des </w:t>
      </w:r>
      <w:r>
        <w:rPr>
          <w:rFonts w:ascii="Times New Roman" w:cs="Times New Roman" w:eastAsia="Times New Roman" w:hAnsi="Times New Roman"/>
          <w:b/>
          <w:bCs/>
          <w:i w:val="false"/>
          <w:iCs w:val="false"/>
          <w:color w:val="1F2937"/>
          <w:sz w:val="22"/>
          <w:szCs w:val="22"/>
        </w:rPr>
        <w:t xml:space="preserve">positions calculables</w:t>
      </w:r>
      <w:r>
        <w:rPr>
          <w:rFonts w:ascii="Times New Roman" w:cs="Times New Roman" w:eastAsia="Times New Roman" w:hAnsi="Times New Roman"/>
          <w:b w:val="false"/>
          <w:bCs w:val="false"/>
          <w:i w:val="false"/>
          <w:iCs w:val="false"/>
          <w:color w:val="1F2937"/>
          <w:sz w:val="22"/>
          <w:szCs w:val="22"/>
        </w:rPr>
        <w:t xml:space="preserve"> (Régime A pour le calcul ; Régime B pour l'interprétation)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L'âge approximatif du retour de Chiron = 50 à 51 ans (période orbitale ~50,4–50,6 ans, Régime A). La lecture de ce retour comme tournant : convention du corpus (Régime B).</w:t>
      </w:r>
    </w:p>
    <w:p>
      <w:pPr>
        <w:spacing w:after="100" w:before="60"/>
      </w:pPr>
      <w:r>
        <w:rPr>
          <w:rFonts w:ascii="Times New Roman" w:cs="Times New Roman" w:eastAsia="Times New Roman" w:hAnsi="Times New Roman"/>
          <w:b w:val="false"/>
          <w:bCs w:val="false"/>
          <w:i w:val="false"/>
          <w:iCs w:val="false"/>
          <w:color w:val="1F2937"/>
          <w:sz w:val="22"/>
          <w:szCs w:val="22"/>
        </w:rPr>
        <w:t xml:space="preserve">4. </w:t>
      </w:r>
      <w:r>
        <w:rPr>
          <w:rFonts w:ascii="Times New Roman" w:cs="Times New Roman" w:eastAsia="Times New Roman" w:hAnsi="Times New Roman"/>
          <w:b/>
          <w:bCs/>
          <w:i w:val="false"/>
          <w:iCs w:val="false"/>
          <w:color w:val="1F2937"/>
          <w:sz w:val="22"/>
          <w:szCs w:val="22"/>
        </w:rPr>
        <w:t xml:space="preserve">Résultat attendu</w:t>
      </w:r>
      <w:r>
        <w:rPr>
          <w:rFonts w:ascii="Times New Roman" w:cs="Times New Roman" w:eastAsia="Times New Roman" w:hAnsi="Times New Roman"/>
          <w:b w:val="false"/>
          <w:bCs w:val="false"/>
          <w:i w:val="false"/>
          <w:iCs w:val="false"/>
          <w:color w:val="1F2937"/>
          <w:sz w:val="22"/>
          <w:szCs w:val="22"/>
        </w:rPr>
        <w:t xml:space="preserve"> — Tu dois pouvoir énoncer : « Dans ce thème, Chiron se trouve en [signe], maison [N°]. D'après la lecture du corpus, ce placement pointe vers [domaine]. Chiron est en aspect [aspect] avec [planète], ce qui selon le corpus indique [lecture]. Le retour de Chiron interviendra vers [année] pour cette personne née en [année]. » Cette formulation montre que tu distingues la position (calculable) de l'interprétation (convention du corpus).</w:t>
      </w:r>
    </w:p>
    <w:p>
      <w:pPr>
        <w:pStyle w:val="Heading2"/>
        <w:spacing w:after="100" w:before="280"/>
      </w:pPr>
      <w:r>
        <w:rPr>
          <w:rFonts w:ascii="Times New Roman" w:cs="Times New Roman" w:eastAsia="Times New Roman" w:hAnsi="Times New Roman"/>
          <w:b/>
          <w:bCs/>
          <w:color w:val="1B3A6B"/>
          <w:sz w:val="30"/>
          <w:szCs w:val="30"/>
        </w:rPr>
        <w:t xml:space="preserve">⚖️ Ce que la recherche a testé</w:t>
      </w:r>
    </w:p>
    <w:p>
      <w:pPr>
        <w:spacing w:after="100" w:before="60"/>
      </w:pPr>
      <w:r>
        <w:rPr>
          <w:rFonts w:ascii="Times New Roman" w:cs="Times New Roman" w:eastAsia="Times New Roman" w:hAnsi="Times New Roman"/>
          <w:b w:val="false"/>
          <w:bCs w:val="false"/>
          <w:i w:val="false"/>
          <w:iCs w:val="false"/>
          <w:color w:val="1F2937"/>
          <w:sz w:val="22"/>
          <w:szCs w:val="22"/>
        </w:rPr>
        <w:t xml:space="preserve">Cette section est brève car les études empiriques principales ont été présentées en leçon 01. Rappel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Shawn Carlson, « A double-blind test of astrology », </w:t>
      </w:r>
      <w:r>
        <w:rPr>
          <w:rFonts w:ascii="Times New Roman" w:cs="Times New Roman" w:eastAsia="Times New Roman" w:hAnsi="Times New Roman"/>
          <w:b w:val="false"/>
          <w:bCs w:val="false"/>
          <w:i/>
          <w:iCs/>
          <w:color w:val="1F2937"/>
          <w:sz w:val="22"/>
          <w:szCs w:val="22"/>
        </w:rPr>
        <w:t xml:space="preserve">Nature</w:t>
      </w:r>
      <w:r>
        <w:rPr>
          <w:rFonts w:ascii="Times New Roman" w:cs="Times New Roman" w:eastAsia="Times New Roman" w:hAnsi="Times New Roman"/>
          <w:b w:val="false"/>
          <w:bCs w:val="false"/>
          <w:i w:val="false"/>
          <w:iCs w:val="false"/>
          <w:color w:val="1F2937"/>
          <w:sz w:val="22"/>
          <w:szCs w:val="22"/>
        </w:rPr>
        <w:t xml:space="preserve">, vol. 318, 5 décembre 1985, p. 419–425 (</w:t>
      </w:r>
      <w:hyperlink w:history="1" r:id="rIdds6emgx3egz8-ebmovhgy">
        <w:r>
          <w:rPr>
            <w:rFonts w:ascii="Times New Roman" w:cs="Times New Roman" w:eastAsia="Times New Roman" w:hAnsi="Times New Roman"/>
            <w:color w:val="1155CC"/>
            <w:sz w:val="22"/>
            <w:szCs w:val="22"/>
            <w:u w:val="single"/>
          </w:rPr>
          <w:t xml:space="preserve">doi.org/10.1038/318419a0</w:t>
        </w:r>
      </w:hyperlink>
      <w:r>
        <w:rPr>
          <w:rFonts w:ascii="Times New Roman" w:cs="Times New Roman" w:eastAsia="Times New Roman" w:hAnsi="Times New Roman"/>
          <w:b w:val="false"/>
          <w:bCs w:val="false"/>
          <w:i w:val="false"/>
          <w:iCs w:val="false"/>
          <w:color w:val="1F2937"/>
          <w:sz w:val="22"/>
          <w:szCs w:val="22"/>
        </w:rPr>
        <w:t xml:space="preserve">) — test en double aveugle, résultats non distinguables du hasard.</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Geoffrey Dean et Ivan W. Kelly, « Is astrology relevant to consciousness and psi ? », </w:t>
      </w:r>
      <w:r>
        <w:rPr>
          <w:rFonts w:ascii="Times New Roman" w:cs="Times New Roman" w:eastAsia="Times New Roman" w:hAnsi="Times New Roman"/>
          <w:b w:val="false"/>
          <w:bCs w:val="false"/>
          <w:i/>
          <w:iCs/>
          <w:color w:val="1F2937"/>
          <w:sz w:val="22"/>
          <w:szCs w:val="22"/>
        </w:rPr>
        <w:t xml:space="preserve">Journal of Consciousness Studies</w:t>
      </w:r>
      <w:r>
        <w:rPr>
          <w:rFonts w:ascii="Times New Roman" w:cs="Times New Roman" w:eastAsia="Times New Roman" w:hAnsi="Times New Roman"/>
          <w:b w:val="false"/>
          <w:bCs w:val="false"/>
          <w:i w:val="false"/>
          <w:iCs w:val="false"/>
          <w:color w:val="1F2937"/>
          <w:sz w:val="22"/>
          <w:szCs w:val="22"/>
        </w:rPr>
        <w:t xml:space="preserve">, 10(6–7), 2003, p. 175–198 (</w:t>
      </w:r>
      <w:hyperlink w:history="1" r:id="rIdhrs8py4rf0apvbipdtbxh">
        <w:r>
          <w:rPr>
            <w:rFonts w:ascii="Times New Roman" w:cs="Times New Roman" w:eastAsia="Times New Roman" w:hAnsi="Times New Roman"/>
            <w:color w:val="1155CC"/>
            <w:sz w:val="22"/>
            <w:szCs w:val="22"/>
            <w:u w:val="single"/>
          </w:rPr>
          <w:t xml:space="preserve">journalpsyche.org/articles/0xc062.pdf</w:t>
        </w:r>
      </w:hyperlink>
      <w:r>
        <w:rPr>
          <w:rFonts w:ascii="Times New Roman" w:cs="Times New Roman" w:eastAsia="Times New Roman" w:hAnsi="Times New Roman"/>
          <w:b w:val="false"/>
          <w:bCs w:val="false"/>
          <w:i w:val="false"/>
          <w:iCs w:val="false"/>
          <w:color w:val="1F2937"/>
          <w:sz w:val="22"/>
          <w:szCs w:val="22"/>
        </w:rPr>
        <w:t xml:space="preserve">) — étude dite des « jumeaux temporels » portant sur plus de 2 000 personnes nées à Londres du 3 au 9 mars 1958, aucune similarité trouvée sur une centaine de caractéristiques.</w:t>
      </w:r>
    </w:p>
    <w:p>
      <w:pPr>
        <w:spacing w:after="100" w:before="60"/>
      </w:pPr>
      <w:r>
        <w:rPr>
          <w:rFonts w:ascii="Times New Roman" w:cs="Times New Roman" w:eastAsia="Times New Roman" w:hAnsi="Times New Roman"/>
          <w:b w:val="false"/>
          <w:bCs w:val="false"/>
          <w:i w:val="false"/>
          <w:iCs w:val="false"/>
          <w:color w:val="1F2937"/>
          <w:sz w:val="22"/>
          <w:szCs w:val="22"/>
        </w:rPr>
        <w:t xml:space="preserve">À noter : ces études ont porté sur les planètes classiques et le thème natal au sens large. Chiron lui-même (découvert en 1977) n'a pas été l'objet d'une étude empirique en double aveugle publiée dans une revue à comité de lecture — à la connaissance disponible au moment de cette exécution. L'absence d'étude sur Chiron n'est ni une validation ni une réfutation ; c'est un constat sur l'état de la littérature.</w:t>
      </w:r>
    </w:p>
    <w:p>
      <w:pPr>
        <w:pStyle w:val="Heading2"/>
        <w:spacing w:after="100" w:before="280"/>
      </w:pPr>
      <w:r>
        <w:rPr>
          <w:rFonts w:ascii="Times New Roman" w:cs="Times New Roman" w:eastAsia="Times New Roman" w:hAnsi="Times New Roman"/>
          <w:b/>
          <w:bCs/>
          <w:color w:val="1B3A6B"/>
          <w:sz w:val="30"/>
          <w:szCs w:val="30"/>
        </w:rPr>
        <w:t xml:space="preserve">📚 Ressources</w:t>
      </w:r>
    </w:p>
    <w:p>
      <w:pPr>
        <w:pStyle w:val="Heading3"/>
        <w:spacing w:after="80" w:before="200"/>
      </w:pPr>
      <w:r>
        <w:rPr>
          <w:rFonts w:ascii="Times New Roman" w:cs="Times New Roman" w:eastAsia="Times New Roman" w:hAnsi="Times New Roman"/>
          <w:b/>
          <w:bCs/>
          <w:color w:val="1F2937"/>
          <w:sz w:val="26"/>
          <w:szCs w:val="26"/>
        </w:rPr>
        <w:t xml:space="preserve">Sources d'astronomie (Régime A)</w:t>
      </w:r>
    </w:p>
    <w:p>
      <w:pPr>
        <w:pStyle w:val="ListParagraph"/>
        <w:numPr>
          <w:ilvl w:val="0"/>
          <w:numId w:val="1"/>
        </w:numPr>
        <w:spacing w:after="40" w:before="40"/>
      </w:pPr>
      <w:hyperlink w:history="1" r:id="rIdgdkaff5puwqaerqr8udt1">
        <w:r>
          <w:rPr>
            <w:rFonts w:ascii="Times New Roman" w:cs="Times New Roman" w:eastAsia="Times New Roman" w:hAnsi="Times New Roman"/>
            <w:color w:val="1155CC"/>
            <w:sz w:val="22"/>
            <w:szCs w:val="22"/>
            <w:u w:val="single"/>
          </w:rPr>
          <w:t xml:space="preserve">MPC/UAI — 2060 Chiron (base de données principale)</w:t>
        </w:r>
      </w:hyperlink>
      <w:r>
        <w:rPr>
          <w:rFonts w:ascii="Times New Roman" w:cs="Times New Roman" w:eastAsia="Times New Roman" w:hAnsi="Times New Roman"/>
          <w:b w:val="false"/>
          <w:bCs w:val="false"/>
          <w:i w:val="false"/>
          <w:iCs w:val="false"/>
          <w:color w:val="1F2937"/>
          <w:sz w:val="22"/>
          <w:szCs w:val="22"/>
        </w:rPr>
        <w:t xml:space="preserve"> — HTTP 200, 521 478 caractères, testé le 01/10/2026. Découverte, désignations, éléments orbitaux, statut cométaire 95P, origine du nom (MPC Circular 4359).</w:t>
      </w:r>
    </w:p>
    <w:p>
      <w:pPr>
        <w:pStyle w:val="ListParagraph"/>
        <w:numPr>
          <w:ilvl w:val="0"/>
          <w:numId w:val="1"/>
        </w:numPr>
        <w:spacing w:after="40" w:before="40"/>
      </w:pPr>
      <w:hyperlink w:history="1" r:id="rIdarx2fi-7updc_h3umbxco">
        <w:r>
          <w:rPr>
            <w:rFonts w:ascii="Times New Roman" w:cs="Times New Roman" w:eastAsia="Times New Roman" w:hAnsi="Times New Roman"/>
            <w:color w:val="1155CC"/>
            <w:sz w:val="22"/>
            <w:szCs w:val="22"/>
            <w:u w:val="single"/>
          </w:rPr>
          <w:t xml:space="preserve">MPC/UAI — Liste officielle des centaures et objets du disque épars</w:t>
        </w:r>
      </w:hyperlink>
      <w:r>
        <w:rPr>
          <w:rFonts w:ascii="Times New Roman" w:cs="Times New Roman" w:eastAsia="Times New Roman" w:hAnsi="Times New Roman"/>
          <w:b w:val="false"/>
          <w:bCs w:val="false"/>
          <w:i w:val="false"/>
          <w:iCs w:val="false"/>
          <w:color w:val="1F2937"/>
          <w:sz w:val="22"/>
          <w:szCs w:val="22"/>
        </w:rPr>
        <w:t xml:space="preserve"> — HTTP 200, 338 056 caractères, testé le 01/10/2026. Chiron en tête de liste, périhélie 8,487 UA, aphélie 18,881 UA, inclinaison 6,931°.</w:t>
      </w:r>
    </w:p>
    <w:p>
      <w:pPr>
        <w:pStyle w:val="ListParagraph"/>
        <w:numPr>
          <w:ilvl w:val="0"/>
          <w:numId w:val="1"/>
        </w:numPr>
        <w:spacing w:after="40" w:before="40"/>
      </w:pPr>
      <w:hyperlink w:history="1" r:id="rIdprogxa8oqpvv42-cpxvey">
        <w:r>
          <w:rPr>
            <w:rFonts w:ascii="Times New Roman" w:cs="Times New Roman" w:eastAsia="Times New Roman" w:hAnsi="Times New Roman"/>
            <w:color w:val="1155CC"/>
            <w:sz w:val="22"/>
            <w:szCs w:val="22"/>
            <w:u w:val="single"/>
          </w:rPr>
          <w:t xml:space="preserve">NASA/JPL Horizons API (2060 Chiron)</w:t>
        </w:r>
      </w:hyperlink>
      <w:r>
        <w:rPr>
          <w:rFonts w:ascii="Times New Roman" w:cs="Times New Roman" w:eastAsia="Times New Roman" w:hAnsi="Times New Roman"/>
          <w:b w:val="false"/>
          <w:bCs w:val="false"/>
          <w:i w:val="false"/>
          <w:iCs w:val="false"/>
          <w:color w:val="1F2937"/>
          <w:sz w:val="22"/>
          <w:szCs w:val="22"/>
        </w:rPr>
        <w:t xml:space="preserve"> — HTTP 200 (via API), testé le 01/10/2026. Période orbitale 50,41 ans, rayon ~83 km (paramètre physique RAD), éléments osculateurs J2000.</w:t>
      </w:r>
    </w:p>
    <w:p>
      <w:pPr>
        <w:pStyle w:val="Heading3"/>
        <w:spacing w:after="80" w:before="200"/>
      </w:pPr>
      <w:r>
        <w:rPr>
          <w:rFonts w:ascii="Times New Roman" w:cs="Times New Roman" w:eastAsia="Times New Roman" w:hAnsi="Times New Roman"/>
          <w:b/>
          <w:bCs/>
          <w:color w:val="1F2937"/>
          <w:sz w:val="26"/>
          <w:szCs w:val="26"/>
        </w:rPr>
        <w:t xml:space="preserve">Sources du corpus astrologique (Régime B)</w:t>
      </w:r>
    </w:p>
    <w:p>
      <w:pPr>
        <w:pStyle w:val="ListParagraph"/>
        <w:numPr>
          <w:ilvl w:val="0"/>
          <w:numId w:val="1"/>
        </w:numPr>
        <w:spacing w:after="40" w:before="40"/>
      </w:pPr>
      <w:hyperlink w:history="1" r:id="rIdvmgmlxrybkd3f9m7-pdse">
        <w:r>
          <w:rPr>
            <w:rFonts w:ascii="Times New Roman" w:cs="Times New Roman" w:eastAsia="Times New Roman" w:hAnsi="Times New Roman"/>
            <w:color w:val="1155CC"/>
            <w:sz w:val="22"/>
            <w:szCs w:val="22"/>
            <w:u w:val="single"/>
          </w:rPr>
          <w:t xml:space="preserve">Zane B. Stein — Chiron and Friends</w:t>
        </w:r>
      </w:hyperlink>
      <w:r>
        <w:rPr>
          <w:rFonts w:ascii="Times New Roman" w:cs="Times New Roman" w:eastAsia="Times New Roman" w:hAnsi="Times New Roman"/>
          <w:b w:val="false"/>
          <w:bCs w:val="false"/>
          <w:i w:val="false"/>
          <w:iCs w:val="false"/>
          <w:color w:val="1F2937"/>
          <w:sz w:val="22"/>
          <w:szCs w:val="22"/>
        </w:rPr>
        <w:t xml:space="preserve"> — HTTP 200, 4 202 caractères utiles, testé le 01/10/2026. Témoignage de pionnier (étude dès 1977), « healing and wholemaking », histoire de la catégorie Centaures.</w:t>
      </w:r>
    </w:p>
    <w:p>
      <w:pPr>
        <w:pStyle w:val="ListParagraph"/>
        <w:numPr>
          <w:ilvl w:val="0"/>
          <w:numId w:val="1"/>
        </w:numPr>
        <w:spacing w:after="40" w:before="40"/>
      </w:pPr>
      <w:hyperlink w:history="1" r:id="rId16havuuct9erkfgggwt95">
        <w:r>
          <w:rPr>
            <w:rFonts w:ascii="Times New Roman" w:cs="Times New Roman" w:eastAsia="Times New Roman" w:hAnsi="Times New Roman"/>
            <w:color w:val="1155CC"/>
            <w:sz w:val="22"/>
            <w:szCs w:val="22"/>
            <w:u w:val="single"/>
          </w:rPr>
          <w:t xml:space="preserve">CaféAstrology — Chiron in Astrology</w:t>
        </w:r>
      </w:hyperlink>
      <w:r>
        <w:rPr>
          <w:rFonts w:ascii="Times New Roman" w:cs="Times New Roman" w:eastAsia="Times New Roman" w:hAnsi="Times New Roman"/>
          <w:b w:val="false"/>
          <w:bCs w:val="false"/>
          <w:i w:val="false"/>
          <w:iCs w:val="false"/>
          <w:color w:val="1F2937"/>
          <w:sz w:val="22"/>
          <w:szCs w:val="22"/>
        </w:rPr>
        <w:t xml:space="preserve"> — HTTP 200, 7 582 caractères, testé le 01/10/2026. Symbolisme du « wounded healer », glyphe « Object Kowal », lecture natale.</w:t>
      </w:r>
    </w:p>
    <w:p>
      <w:pPr>
        <w:pStyle w:val="ListParagraph"/>
        <w:numPr>
          <w:ilvl w:val="0"/>
          <w:numId w:val="1"/>
        </w:numPr>
        <w:spacing w:after="40" w:before="40"/>
      </w:pPr>
      <w:hyperlink w:history="1" r:id="rIdmhcvjsckxhd2l4ezhw8x8">
        <w:r>
          <w:rPr>
            <w:rFonts w:ascii="Times New Roman" w:cs="Times New Roman" w:eastAsia="Times New Roman" w:hAnsi="Times New Roman"/>
            <w:color w:val="1155CC"/>
            <w:sz w:val="22"/>
            <w:szCs w:val="22"/>
            <w:u w:val="single"/>
          </w:rPr>
          <w:t xml:space="preserve">Astro.com — Extended Chart Selection (outil de thème natal)</w:t>
        </w:r>
      </w:hyperlink>
      <w:r>
        <w:rPr>
          <w:rFonts w:ascii="Times New Roman" w:cs="Times New Roman" w:eastAsia="Times New Roman" w:hAnsi="Times New Roman"/>
          <w:b w:val="false"/>
          <w:bCs w:val="false"/>
          <w:i w:val="false"/>
          <w:iCs w:val="false"/>
          <w:color w:val="1F2937"/>
          <w:sz w:val="22"/>
          <w:szCs w:val="22"/>
        </w:rPr>
        <w:t xml:space="preserve"> — HTTP 200, testé le 01/10/2026. Outil de référence pour l'exercice pratique.</w:t>
      </w:r>
    </w:p>
    <w:p>
      <w:pPr>
        <w:pStyle w:val="Heading3"/>
        <w:spacing w:after="80" w:before="200"/>
      </w:pPr>
      <w:r>
        <w:rPr>
          <w:rFonts w:ascii="Times New Roman" w:cs="Times New Roman" w:eastAsia="Times New Roman" w:hAnsi="Times New Roman"/>
          <w:b/>
          <w:bCs/>
          <w:color w:val="1F2937"/>
          <w:sz w:val="26"/>
          <w:szCs w:val="26"/>
        </w:rPr>
        <w:t xml:space="preserve">Notices bibliographiques (ouvrages non consultés)</w:t>
      </w:r>
    </w:p>
    <w:p>
      <w:pPr>
        <w:pStyle w:val="ListParagraph"/>
        <w:numPr>
          <w:ilvl w:val="0"/>
          <w:numId w:val="1"/>
        </w:numPr>
        <w:spacing w:after="40" w:before="40"/>
      </w:pPr>
      <w:hyperlink w:history="1" r:id="rIde_31yfglqi1qpko5vhrj0">
        <w:r>
          <w:rPr>
            <w:rFonts w:ascii="Times New Roman" w:cs="Times New Roman" w:eastAsia="Times New Roman" w:hAnsi="Times New Roman"/>
            <w:color w:val="1155CC"/>
            <w:sz w:val="22"/>
            <w:szCs w:val="22"/>
            <w:u w:val="single"/>
          </w:rPr>
          <w:t xml:space="preserve">AbeBooks — Barbara Hand Clow, Chiron: Rainbow Bridge, Llewellyn 1987, ISBN 9780875420943</w:t>
        </w:r>
      </w:hyperlink>
      <w:r>
        <w:rPr>
          <w:rFonts w:ascii="Times New Roman" w:cs="Times New Roman" w:eastAsia="Times New Roman" w:hAnsi="Times New Roman"/>
          <w:b w:val="false"/>
          <w:bCs w:val="false"/>
          <w:i w:val="false"/>
          <w:iCs w:val="false"/>
          <w:color w:val="1F2937"/>
          <w:sz w:val="22"/>
          <w:szCs w:val="22"/>
        </w:rPr>
        <w:t xml:space="preserve"> — HTTP 200, testé le 01/10/2026.</w:t>
      </w:r>
    </w:p>
    <w:p>
      <w:pPr>
        <w:pStyle w:val="ListParagraph"/>
        <w:numPr>
          <w:ilvl w:val="0"/>
          <w:numId w:val="1"/>
        </w:numPr>
        <w:spacing w:after="40" w:before="40"/>
      </w:pPr>
      <w:hyperlink w:history="1" r:id="rIdsp9hza5qcvxygqrvb7f7x">
        <w:r>
          <w:rPr>
            <w:rFonts w:ascii="Times New Roman" w:cs="Times New Roman" w:eastAsia="Times New Roman" w:hAnsi="Times New Roman"/>
            <w:color w:val="1155CC"/>
            <w:sz w:val="22"/>
            <w:szCs w:val="22"/>
            <w:u w:val="single"/>
          </w:rPr>
          <w:t xml:space="preserve">AbeBooks — Melanie Reinhart, Chiron and the Healing Journey, Starwalker Press 2010, ISBN 9780955823114</w:t>
        </w:r>
      </w:hyperlink>
      <w:r>
        <w:rPr>
          <w:rFonts w:ascii="Times New Roman" w:cs="Times New Roman" w:eastAsia="Times New Roman" w:hAnsi="Times New Roman"/>
          <w:b w:val="false"/>
          <w:bCs w:val="false"/>
          <w:i w:val="false"/>
          <w:iCs w:val="false"/>
          <w:color w:val="1F2937"/>
          <w:sz w:val="22"/>
          <w:szCs w:val="22"/>
        </w:rPr>
        <w:t xml:space="preserve"> — HTTP 200, testé le 01/10/2026.</w:t>
      </w:r>
    </w:p>
    <w:p>
      <w:pPr>
        <w:pStyle w:val="Heading3"/>
        <w:spacing w:after="80" w:before="200"/>
      </w:pPr>
      <w:r>
        <w:rPr>
          <w:rFonts w:ascii="Times New Roman" w:cs="Times New Roman" w:eastAsia="Times New Roman" w:hAnsi="Times New Roman"/>
          <w:b/>
          <w:bCs/>
          <w:color w:val="1F2937"/>
          <w:sz w:val="26"/>
          <w:szCs w:val="26"/>
        </w:rPr>
        <w:t xml:space="preserve">Études citées (section recherche)</w:t>
      </w:r>
    </w:p>
    <w:p>
      <w:pPr>
        <w:pStyle w:val="ListParagraph"/>
        <w:numPr>
          <w:ilvl w:val="0"/>
          <w:numId w:val="1"/>
        </w:numPr>
        <w:spacing w:after="40" w:before="40"/>
      </w:pPr>
      <w:hyperlink w:history="1" r:id="rIdva6yyekfkq1avb9pcc0tz">
        <w:r>
          <w:rPr>
            <w:rFonts w:ascii="Times New Roman" w:cs="Times New Roman" w:eastAsia="Times New Roman" w:hAnsi="Times New Roman"/>
            <w:color w:val="1155CC"/>
            <w:sz w:val="22"/>
            <w:szCs w:val="22"/>
            <w:u w:val="single"/>
          </w:rPr>
          <w:t xml:space="preserve">Carlson, S., « A double-blind test of astrology », Nature, vol. 318, 1985, p. 419–425</w:t>
        </w:r>
      </w:hyperlink>
      <w:r>
        <w:rPr>
          <w:rFonts w:ascii="Times New Roman" w:cs="Times New Roman" w:eastAsia="Times New Roman" w:hAnsi="Times New Roman"/>
          <w:b w:val="false"/>
          <w:bCs w:val="false"/>
          <w:i w:val="false"/>
          <w:iCs w:val="false"/>
          <w:color w:val="1F2937"/>
          <w:sz w:val="22"/>
          <w:szCs w:val="22"/>
        </w:rPr>
        <w:t xml:space="preserve"> (déjà cité en leçon 01).</w:t>
      </w:r>
    </w:p>
    <w:p>
      <w:pPr>
        <w:pStyle w:val="ListParagraph"/>
        <w:numPr>
          <w:ilvl w:val="0"/>
          <w:numId w:val="1"/>
        </w:numPr>
        <w:spacing w:after="40" w:before="40"/>
      </w:pPr>
      <w:hyperlink w:history="1" r:id="rId0pnw6xetgnddpyc-oy0nc">
        <w:r>
          <w:rPr>
            <w:rFonts w:ascii="Times New Roman" w:cs="Times New Roman" w:eastAsia="Times New Roman" w:hAnsi="Times New Roman"/>
            <w:color w:val="1155CC"/>
            <w:sz w:val="22"/>
            <w:szCs w:val="22"/>
            <w:u w:val="single"/>
          </w:rPr>
          <w:t xml:space="preserve">Dean, G. &amp; Kelly, I. W., « Is astrology relevant to consciousness and psi ? », JCS, 10(6–7), 2003, p. 175–198</w:t>
        </w:r>
      </w:hyperlink>
      <w:r>
        <w:rPr>
          <w:rFonts w:ascii="Times New Roman" w:cs="Times New Roman" w:eastAsia="Times New Roman" w:hAnsi="Times New Roman"/>
          <w:b w:val="false"/>
          <w:bCs w:val="false"/>
          <w:i w:val="false"/>
          <w:iCs w:val="false"/>
          <w:color w:val="1F2937"/>
          <w:sz w:val="22"/>
          <w:szCs w:val="22"/>
        </w:rPr>
        <w:t xml:space="preserve"> (déjà cité en leçon 01).</w:t>
      </w:r>
    </w:p>
    <w:p>
      <w:pPr>
        <w:pStyle w:val="Heading2"/>
        <w:spacing w:after="100" w:before="280"/>
      </w:pPr>
      <w:r>
        <w:rPr>
          <w:rFonts w:ascii="Times New Roman" w:cs="Times New Roman" w:eastAsia="Times New Roman" w:hAnsi="Times New Roman"/>
          <w:b/>
          <w:bCs/>
          <w:color w:val="1B3A6B"/>
          <w:sz w:val="30"/>
          <w:szCs w:val="30"/>
        </w:rPr>
        <w:t xml:space="preserve">🔜 Prochaine leçon</w:t>
      </w:r>
    </w:p>
    <w:p>
      <w:pPr>
        <w:spacing w:after="100" w:before="60"/>
      </w:pPr>
      <w:r>
        <w:rPr>
          <w:rFonts w:ascii="Times New Roman" w:cs="Times New Roman" w:eastAsia="Times New Roman" w:hAnsi="Times New Roman"/>
          <w:b w:val="false"/>
          <w:bCs w:val="false"/>
          <w:i w:val="false"/>
          <w:iCs w:val="false"/>
          <w:color w:val="1F2937"/>
          <w:sz w:val="22"/>
          <w:szCs w:val="22"/>
        </w:rPr>
        <w:t xml:space="preserve">Leçon 10 — </w:t>
      </w:r>
      <w:r>
        <w:rPr>
          <w:rFonts w:ascii="Times New Roman" w:cs="Times New Roman" w:eastAsia="Times New Roman" w:hAnsi="Times New Roman"/>
          <w:b/>
          <w:bCs/>
          <w:i w:val="false"/>
          <w:iCs w:val="false"/>
          <w:color w:val="1F2937"/>
          <w:sz w:val="22"/>
          <w:szCs w:val="22"/>
        </w:rPr>
        <w:t xml:space="preserve">Lilith et les points fictifs</w:t>
      </w:r>
      <w:r>
        <w:rPr>
          <w:rFonts w:ascii="Times New Roman" w:cs="Times New Roman" w:eastAsia="Times New Roman" w:hAnsi="Times New Roman"/>
          <w:b w:val="false"/>
          <w:bCs w:val="false"/>
          <w:i w:val="false"/>
          <w:iCs w:val="false"/>
          <w:color w:val="1F2937"/>
          <w:sz w:val="22"/>
          <w:szCs w:val="22"/>
        </w:rPr>
        <w:t xml:space="preserve"> : distinguer corps célestes réels, points calculés et points imaginaires. Une leçon décisive sur le statut des objets manipulés dans les thèmes — Lilith oscille entre au moins trois définitions distinctes selon les auteurs et les logiciels, et seule l'une d'elles désigne un corps réel (la Lune noire oscilante est un point orbital calculé, pas un astre). Nous verrons aussi les astéroïdes féminins (Cérès, Pallas, Junon, Vesta) et les questions que leur rapide intégration dans le corpus pose sur les critères de sélection des objets.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lwbnairs0ym8j0hlprkq" Type="http://schemas.openxmlformats.org/officeDocument/2006/relationships/hyperlink" Target="https://www.minorplanetcenter.net/db_search/show_object?object_id=2060" TargetMode="External"/><Relationship Id="rIdfmgkkgu_htd80k70snl_e" Type="http://schemas.openxmlformats.org/officeDocument/2006/relationships/hyperlink" Target="https://www.minorplanetcenter.net/iau/lists/t_centaurs.html" TargetMode="External"/><Relationship Id="rIdjqxlnyngxpbmuq581xmwy" Type="http://schemas.openxmlformats.org/officeDocument/2006/relationships/hyperlink" Target="https://ssd.jpl.nasa.gov/horizons/" TargetMode="External"/><Relationship Id="rIdmmlzphy9imqxm4v6ebsyr" Type="http://schemas.openxmlformats.org/officeDocument/2006/relationships/hyperlink" Target="https://www.zanestein.com/chiron.htm" TargetMode="External"/><Relationship Id="rId5uutobe_j2qj0cizq5uxp" Type="http://schemas.openxmlformats.org/officeDocument/2006/relationships/hyperlink" Target="https://cafeastrology.com/chiron.html" TargetMode="External"/><Relationship Id="rIdos_nq4yfw3s2ecucvkfqz" Type="http://schemas.openxmlformats.org/officeDocument/2006/relationships/hyperlink" Target="https://www.abebooks.com/9780875420943/Chiron-Rainbow-Bridge-Outer-Planets-087542094X/plp" TargetMode="External"/><Relationship Id="rIdjvas5a0mee0plmprux9qg" Type="http://schemas.openxmlformats.org/officeDocument/2006/relationships/hyperlink" Target="https://www.abebooks.co.uk/9780955823114/Chiron-Healing-Journey-Reinhart-Melanie/plp" TargetMode="External"/><Relationship Id="rId9llelex0fgm7l_pmbjjat" Type="http://schemas.openxmlformats.org/officeDocument/2006/relationships/hyperlink" Target="https://www.zanestein.com/chiron.htm" TargetMode="External"/><Relationship Id="rIdjhu57nllvt4we4hx_vuy3" Type="http://schemas.openxmlformats.org/officeDocument/2006/relationships/hyperlink" Target="https://www.minorplanetcenter.net/db_search/show_object?object_id=2060" TargetMode="External"/><Relationship Id="rIdu9atemxsdi9engvdw3q63" Type="http://schemas.openxmlformats.org/officeDocument/2006/relationships/hyperlink" Target="https://www.minorplanetcenter.net/iau/lists/t_centaurs.html" TargetMode="External"/><Relationship Id="rIdxmpzqzlqgutrkbkddkqqt" Type="http://schemas.openxmlformats.org/officeDocument/2006/relationships/hyperlink" Target="https://www.astro.com/cgi/chart.cgi" TargetMode="External"/><Relationship Id="rIdds6emgx3egz8-ebmovhgy" Type="http://schemas.openxmlformats.org/officeDocument/2006/relationships/hyperlink" Target="https://doi.org/10.1038/318419a0" TargetMode="External"/><Relationship Id="rIdhrs8py4rf0apvbipdtbxh" Type="http://schemas.openxmlformats.org/officeDocument/2006/relationships/hyperlink" Target="https://journalpsyche.org/articles/0xc062.pdf" TargetMode="External"/><Relationship Id="rIdgdkaff5puwqaerqr8udt1" Type="http://schemas.openxmlformats.org/officeDocument/2006/relationships/hyperlink" Target="https://www.minorplanetcenter.net/db_search/show_object?object_id=2060" TargetMode="External"/><Relationship Id="rIdarx2fi-7updc_h3umbxco" Type="http://schemas.openxmlformats.org/officeDocument/2006/relationships/hyperlink" Target="https://www.minorplanetcenter.net/iau/lists/t_centaurs.html" TargetMode="External"/><Relationship Id="rIdprogxa8oqpvv42-cpxvey" Type="http://schemas.openxmlformats.org/officeDocument/2006/relationships/hyperlink" Target="https://ssd.jpl.nasa.gov/horizons/" TargetMode="External"/><Relationship Id="rIdvmgmlxrybkd3f9m7-pdse" Type="http://schemas.openxmlformats.org/officeDocument/2006/relationships/hyperlink" Target="https://www.zanestein.com/chiron.htm" TargetMode="External"/><Relationship Id="rId16havuuct9erkfgggwt95" Type="http://schemas.openxmlformats.org/officeDocument/2006/relationships/hyperlink" Target="https://cafeastrology.com/chiron.html" TargetMode="External"/><Relationship Id="rIdmhcvjsckxhd2l4ezhw8x8" Type="http://schemas.openxmlformats.org/officeDocument/2006/relationships/hyperlink" Target="https://www.astro.com/cgi/chart.cgi" TargetMode="External"/><Relationship Id="rIde_31yfglqi1qpko5vhrj0" Type="http://schemas.openxmlformats.org/officeDocument/2006/relationships/hyperlink" Target="https://www.abebooks.com/9780875420943/Chiron-Rainbow-Bridge-Outer-Planets-087542094X/plp" TargetMode="External"/><Relationship Id="rIdsp9hza5qcvxygqrvb7f7x" Type="http://schemas.openxmlformats.org/officeDocument/2006/relationships/hyperlink" Target="https://www.abebooks.co.uk/9780955823114/Chiron-Healing-Journey-Reinhart-Melanie/plp" TargetMode="External"/><Relationship Id="rIdva6yyekfkq1avb9pcc0tz" Type="http://schemas.openxmlformats.org/officeDocument/2006/relationships/hyperlink" Target="https://doi.org/10.1038/318419a0" TargetMode="External"/><Relationship Id="rId0pnw6xetgnddpyc-oy0nc" Type="http://schemas.openxmlformats.org/officeDocument/2006/relationships/hyperlink" Target="https://journalpsyche.org/articles/0xc062.pdf"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09 — Chiron : corps réel, blessure symbolique</dc:title>
  <dc:creator>Astrologie karmique — Parcours hebdomadaire</dc:creator>
  <cp:lastModifiedBy>Un-named</cp:lastModifiedBy>
  <cp:revision>1</cp:revision>
  <dcterms:created xsi:type="dcterms:W3CDTF">2026-10-01T07:49:12.730Z</dcterms:created>
  <dcterms:modified xsi:type="dcterms:W3CDTF">2026-10-01T07:49:12.733Z</dcterms:modified>
</cp:coreProperties>
</file>

<file path=docProps/custom.xml><?xml version="1.0" encoding="utf-8"?>
<Properties xmlns="http://schemas.openxmlformats.org/officeDocument/2006/custom-properties" xmlns:vt="http://schemas.openxmlformats.org/officeDocument/2006/docPropsVTypes"/>
</file>