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jc w:val="center"/>
      </w:pPr>
      <w:r>
        <w:rPr>
          <w:rFonts w:ascii="Times New Roman" w:cs="Times New Roman" w:eastAsia="Times New Roman" w:hAnsi="Times New Roman"/>
          <w:b/>
          <w:bCs/>
          <w:color w:val="1B3A6B"/>
          <w:sz w:val="52"/>
          <w:szCs w:val="52"/>
        </w:rPr>
        <w:t xml:space="preserve">Leçon Stoïcisme n°17 — Stoïcisme et christianisme : emprunts, divergences, postérité</w:t>
      </w:r>
    </w:p>
    <w:p>
      <w:pPr>
        <w:spacing w:after="80"/>
        <w:jc w:val="center"/>
      </w:pPr>
      <w:r>
        <w:rPr>
          <w:rFonts w:ascii="Times New Roman" w:cs="Times New Roman" w:eastAsia="Times New Roman" w:hAnsi="Times New Roman"/>
          <w:i/>
          <w:iCs/>
          <w:color w:val="1F2937"/>
          <w:sz w:val="22"/>
          <w:szCs w:val="22"/>
        </w:rPr>
        <w:t xml:space="preserve">1er octobre 2026  ·  Leçon 17 / 20</w:t>
      </w:r>
    </w:p>
    <w:p>
      <w:pPr>
        <w:spacing w:after="100"/>
      </w:pPr>
      <w:r>
        <w:t xml:space="preserve"/>
      </w:r>
    </w:p>
    <w:p>
      <w:pPr>
        <w:pStyle w:val="Heading2"/>
        <w:spacing w:after="120" w:before="280"/>
      </w:pPr>
      <w:r>
        <w:rPr>
          <w:rFonts w:ascii="Times New Roman" w:cs="Times New Roman" w:eastAsia="Times New Roman" w:hAnsi="Times New Roman"/>
          <w:b/>
          <w:bCs/>
          <w:color w:val="1B3A6B"/>
          <w:sz w:val="30"/>
          <w:szCs w:val="30"/>
        </w:rPr>
        <w:t xml:space="preserve">🎯 Objectif &amp; continuité</w:t>
      </w:r>
    </w:p>
    <w:p>
      <w:pPr>
        <w:spacing w:after="120"/>
      </w:pPr>
      <w:r>
        <w:rPr>
          <w:rFonts w:ascii="Times New Roman" w:cs="Times New Roman" w:eastAsia="Times New Roman" w:hAnsi="Times New Roman"/>
          <w:b w:val="false"/>
          <w:bCs w:val="false"/>
          <w:i w:val="false"/>
          <w:iCs w:val="false"/>
          <w:color w:val="1F2937"/>
          <w:sz w:val="22"/>
          <w:szCs w:val="22"/>
        </w:rPr>
        <w:t xml:space="preserve">À la fin de cette leçon, tu sauras identifier les cinq principaux emprunts du christianisme au stoïcisme, articuler les cinq divergences irréductibles entre les deux traditions, et situer le néo-stoïcisme (XVIe s.) comme moment de synthèse consciente. Tu seras capable d'expliquer pourquoi le logos stoïcien a fasciné les premiers chrétiens tout en restant philosophiquement irréconciliable avec le Dieu personnel du christianisme.</w:t>
      </w:r>
    </w:p>
    <w:p>
      <w:pPr>
        <w:spacing w:after="120"/>
      </w:pPr>
      <w:r>
        <w:rPr>
          <w:rFonts w:ascii="Times New Roman" w:cs="Times New Roman" w:eastAsia="Times New Roman" w:hAnsi="Times New Roman"/>
          <w:b/>
          <w:bCs/>
          <w:i w:val="false"/>
          <w:iCs w:val="false"/>
          <w:color w:val="1F2937"/>
          <w:sz w:val="22"/>
          <w:szCs w:val="22"/>
        </w:rPr>
        <w:t xml:space="preserve">Continuité : </w:t>
      </w:r>
      <w:r>
        <w:rPr>
          <w:rFonts w:ascii="Times New Roman" w:cs="Times New Roman" w:eastAsia="Times New Roman" w:hAnsi="Times New Roman"/>
          <w:b w:val="false"/>
          <w:bCs w:val="false"/>
          <w:i w:val="false"/>
          <w:iCs w:val="false"/>
          <w:color w:val="1F2937"/>
          <w:sz w:val="22"/>
          <w:szCs w:val="22"/>
        </w:rPr>
        <w:t xml:space="preserve">La leçon 16 a exploré les exercices spirituels chez Pierre Hadot, qui montre comment la pratique stoïcienne a irrigué la spiritualité occidentale, chrétienne comprise. Cette leçon prolonge ce fil : au lieu de regarder la pratique, nous regardons la doctrine — et les lieux où le dialogue s'est noué, puis rompu.</w:t>
      </w:r>
    </w:p>
    <w:p>
      <w:pPr>
        <w:spacing w:after="100"/>
      </w:pPr>
      <w:r>
        <w:t xml:space="preserve"/>
      </w:r>
    </w:p>
    <w:p>
      <w:pPr>
        <w:pStyle w:val="Heading2"/>
        <w:spacing w:after="120" w:before="280"/>
      </w:pPr>
      <w:r>
        <w:rPr>
          <w:rFonts w:ascii="Times New Roman" w:cs="Times New Roman" w:eastAsia="Times New Roman" w:hAnsi="Times New Roman"/>
          <w:b/>
          <w:bCs/>
          <w:color w:val="1B3A6B"/>
          <w:sz w:val="30"/>
          <w:szCs w:val="30"/>
        </w:rPr>
        <w:t xml:space="preserve">🔬 Théorie (20 %)</w:t>
      </w:r>
    </w:p>
    <w:p>
      <w:pPr>
        <w:pStyle w:val="Heading3"/>
        <w:spacing w:after="80" w:before="180"/>
      </w:pPr>
      <w:r>
        <w:rPr>
          <w:rFonts w:ascii="Times New Roman" w:cs="Times New Roman" w:eastAsia="Times New Roman" w:hAnsi="Times New Roman"/>
          <w:b/>
          <w:bCs/>
          <w:color w:val="1F2937"/>
          <w:sz w:val="26"/>
          <w:szCs w:val="26"/>
        </w:rPr>
        <w:t xml:space="preserve">1. Deux mondes contemporains</w:t>
      </w:r>
    </w:p>
    <w:p>
      <w:pPr>
        <w:spacing w:after="120"/>
      </w:pPr>
      <w:r>
        <w:rPr>
          <w:rFonts w:ascii="Times New Roman" w:cs="Times New Roman" w:eastAsia="Times New Roman" w:hAnsi="Times New Roman"/>
          <w:b w:val="false"/>
          <w:bCs w:val="false"/>
          <w:i w:val="false"/>
          <w:iCs w:val="false"/>
          <w:color w:val="1F2937"/>
          <w:sz w:val="22"/>
          <w:szCs w:val="22"/>
        </w:rPr>
        <w:t xml:space="preserve">Le stoïcisme impérial et le christianisme primitif sont contemporains : Sénèque meurt en 65 apr. J.-C., Paul de Tarse circule dans le monde romain au même moment. Les deux traditions naissent dans le même bain culturel hellénistique, s'adressent aux mêmes classes urbaines, et proposent toutes deux une philosophie de vie face à la souffrance, à la mort et à l'injustice. Une correspondance apocryphe entre Paul et Sénèque circule dès l'Antiquité — mentionnée par Jérôme et Augustin — ; son inauthenticité n'empêche pas qu'elle témoigne de la conviction, partagée très tôt, que les deux hommes avaient beaucoup à se dire (d'après Durand, Shogry et Baltzly, Stanford Encyclopedia of Philosophy, « Stoicism », 2023). La recherche va plus loin que cette conviction : dans le volume recensé par Samuli Siikavirta, Thorsteinsson lit l'éthique paulinienne de Romains 12-15 en faisant du stoïcisme sa clé d'interprétation, et Stanley K. Stowers lit le Jésus de Matthieu comme une refonte du Jésus de Marc sur le modèle du sage-enseignant stoïcien.</w:t>
      </w:r>
      <w:r>
        <w:rPr>
          <w:rFonts w:ascii="Times New Roman" w:cs="Times New Roman" w:eastAsia="Times New Roman" w:hAnsi="Times New Roman"/>
          <w:i/>
          <w:iCs/>
          <w:color w:val="6B7280"/>
          <w:sz w:val="20"/>
          <w:szCs w:val="20"/>
        </w:rPr>
        <w:t xml:space="preserve"> [Ajouté le 01/10/2026 : la première correction avait retiré du corps la seule mention de Siikavirta en rendant l'Enchiridion à Pigliucci ; sa recension redevient une source employée, pour ce qu'elle porte réellement.]</w:t>
      </w:r>
    </w:p>
    <w:p>
      <w:pPr>
        <w:spacing w:after="100"/>
      </w:pPr>
      <w:r>
        <w:t xml:space="preserve"/>
      </w:r>
    </w:p>
    <w:p>
      <w:pPr>
        <w:pStyle w:val="Heading3"/>
        <w:spacing w:after="80" w:before="180"/>
      </w:pPr>
      <w:r>
        <w:rPr>
          <w:rFonts w:ascii="Times New Roman" w:cs="Times New Roman" w:eastAsia="Times New Roman" w:hAnsi="Times New Roman"/>
          <w:b/>
          <w:bCs/>
          <w:color w:val="1F2937"/>
          <w:sz w:val="26"/>
          <w:szCs w:val="26"/>
        </w:rPr>
        <w:t xml:space="preserve">2. Les cinq emprunts majeurs</w:t>
      </w:r>
    </w:p>
    <w:p>
      <w:pPr>
        <w:pStyle w:val="ListParagraph"/>
        <w:numPr>
          <w:ilvl w:val="0"/>
          <w:numId w:val="1"/>
        </w:numPr>
        <w:spacing w:after="80"/>
      </w:pPr>
      <w:r>
        <w:rPr>
          <w:rFonts w:ascii="Times New Roman" w:cs="Times New Roman" w:eastAsia="Times New Roman" w:hAnsi="Times New Roman"/>
          <w:b w:val="false"/>
          <w:bCs w:val="false"/>
          <w:color w:val="1F2937"/>
          <w:sz w:val="22"/>
          <w:szCs w:val="22"/>
        </w:rPr>
        <w:t xml:space="preserve">Le Logos : le concept stoïcien de raison universelle qui gouverne le cosmos est repris dans le prologue de l'Évangile de Jean (Jean 1:1), où l'auteur identifie d'emblée le Verbe (Logos) à Dieu et au principe de toute création. C'est le point de contact le plus important. Justin Martyr (IIe s.) reconnaîtra explicitement la filiation stoïcienne tout en affirmant que le Logos s'est pleinement incarné dans le Christ.</w:t>
      </w:r>
    </w:p>
    <w:p>
      <w:pPr>
        <w:pStyle w:val="ListParagraph"/>
        <w:numPr>
          <w:ilvl w:val="0"/>
          <w:numId w:val="1"/>
        </w:numPr>
        <w:spacing w:after="80"/>
      </w:pPr>
      <w:r>
        <w:rPr>
          <w:rFonts w:ascii="Times New Roman" w:cs="Times New Roman" w:eastAsia="Times New Roman" w:hAnsi="Times New Roman"/>
          <w:b w:val="false"/>
          <w:bCs w:val="false"/>
          <w:color w:val="1F2937"/>
          <w:sz w:val="22"/>
          <w:szCs w:val="22"/>
        </w:rPr>
        <w:t xml:space="preserve">Le droit naturel : selon Durand, Shogry et Baltzly (SEP), la tradition des théories du droit naturel en éthique semble découler directement du stoïcisme. La chaîne va du kathêkon et de l'oikeiôsis stoïciens à Cicéron, puis à Thomas d'Aquin (Summa Theologica II, 2, q. 94) et aux juristes modernes ; Grotius est nommé par Cochran (SAET) parmi les philosophes modernes nourris de pensée stoïcienne, avec Shaftesbury, Rousseau, Kant et Adam Smith.</w:t>
      </w:r>
      <w:r>
        <w:rPr>
          <w:rFonts w:ascii="Times New Roman" w:cs="Times New Roman" w:eastAsia="Times New Roman" w:hAnsi="Times New Roman"/>
          <w:i/>
          <w:iCs/>
          <w:color w:val="6B7280"/>
          <w:sz w:val="20"/>
          <w:szCs w:val="20"/>
        </w:rPr>
        <w:t xml:space="preserve"> [Corrigé le 01/10/2026 : Grotius ne figure pas sur la page de la SEP, à laquelle la phrase est prêtée. Il est chez Cochran (SAET). Coquille « découlter » corrigée en « découler ».]</w:t>
      </w:r>
    </w:p>
    <w:p>
      <w:pPr>
        <w:pStyle w:val="ListParagraph"/>
        <w:numPr>
          <w:ilvl w:val="0"/>
          <w:numId w:val="1"/>
        </w:numPr>
        <w:spacing w:after="80"/>
      </w:pPr>
      <w:r>
        <w:rPr>
          <w:rFonts w:ascii="Times New Roman" w:cs="Times New Roman" w:eastAsia="Times New Roman" w:hAnsi="Times New Roman"/>
          <w:b w:val="false"/>
          <w:bCs w:val="false"/>
          <w:color w:val="1F2937"/>
          <w:sz w:val="22"/>
          <w:szCs w:val="22"/>
        </w:rPr>
        <w:t xml:space="preserve">La fraternité universelle : l'oikeiôsis stoïcienne (sentiment naturel d'appartenance à l'humanité) résonne avec le concept chrétien d'imago Dei — chaque être humain porte l'image divine, base de sa dignité absolue.</w:t>
      </w:r>
    </w:p>
    <w:p>
      <w:pPr>
        <w:pStyle w:val="ListParagraph"/>
        <w:numPr>
          <w:ilvl w:val="0"/>
          <w:numId w:val="1"/>
        </w:numPr>
        <w:spacing w:after="80"/>
      </w:pPr>
      <w:r>
        <w:rPr>
          <w:rFonts w:ascii="Times New Roman" w:cs="Times New Roman" w:eastAsia="Times New Roman" w:hAnsi="Times New Roman"/>
          <w:b w:val="false"/>
          <w:bCs w:val="false"/>
          <w:color w:val="1F2937"/>
          <w:sz w:val="22"/>
          <w:szCs w:val="22"/>
        </w:rPr>
        <w:t xml:space="preserve">La Providence : la pronoia stoïcienne (raison divine guidant le cosmos) est réinterprétée en providence chrétienne personnelle — non plus une loi immanente, mais un Dieu qui veille sur chaque individu.</w:t>
      </w:r>
    </w:p>
    <w:p>
      <w:pPr>
        <w:pStyle w:val="ListParagraph"/>
        <w:numPr>
          <w:ilvl w:val="0"/>
          <w:numId w:val="1"/>
        </w:numPr>
        <w:spacing w:after="80"/>
      </w:pPr>
      <w:r>
        <w:rPr>
          <w:rFonts w:ascii="Times New Roman" w:cs="Times New Roman" w:eastAsia="Times New Roman" w:hAnsi="Times New Roman"/>
          <w:b w:val="false"/>
          <w:bCs w:val="false"/>
          <w:color w:val="1F2937"/>
          <w:sz w:val="22"/>
          <w:szCs w:val="22"/>
        </w:rPr>
        <w:t xml:space="preserve">L'Enchiridion adapté : selon Massimo Pigliucci (IEP), des versions de l'Enchiridion d'Épictète étaient couramment utilisées dans les monastères, Paul y prenant la place de Socrate comme figure exemplaire. Là où le texte passait, le système théologique sous-jacent, lui, ne passait pas toujours.</w:t>
      </w:r>
      <w:r>
        <w:rPr>
          <w:rFonts w:ascii="Times New Roman" w:cs="Times New Roman" w:eastAsia="Times New Roman" w:hAnsi="Times New Roman"/>
          <w:i/>
          <w:iCs/>
          <w:color w:val="6B7280"/>
          <w:sz w:val="20"/>
          <w:szCs w:val="20"/>
        </w:rPr>
        <w:t xml:space="preserve"> [Corrigé le 01/10/2026 : attribué à Samuli Siikavirta, dont la page ne contient pas le mot « Enchiridion ». Le fait est chez Pigliucci (IEP) — « versions of the Enchiridion were commonly used (with Paul replacing Socrates) in monasteries » : couramment utilisées, et non « à trois reprises » ; la substitution documentée est Paul pour Socrate, non Zeus pour Dieu.]</w:t>
      </w:r>
    </w:p>
    <w:p>
      <w:pPr>
        <w:spacing w:after="100"/>
      </w:pPr>
      <w:r>
        <w:t xml:space="preserve"/>
      </w:r>
    </w:p>
    <w:p>
      <w:pPr>
        <w:pStyle w:val="Heading3"/>
        <w:spacing w:after="80" w:before="180"/>
      </w:pPr>
      <w:r>
        <w:rPr>
          <w:rFonts w:ascii="Times New Roman" w:cs="Times New Roman" w:eastAsia="Times New Roman" w:hAnsi="Times New Roman"/>
          <w:b/>
          <w:bCs/>
          <w:color w:val="1F2937"/>
          <w:sz w:val="26"/>
          <w:szCs w:val="26"/>
        </w:rPr>
        <w:t xml:space="preserve">3. Les Pères de l'Église et le stoïcisme</w:t>
      </w:r>
    </w:p>
    <w:p>
      <w:pPr>
        <w:spacing w:after="120"/>
      </w:pPr>
      <w:r>
        <w:rPr>
          <w:rFonts w:ascii="Times New Roman" w:cs="Times New Roman" w:eastAsia="Times New Roman" w:hAnsi="Times New Roman"/>
          <w:b w:val="false"/>
          <w:bCs w:val="false"/>
          <w:i w:val="false"/>
          <w:iCs w:val="false"/>
          <w:color w:val="1F2937"/>
          <w:sz w:val="22"/>
          <w:szCs w:val="22"/>
        </w:rPr>
        <w:t xml:space="preserve">Plusieurs Pères de l'Église entretiennent un rapport positif au stoïcisme. Wikipedia relève une influence stoïcienne chez Ambroise de Milan, Marcus Minucius Felix et Tertullien ; Cochran (SAET) nomme Grégoire de Nysse, Ambroise, Jérôme, Clément d'Alexandrie et Augustin parmi les auteurs chrétiens sur lesquels Lipsius s'appuiera au XVIe siècle :</w:t>
      </w:r>
      <w:r>
        <w:rPr>
          <w:rFonts w:ascii="Times New Roman" w:cs="Times New Roman" w:eastAsia="Times New Roman" w:hAnsi="Times New Roman"/>
          <w:i/>
          <w:iCs/>
          <w:color w:val="6B7280"/>
          <w:sz w:val="20"/>
          <w:szCs w:val="20"/>
        </w:rPr>
        <w:t xml:space="preserve"> [Ajouté le 01/10/2026 : la section ne nommait aucune source alors qu'elle avançait quatre références précises.]</w:t>
      </w:r>
    </w:p>
    <w:p>
      <w:pPr>
        <w:pStyle w:val="ListParagraph"/>
        <w:numPr>
          <w:ilvl w:val="0"/>
          <w:numId w:val="1"/>
        </w:numPr>
        <w:spacing w:after="80"/>
      </w:pPr>
      <w:r>
        <w:rPr>
          <w:rFonts w:ascii="Times New Roman" w:cs="Times New Roman" w:eastAsia="Times New Roman" w:hAnsi="Times New Roman"/>
          <w:b w:val="false"/>
          <w:bCs w:val="false"/>
          <w:color w:val="1F2937"/>
          <w:sz w:val="22"/>
          <w:szCs w:val="22"/>
        </w:rPr>
        <w:t xml:space="preserve">Tertullien (160-220) : Pigliucci (IEP) écrit qu'il était positivement disposé envers le stoïcisme. La SEP ajoute le contrepoint : c'est chez lui que se trouve l'anthropologie matérialiste dont l'orthodoxie chrétienne ancienne s'est ensuite éloignée, vers la conception immatérielle de l'âme qui va aujourd'hui de soi.</w:t>
      </w:r>
      <w:r>
        <w:rPr>
          <w:rFonts w:ascii="Times New Roman" w:cs="Times New Roman" w:eastAsia="Times New Roman" w:hAnsi="Times New Roman"/>
          <w:i/>
          <w:iCs/>
          <w:color w:val="6B7280"/>
          <w:sz w:val="20"/>
          <w:szCs w:val="20"/>
        </w:rPr>
        <w:t xml:space="preserve"> [Corrigé le 01/10/2026 : « proche de la vérité chrétienne (De Anima, 20.1) » — ni « De Anima » ni « 20.1 » ne figurent sur aucune des sept pages liées.]</w:t>
      </w:r>
    </w:p>
    <w:p>
      <w:pPr>
        <w:pStyle w:val="ListParagraph"/>
        <w:numPr>
          <w:ilvl w:val="0"/>
          <w:numId w:val="1"/>
        </w:numPr>
        <w:spacing w:after="80"/>
      </w:pPr>
      <w:r>
        <w:rPr>
          <w:rFonts w:ascii="Times New Roman" w:cs="Times New Roman" w:eastAsia="Times New Roman" w:hAnsi="Times New Roman"/>
          <w:b w:val="false"/>
          <w:bCs w:val="false"/>
          <w:color w:val="1F2937"/>
          <w:sz w:val="22"/>
          <w:szCs w:val="22"/>
        </w:rPr>
        <w:t xml:space="preserve">Clément d'Alexandrie (150-215) : voit dans la raison stoïcienne une préparation évangélique — le logos philosophique annonçant le Logos incarné.</w:t>
      </w:r>
    </w:p>
    <w:p>
      <w:pPr>
        <w:pStyle w:val="ListParagraph"/>
        <w:numPr>
          <w:ilvl w:val="0"/>
          <w:numId w:val="1"/>
        </w:numPr>
        <w:spacing w:after="80"/>
      </w:pPr>
      <w:r>
        <w:rPr>
          <w:rFonts w:ascii="Times New Roman" w:cs="Times New Roman" w:eastAsia="Times New Roman" w:hAnsi="Times New Roman"/>
          <w:b w:val="false"/>
          <w:bCs w:val="false"/>
          <w:color w:val="1F2937"/>
          <w:sz w:val="22"/>
          <w:szCs w:val="22"/>
        </w:rPr>
        <w:t xml:space="preserve">Ambroise de Milan (340-397) : Wikipedia relève une influence stoïcienne dans ses œuvres, et Cochran (SAET) le compte parmi les auteurs chrétiens que Lipsius relira. La relation de modèle que la SEP documente est ailleurs : c'est Cicéron qui calque son De Officiis sur le traité de Panétius.</w:t>
      </w:r>
      <w:r>
        <w:rPr>
          <w:rFonts w:ascii="Times New Roman" w:cs="Times New Roman" w:eastAsia="Times New Roman" w:hAnsi="Times New Roman"/>
          <w:i/>
          <w:iCs/>
          <w:color w:val="6B7280"/>
          <w:sz w:val="20"/>
          <w:szCs w:val="20"/>
        </w:rPr>
        <w:t xml:space="preserve"> [Corrigé le 01/10/2026 : « rédige le De Officiis Ministrorum directement calqué sur le De Officiis de Cicéron » est introuvable sur les pages liées ; la SEP documente le modelage de Cicéron sur Panétius, pas celui d'Ambroise sur Cicéron.]</w:t>
      </w:r>
    </w:p>
    <w:p>
      <w:pPr>
        <w:pStyle w:val="ListParagraph"/>
        <w:numPr>
          <w:ilvl w:val="0"/>
          <w:numId w:val="1"/>
        </w:numPr>
        <w:spacing w:after="80"/>
      </w:pPr>
      <w:r>
        <w:rPr>
          <w:rFonts w:ascii="Times New Roman" w:cs="Times New Roman" w:eastAsia="Times New Roman" w:hAnsi="Times New Roman"/>
          <w:b w:val="false"/>
          <w:bCs w:val="false"/>
          <w:color w:val="1F2937"/>
          <w:sz w:val="22"/>
          <w:szCs w:val="22"/>
        </w:rPr>
        <w:t xml:space="preserve">Augustin (354-430) : position nuancée. Pigliucci (IEP) note qu'il écrit d'abord favorablement sur le stoïcisme, puis s'en montre plus critique. La SEP précise sur quoi il suit les stoïciens plutôt que les platoniciens, ses alliés habituels : l'appartenance des animaux à la communauté morale (La Cité de Dieu, 1.20) et sa philosophie du langage. Le matérialisme stoïcien, lui, est rejeté par l'orthodoxie dans son ensemble, et la prétention à l'autosuffisance de la raison se heurte à la doctrine de la grâce.</w:t>
      </w:r>
      <w:r>
        <w:rPr>
          <w:rFonts w:ascii="Times New Roman" w:cs="Times New Roman" w:eastAsia="Times New Roman" w:hAnsi="Times New Roman"/>
          <w:i/>
          <w:iCs/>
          <w:color w:val="6B7280"/>
          <w:sz w:val="20"/>
          <w:szCs w:val="20"/>
        </w:rPr>
        <w:t xml:space="preserve"> [Corrigé le 01/10/2026 : le droit naturel ne figure pas dans la liste de la SEP, qui s'en tient aux animaux et à la philosophie du langage ; et Épître 153.4 y est la référence où Augustin MENTIONNE la correspondance apocryphe — la même référence servait deux fois dans la leçon, juste la première fois.]</w:t>
      </w:r>
    </w:p>
    <w:p>
      <w:pPr>
        <w:spacing w:after="100"/>
      </w:pPr>
      <w:r>
        <w:t xml:space="preserve"/>
      </w:r>
    </w:p>
    <w:p>
      <w:pPr>
        <w:pStyle w:val="Heading3"/>
        <w:spacing w:after="80" w:before="180"/>
      </w:pPr>
      <w:r>
        <w:rPr>
          <w:rFonts w:ascii="Times New Roman" w:cs="Times New Roman" w:eastAsia="Times New Roman" w:hAnsi="Times New Roman"/>
          <w:b/>
          <w:bCs/>
          <w:color w:val="1F2937"/>
          <w:sz w:val="26"/>
          <w:szCs w:val="26"/>
        </w:rPr>
        <w:t xml:space="preserve">4. Les cinq divergences irréductibles</w:t>
      </w:r>
    </w:p>
    <w:p>
      <w:pPr>
        <w:spacing w:after="120"/>
      </w:pPr>
      <w:r>
        <w:rPr>
          <w:rFonts w:ascii="Times New Roman" w:cs="Times New Roman" w:eastAsia="Times New Roman" w:hAnsi="Times New Roman"/>
          <w:b w:val="false"/>
          <w:bCs w:val="false"/>
          <w:i w:val="false"/>
          <w:iCs w:val="false"/>
          <w:color w:val="1F2937"/>
          <w:sz w:val="22"/>
          <w:szCs w:val="22"/>
        </w:rPr>
        <w:t xml:space="preserve">Comme le souligne Massimo Pigliucci (IEP, « Stoicism ») : le christianisme était bien plus favorable au stoïcisme qu'à son grand rival, l'épicurisme. Mais cette proximité relative ne doit pas masquer les fractures profondes :</w:t>
      </w:r>
    </w:p>
    <w:p>
      <w:pPr>
        <w:spacing w:after="10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1B3A6B"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Domaine</w:t>
            </w:r>
          </w:p>
        </w:tc>
        <w:tc>
          <w:tcPr>
            <w:shd w:fill="1B3A6B"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Stoïcisme</w:t>
            </w:r>
          </w:p>
        </w:tc>
        <w:tc>
          <w:tcPr>
            <w:shd w:fill="1B3A6B"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Christianisme</w:t>
            </w:r>
          </w:p>
        </w:tc>
      </w:tr>
      <w:tr>
        <w:tc>
          <w:tcPr>
            <w:shd w:fill="EEF2F7" w:val="clear"/>
            <w:tcMar>
              <w:top w:type="dxa" w:w="60"/>
              <w:left w:type="dxa" w:w="100"/>
              <w:bottom w:type="dxa" w:w="60"/>
              <w:right w:type="dxa" w:w="100"/>
            </w:tcMar>
          </w:tcPr>
          <w:p>
            <w:r>
              <w:rPr>
                <w:rFonts w:ascii="Times New Roman" w:cs="Times New Roman" w:eastAsia="Times New Roman" w:hAnsi="Times New Roman"/>
                <w:color w:val="1F2937"/>
                <w:sz w:val="20"/>
                <w:szCs w:val="20"/>
              </w:rPr>
              <w:t xml:space="preserve">Nature de Dieu</w:t>
            </w:r>
          </w:p>
        </w:tc>
        <w:tc>
          <w:tcPr>
            <w:shd w:fill="EEF2F7" w:val="clear"/>
            <w:tcMar>
              <w:top w:type="dxa" w:w="60"/>
              <w:left w:type="dxa" w:w="100"/>
              <w:bottom w:type="dxa" w:w="60"/>
              <w:right w:type="dxa" w:w="100"/>
            </w:tcMar>
          </w:tcPr>
          <w:p>
            <w:r>
              <w:rPr>
                <w:rFonts w:ascii="Times New Roman" w:cs="Times New Roman" w:eastAsia="Times New Roman" w:hAnsi="Times New Roman"/>
                <w:color w:val="1F2937"/>
                <w:sz w:val="20"/>
                <w:szCs w:val="20"/>
              </w:rPr>
              <w:t xml:space="preserve">Panthéisme : Dieu = cosmos (logos immanent)</w:t>
            </w:r>
          </w:p>
        </w:tc>
        <w:tc>
          <w:tcPr>
            <w:shd w:fill="EEF2F7" w:val="clear"/>
            <w:tcMar>
              <w:top w:type="dxa" w:w="60"/>
              <w:left w:type="dxa" w:w="100"/>
              <w:bottom w:type="dxa" w:w="60"/>
              <w:right w:type="dxa" w:w="100"/>
            </w:tcMar>
          </w:tcPr>
          <w:p>
            <w:r>
              <w:rPr>
                <w:rFonts w:ascii="Times New Roman" w:cs="Times New Roman" w:eastAsia="Times New Roman" w:hAnsi="Times New Roman"/>
                <w:color w:val="1F2937"/>
                <w:sz w:val="20"/>
                <w:szCs w:val="20"/>
              </w:rPr>
              <w:t xml:space="preserve">Dieu transcendant, créateur distinct de sa création</w:t>
            </w:r>
          </w:p>
        </w:tc>
      </w:tr>
      <w:tr>
        <w:tc>
          <w:tcPr>
            <w:shd w:fill="FFFFFF" w:val="clear"/>
            <w:tcMar>
              <w:top w:type="dxa" w:w="60"/>
              <w:left w:type="dxa" w:w="100"/>
              <w:bottom w:type="dxa" w:w="60"/>
              <w:right w:type="dxa" w:w="100"/>
            </w:tcMar>
          </w:tcPr>
          <w:p>
            <w:r>
              <w:rPr>
                <w:rFonts w:ascii="Times New Roman" w:cs="Times New Roman" w:eastAsia="Times New Roman" w:hAnsi="Times New Roman"/>
                <w:color w:val="1F2937"/>
                <w:sz w:val="20"/>
                <w:szCs w:val="20"/>
              </w:rPr>
              <w:t xml:space="preserve">Condition humaine</w:t>
            </w:r>
          </w:p>
        </w:tc>
        <w:tc>
          <w:tcPr>
            <w:shd w:fill="FFFFFF" w:val="clear"/>
            <w:tcMar>
              <w:top w:type="dxa" w:w="60"/>
              <w:left w:type="dxa" w:w="100"/>
              <w:bottom w:type="dxa" w:w="60"/>
              <w:right w:type="dxa" w:w="100"/>
            </w:tcMar>
          </w:tcPr>
          <w:p>
            <w:r>
              <w:rPr>
                <w:rFonts w:ascii="Times New Roman" w:cs="Times New Roman" w:eastAsia="Times New Roman" w:hAnsi="Times New Roman"/>
                <w:color w:val="1F2937"/>
                <w:sz w:val="20"/>
                <w:szCs w:val="20"/>
              </w:rPr>
              <w:t xml:space="preserve">La raison est suffisante pour la vertu</w:t>
            </w:r>
          </w:p>
        </w:tc>
        <w:tc>
          <w:tcPr>
            <w:shd w:fill="FFFFFF" w:val="clear"/>
            <w:tcMar>
              <w:top w:type="dxa" w:w="60"/>
              <w:left w:type="dxa" w:w="100"/>
              <w:bottom w:type="dxa" w:w="60"/>
              <w:right w:type="dxa" w:w="100"/>
            </w:tcMar>
          </w:tcPr>
          <w:p>
            <w:r>
              <w:rPr>
                <w:rFonts w:ascii="Times New Roman" w:cs="Times New Roman" w:eastAsia="Times New Roman" w:hAnsi="Times New Roman"/>
                <w:color w:val="1F2937"/>
                <w:sz w:val="20"/>
                <w:szCs w:val="20"/>
              </w:rPr>
              <w:t xml:space="preserve">L'homme est pécheur ; la grâce divine est nécessaire</w:t>
            </w:r>
          </w:p>
        </w:tc>
      </w:tr>
      <w:tr>
        <w:tc>
          <w:tcPr>
            <w:shd w:fill="EEF2F7" w:val="clear"/>
            <w:tcMar>
              <w:top w:type="dxa" w:w="60"/>
              <w:left w:type="dxa" w:w="100"/>
              <w:bottom w:type="dxa" w:w="60"/>
              <w:right w:type="dxa" w:w="100"/>
            </w:tcMar>
          </w:tcPr>
          <w:p>
            <w:r>
              <w:rPr>
                <w:rFonts w:ascii="Times New Roman" w:cs="Times New Roman" w:eastAsia="Times New Roman" w:hAnsi="Times New Roman"/>
                <w:color w:val="1F2937"/>
                <w:sz w:val="20"/>
                <w:szCs w:val="20"/>
              </w:rPr>
              <w:t xml:space="preserve">Les passions</w:t>
            </w:r>
          </w:p>
        </w:tc>
        <w:tc>
          <w:tcPr>
            <w:shd w:fill="EEF2F7" w:val="clear"/>
            <w:tcMar>
              <w:top w:type="dxa" w:w="60"/>
              <w:left w:type="dxa" w:w="100"/>
              <w:bottom w:type="dxa" w:w="60"/>
              <w:right w:type="dxa" w:w="100"/>
            </w:tcMar>
          </w:tcPr>
          <w:p>
            <w:r>
              <w:rPr>
                <w:rFonts w:ascii="Times New Roman" w:cs="Times New Roman" w:eastAsia="Times New Roman" w:hAnsi="Times New Roman"/>
                <w:color w:val="1F2937"/>
                <w:sz w:val="20"/>
                <w:szCs w:val="20"/>
              </w:rPr>
              <w:t xml:space="preserve">Apatheia : les passions sont des erreurs de jugement à extirper</w:t>
            </w:r>
          </w:p>
        </w:tc>
        <w:tc>
          <w:tcPr>
            <w:shd w:fill="EEF2F7" w:val="clear"/>
            <w:tcMar>
              <w:top w:type="dxa" w:w="60"/>
              <w:left w:type="dxa" w:w="100"/>
              <w:bottom w:type="dxa" w:w="60"/>
              <w:right w:type="dxa" w:w="100"/>
            </w:tcMar>
          </w:tcPr>
          <w:p>
            <w:r>
              <w:rPr>
                <w:rFonts w:ascii="Times New Roman" w:cs="Times New Roman" w:eastAsia="Times New Roman" w:hAnsi="Times New Roman"/>
                <w:color w:val="1F2937"/>
                <w:sz w:val="20"/>
                <w:szCs w:val="20"/>
              </w:rPr>
              <w:t xml:space="preserve">L'amour, le deuil, la compassion sont des vertus positives</w:t>
            </w:r>
          </w:p>
        </w:tc>
      </w:tr>
      <w:tr>
        <w:tc>
          <w:tcPr>
            <w:shd w:fill="FFFFFF" w:val="clear"/>
            <w:tcMar>
              <w:top w:type="dxa" w:w="60"/>
              <w:left w:type="dxa" w:w="100"/>
              <w:bottom w:type="dxa" w:w="60"/>
              <w:right w:type="dxa" w:w="100"/>
            </w:tcMar>
          </w:tcPr>
          <w:p>
            <w:r>
              <w:rPr>
                <w:rFonts w:ascii="Times New Roman" w:cs="Times New Roman" w:eastAsia="Times New Roman" w:hAnsi="Times New Roman"/>
                <w:color w:val="1F2937"/>
                <w:sz w:val="20"/>
                <w:szCs w:val="20"/>
              </w:rPr>
              <w:t xml:space="preserve">Le suicide</w:t>
            </w:r>
          </w:p>
        </w:tc>
        <w:tc>
          <w:tcPr>
            <w:shd w:fill="FFFFFF" w:val="clear"/>
            <w:tcMar>
              <w:top w:type="dxa" w:w="60"/>
              <w:left w:type="dxa" w:w="100"/>
              <w:bottom w:type="dxa" w:w="60"/>
              <w:right w:type="dxa" w:w="100"/>
            </w:tcMar>
          </w:tcPr>
          <w:p>
            <w:r>
              <w:rPr>
                <w:rFonts w:ascii="Times New Roman" w:cs="Times New Roman" w:eastAsia="Times New Roman" w:hAnsi="Times New Roman"/>
                <w:color w:val="1F2937"/>
                <w:sz w:val="20"/>
                <w:szCs w:val="20"/>
              </w:rPr>
              <w:t xml:space="preserve">Peut être l'acte du sage vertueux (Caton, Sénèque)</w:t>
            </w:r>
          </w:p>
        </w:tc>
        <w:tc>
          <w:tcPr>
            <w:shd w:fill="FFFFFF" w:val="clear"/>
            <w:tcMar>
              <w:top w:type="dxa" w:w="60"/>
              <w:left w:type="dxa" w:w="100"/>
              <w:bottom w:type="dxa" w:w="60"/>
              <w:right w:type="dxa" w:w="100"/>
            </w:tcMar>
          </w:tcPr>
          <w:p>
            <w:r>
              <w:rPr>
                <w:rFonts w:ascii="Times New Roman" w:cs="Times New Roman" w:eastAsia="Times New Roman" w:hAnsi="Times New Roman"/>
                <w:color w:val="1F2937"/>
                <w:sz w:val="20"/>
                <w:szCs w:val="20"/>
              </w:rPr>
              <w:t xml:space="preserve">Interdit : la vie est don de Dieu</w:t>
            </w:r>
          </w:p>
        </w:tc>
      </w:tr>
      <w:tr>
        <w:tc>
          <w:tcPr>
            <w:shd w:fill="EEF2F7" w:val="clear"/>
            <w:tcMar>
              <w:top w:type="dxa" w:w="60"/>
              <w:left w:type="dxa" w:w="100"/>
              <w:bottom w:type="dxa" w:w="60"/>
              <w:right w:type="dxa" w:w="100"/>
            </w:tcMar>
          </w:tcPr>
          <w:p>
            <w:r>
              <w:rPr>
                <w:rFonts w:ascii="Times New Roman" w:cs="Times New Roman" w:eastAsia="Times New Roman" w:hAnsi="Times New Roman"/>
                <w:color w:val="1F2937"/>
                <w:sz w:val="20"/>
                <w:szCs w:val="20"/>
              </w:rPr>
              <w:t xml:space="preserve">Le destin</w:t>
            </w:r>
          </w:p>
        </w:tc>
        <w:tc>
          <w:tcPr>
            <w:shd w:fill="EEF2F7" w:val="clear"/>
            <w:tcMar>
              <w:top w:type="dxa" w:w="60"/>
              <w:left w:type="dxa" w:w="100"/>
              <w:bottom w:type="dxa" w:w="60"/>
              <w:right w:type="dxa" w:w="100"/>
            </w:tcMar>
          </w:tcPr>
          <w:p>
            <w:r>
              <w:rPr>
                <w:rFonts w:ascii="Times New Roman" w:cs="Times New Roman" w:eastAsia="Times New Roman" w:hAnsi="Times New Roman"/>
                <w:color w:val="1F2937"/>
                <w:sz w:val="20"/>
                <w:szCs w:val="20"/>
              </w:rPr>
              <w:t xml:space="preserve">Heimarmenê déterministe : tout suit le logos universel</w:t>
            </w:r>
          </w:p>
        </w:tc>
        <w:tc>
          <w:tcPr>
            <w:shd w:fill="EEF2F7" w:val="clear"/>
            <w:tcMar>
              <w:top w:type="dxa" w:w="60"/>
              <w:left w:type="dxa" w:w="100"/>
              <w:bottom w:type="dxa" w:w="60"/>
              <w:right w:type="dxa" w:w="100"/>
            </w:tcMar>
          </w:tcPr>
          <w:p>
            <w:r>
              <w:rPr>
                <w:rFonts w:ascii="Times New Roman" w:cs="Times New Roman" w:eastAsia="Times New Roman" w:hAnsi="Times New Roman"/>
                <w:color w:val="1F2937"/>
                <w:sz w:val="20"/>
                <w:szCs w:val="20"/>
              </w:rPr>
              <w:t xml:space="preserve">Providence aimante + libre arbitre humain</w:t>
            </w:r>
          </w:p>
        </w:tc>
      </w:tr>
    </w:tbl>
    <w:p>
      <w:pPr>
        <w:spacing w:after="100"/>
      </w:pPr>
      <w:r>
        <w:t xml:space="preserve"/>
      </w:r>
    </w:p>
    <w:p>
      <w:pPr>
        <w:spacing w:after="120"/>
      </w:pPr>
      <w:r>
        <w:rPr>
          <w:rFonts w:ascii="Times New Roman" w:cs="Times New Roman" w:eastAsia="Times New Roman" w:hAnsi="Times New Roman"/>
          <w:b w:val="false"/>
          <w:bCs w:val="false"/>
          <w:i w:val="false"/>
          <w:iCs w:val="false"/>
          <w:color w:val="1F2937"/>
          <w:sz w:val="22"/>
          <w:szCs w:val="22"/>
        </w:rPr>
        <w:t xml:space="preserve">Ces cinq divergences ne sont pas des nuances : elles touchent à la structure même de chaque système. Daily Stoic, qui présente la comparaison pour un public large, le formule ainsi : on tient souvent les deux traditions pour opposées en tout, elles se recouvrent sur plusieurs points, et il subsiste pourtant entre elles plus de différences que de similitudes. Un stoïcien et un chrétien peuvent pratiquer ensemble la modération, le courage ou la justice — mais ils ne parleront pas du même Dieu, ne théoriseront pas la même faiblesse humaine, et ne s'accorderont pas sur la valeur des larmes.</w:t>
      </w:r>
      <w:r>
        <w:rPr>
          <w:rFonts w:ascii="Times New Roman" w:cs="Times New Roman" w:eastAsia="Times New Roman" w:hAnsi="Times New Roman"/>
          <w:i/>
          <w:iCs/>
          <w:color w:val="6B7280"/>
          <w:sz w:val="20"/>
          <w:szCs w:val="20"/>
        </w:rPr>
        <w:t xml:space="preserve"> [Ajouté le 01/10/2026 : Daily Stoic était listé en ressources sans que rien du corps n'en vienne.]</w:t>
      </w:r>
    </w:p>
    <w:p>
      <w:pPr>
        <w:spacing w:after="100"/>
      </w:pPr>
      <w:r>
        <w:t xml:space="preserve"/>
      </w:r>
    </w:p>
    <w:p>
      <w:pPr>
        <w:pStyle w:val="Heading3"/>
        <w:spacing w:after="80" w:before="180"/>
      </w:pPr>
      <w:r>
        <w:rPr>
          <w:rFonts w:ascii="Times New Roman" w:cs="Times New Roman" w:eastAsia="Times New Roman" w:hAnsi="Times New Roman"/>
          <w:b/>
          <w:bCs/>
          <w:color w:val="1F2937"/>
          <w:sz w:val="26"/>
          <w:szCs w:val="26"/>
        </w:rPr>
        <w:t xml:space="preserve">5. Le Néo-stoïcisme (XVIe-XVIIe siècle) : la synthèse revendiquée</w:t>
      </w:r>
    </w:p>
    <w:p>
      <w:pPr>
        <w:spacing w:after="120"/>
      </w:pPr>
      <w:r>
        <w:rPr>
          <w:rFonts w:ascii="Times New Roman" w:cs="Times New Roman" w:eastAsia="Times New Roman" w:hAnsi="Times New Roman"/>
          <w:b w:val="false"/>
          <w:bCs w:val="false"/>
          <w:i w:val="false"/>
          <w:iCs w:val="false"/>
          <w:color w:val="1F2937"/>
          <w:sz w:val="22"/>
          <w:szCs w:val="22"/>
        </w:rPr>
        <w:t xml:space="preserve">Justus Lipsius (1547-1606), humaniste flamand, est l'architecte du néo-stoïcisme. Son opus majeur, le De Constantia (1584), argumente que les chrétiens peuvent puiser dans les ressources stoïciennes en temps de troubles — notamment la patience, l'équanimité et la maîtrise des émotions — tout en identifiant explicitement les points d'incompatibilité doctrinale. Il publie également des éditions critiques de Sénèque et Tacite qui renouvellent l'accès aux textes.</w:t>
      </w:r>
    </w:p>
    <w:p>
      <w:pPr>
        <w:spacing w:after="120"/>
      </w:pPr>
      <w:r>
        <w:rPr>
          <w:rFonts w:ascii="Times New Roman" w:cs="Times New Roman" w:eastAsia="Times New Roman" w:hAnsi="Times New Roman"/>
          <w:b w:val="false"/>
          <w:bCs w:val="false"/>
          <w:i w:val="false"/>
          <w:iCs w:val="false"/>
          <w:color w:val="1F2937"/>
          <w:sz w:val="22"/>
          <w:szCs w:val="22"/>
        </w:rPr>
        <w:t xml:space="preserve">Ses contemporains néo-stoïciens : le juriste et homme d'État Guillaume Du Vair, le théologien Pierre Charron, l'écrivain espagnol Francisco de Quevedo, et surtout Michel de Montaigne, qui consacre un essai à la défense de Sénèque — selon Massimo Pigliucci (IEP).</w:t>
      </w:r>
    </w:p>
    <w:p>
      <w:pPr>
        <w:spacing w:after="120"/>
      </w:pPr>
      <w:r>
        <w:rPr>
          <w:rFonts w:ascii="Times New Roman" w:cs="Times New Roman" w:eastAsia="Times New Roman" w:hAnsi="Times New Roman"/>
          <w:b w:val="false"/>
          <w:bCs w:val="false"/>
          <w:i w:val="false"/>
          <w:iCs w:val="false"/>
          <w:color w:val="1F2937"/>
          <w:sz w:val="22"/>
          <w:szCs w:val="22"/>
        </w:rPr>
        <w:t xml:space="preserve">La postérité intellectuelle est considérable : selon Massimo Pigliucci (IEP), l'influence du stoïcisme sur Descartes, Spinoza, Leibniz et Kant est diffuse et largement méconnue de ceux qui en sont les héritiers ; Cochran (SAET) élargit la liste à Shaftesbury, Rousseau et Adam Smith. La notion kantienne de devoir (impératif catégorique) doit beaucoup au kathêkon stoïcien — même si Kant ne s'en réclame pas.</w:t>
      </w:r>
      <w:r>
        <w:rPr>
          <w:rFonts w:ascii="Times New Roman" w:cs="Times New Roman" w:eastAsia="Times New Roman" w:hAnsi="Times New Roman"/>
          <w:i/>
          <w:iCs/>
          <w:color w:val="6B7280"/>
          <w:sz w:val="20"/>
          <w:szCs w:val="20"/>
        </w:rPr>
        <w:t xml:space="preserve"> [Corrigé le 01/10/2026 : attribué à la SEP, qui ne nomme ni Descartes, ni Spinoza, ni Leibniz ; les quatre noms sont sur IEP.]</w:t>
      </w:r>
    </w:p>
    <w:p>
      <w:pPr>
        <w:spacing w:after="100"/>
      </w:pPr>
      <w:r>
        <w:t xml:space="preserve"/>
      </w:r>
    </w:p>
    <w:p>
      <w:pPr>
        <w:pStyle w:val="Heading2"/>
        <w:spacing w:after="120" w:before="280"/>
      </w:pPr>
      <w:r>
        <w:rPr>
          <w:rFonts w:ascii="Times New Roman" w:cs="Times New Roman" w:eastAsia="Times New Roman" w:hAnsi="Times New Roman"/>
          <w:b/>
          <w:bCs/>
          <w:color w:val="1B3A6B"/>
          <w:sz w:val="30"/>
          <w:szCs w:val="30"/>
        </w:rPr>
        <w:t xml:space="preserve">🛠️ Pratique (80 %)</w:t>
      </w:r>
    </w:p>
    <w:p>
      <w:pPr>
        <w:pStyle w:val="Heading3"/>
        <w:spacing w:after="80" w:before="180"/>
      </w:pPr>
      <w:r>
        <w:rPr>
          <w:rFonts w:ascii="Times New Roman" w:cs="Times New Roman" w:eastAsia="Times New Roman" w:hAnsi="Times New Roman"/>
          <w:b/>
          <w:bCs/>
          <w:color w:val="1F2937"/>
          <w:sz w:val="26"/>
          <w:szCs w:val="26"/>
        </w:rPr>
        <w:t xml:space="preserve">Exercice 1 — Carte des emprunts et des rejets</w:t>
      </w:r>
    </w:p>
    <w:p>
      <w:pPr>
        <w:spacing w:after="120"/>
      </w:pPr>
      <w:r>
        <w:rPr>
          <w:rFonts w:ascii="Times New Roman" w:cs="Times New Roman" w:eastAsia="Times New Roman" w:hAnsi="Times New Roman"/>
          <w:b w:val="false"/>
          <w:bCs w:val="false"/>
          <w:i w:val="false"/>
          <w:iCs w:val="false"/>
          <w:color w:val="1F2937"/>
          <w:sz w:val="22"/>
          <w:szCs w:val="22"/>
        </w:rPr>
        <w:t xml:space="preserve">Durée estimée : 25 min.</w:t>
      </w:r>
    </w:p>
    <w:p>
      <w:pPr>
        <w:spacing w:after="120"/>
      </w:pPr>
      <w:r>
        <w:rPr>
          <w:rFonts w:ascii="Times New Roman" w:cs="Times New Roman" w:eastAsia="Times New Roman" w:hAnsi="Times New Roman"/>
          <w:b w:val="false"/>
          <w:bCs w:val="false"/>
          <w:i w:val="false"/>
          <w:iCs w:val="false"/>
          <w:color w:val="1F2937"/>
          <w:sz w:val="22"/>
          <w:szCs w:val="22"/>
        </w:rPr>
        <w:t xml:space="preserve">Construis un tableau à trois colonnes :</w:t>
      </w:r>
    </w:p>
    <w:p>
      <w:pPr>
        <w:pStyle w:val="ListParagraph"/>
        <w:numPr>
          <w:ilvl w:val="0"/>
          <w:numId w:val="1"/>
        </w:numPr>
        <w:spacing w:after="80"/>
      </w:pPr>
      <w:r>
        <w:rPr>
          <w:rFonts w:ascii="Times New Roman" w:cs="Times New Roman" w:eastAsia="Times New Roman" w:hAnsi="Times New Roman"/>
          <w:b w:val="false"/>
          <w:bCs w:val="false"/>
          <w:color w:val="1F2937"/>
          <w:sz w:val="22"/>
          <w:szCs w:val="22"/>
        </w:rPr>
        <w:t xml:space="preserve">Colonne 1 : Concept stoïcien (avec sa définition en une phrase)</w:t>
      </w:r>
    </w:p>
    <w:p>
      <w:pPr>
        <w:pStyle w:val="ListParagraph"/>
        <w:numPr>
          <w:ilvl w:val="0"/>
          <w:numId w:val="1"/>
        </w:numPr>
        <w:spacing w:after="80"/>
      </w:pPr>
      <w:r>
        <w:rPr>
          <w:rFonts w:ascii="Times New Roman" w:cs="Times New Roman" w:eastAsia="Times New Roman" w:hAnsi="Times New Roman"/>
          <w:b w:val="false"/>
          <w:bCs w:val="false"/>
          <w:color w:val="1F2937"/>
          <w:sz w:val="22"/>
          <w:szCs w:val="22"/>
        </w:rPr>
        <w:t xml:space="preserve">Colonne 2 : Ce que le christianisme en a retenu (à quelle condition, avec quels ajustements)</w:t>
      </w:r>
    </w:p>
    <w:p>
      <w:pPr>
        <w:pStyle w:val="ListParagraph"/>
        <w:numPr>
          <w:ilvl w:val="0"/>
          <w:numId w:val="1"/>
        </w:numPr>
        <w:spacing w:after="80"/>
      </w:pPr>
      <w:r>
        <w:rPr>
          <w:rFonts w:ascii="Times New Roman" w:cs="Times New Roman" w:eastAsia="Times New Roman" w:hAnsi="Times New Roman"/>
          <w:b w:val="false"/>
          <w:bCs w:val="false"/>
          <w:color w:val="1F2937"/>
          <w:sz w:val="22"/>
          <w:szCs w:val="22"/>
        </w:rPr>
        <w:t xml:space="preserve">Colonne 3 : Ce que le christianisme en a rejeté (pour quelle raison doctrinale)</w:t>
      </w:r>
    </w:p>
    <w:p>
      <w:pPr>
        <w:spacing w:after="120"/>
      </w:pPr>
      <w:r>
        <w:rPr>
          <w:rFonts w:ascii="Times New Roman" w:cs="Times New Roman" w:eastAsia="Times New Roman" w:hAnsi="Times New Roman"/>
          <w:b w:val="false"/>
          <w:bCs w:val="false"/>
          <w:i w:val="false"/>
          <w:iCs w:val="false"/>
          <w:color w:val="1F2937"/>
          <w:sz w:val="22"/>
          <w:szCs w:val="22"/>
        </w:rPr>
        <w:t xml:space="preserve">Travaille sur au moins cinq concepts : Logos, droit naturel, apatheia, providence, oikeiôsis. Pour chacun, cite au moins un texte ou un auteur chrétien qui illustre l'emprunt ou le rejet. Appuie-toi sur les leçons 2 à 7 de ce parcours et sur les ressources ci-dessous.</w:t>
      </w:r>
    </w:p>
    <w:p>
      <w:pPr>
        <w:spacing w:after="100"/>
      </w:pPr>
      <w:r>
        <w:t xml:space="preserve"/>
      </w:r>
    </w:p>
    <w:p>
      <w:pPr>
        <w:pStyle w:val="Heading3"/>
        <w:spacing w:after="80" w:before="180"/>
      </w:pPr>
      <w:r>
        <w:rPr>
          <w:rFonts w:ascii="Times New Roman" w:cs="Times New Roman" w:eastAsia="Times New Roman" w:hAnsi="Times New Roman"/>
          <w:b/>
          <w:bCs/>
          <w:color w:val="1F2937"/>
          <w:sz w:val="26"/>
          <w:szCs w:val="26"/>
        </w:rPr>
        <w:t xml:space="preserve">Exercice 2 — Dialogue imaginaire Paul et Sénèque (journal stoïcien)</w:t>
      </w:r>
    </w:p>
    <w:p>
      <w:pPr>
        <w:spacing w:after="120"/>
      </w:pPr>
      <w:r>
        <w:rPr>
          <w:rFonts w:ascii="Times New Roman" w:cs="Times New Roman" w:eastAsia="Times New Roman" w:hAnsi="Times New Roman"/>
          <w:b w:val="false"/>
          <w:bCs w:val="false"/>
          <w:i w:val="false"/>
          <w:iCs w:val="false"/>
          <w:color w:val="1F2937"/>
          <w:sz w:val="22"/>
          <w:szCs w:val="22"/>
        </w:rPr>
        <w:t xml:space="preserve">Durée estimée : 35 min.</w:t>
      </w:r>
    </w:p>
    <w:p>
      <w:pPr>
        <w:spacing w:after="120"/>
      </w:pPr>
      <w:r>
        <w:rPr>
          <w:rFonts w:ascii="Times New Roman" w:cs="Times New Roman" w:eastAsia="Times New Roman" w:hAnsi="Times New Roman"/>
          <w:b w:val="false"/>
          <w:bCs w:val="false"/>
          <w:i w:val="false"/>
          <w:iCs w:val="false"/>
          <w:color w:val="1F2937"/>
          <w:sz w:val="22"/>
          <w:szCs w:val="22"/>
        </w:rPr>
        <w:t xml:space="preserve">Paul de Tarse et Sénèque sont contemporains (Paul à Rome vers 57-60 apr. J.-C., Sénèque précepteur de Néron jusqu'en 62). Une correspondance apocryphe entre eux circule depuis l'Antiquité — signe que leurs contemporains trouvaient la rencontre intellectuellement plausible.</w:t>
      </w:r>
    </w:p>
    <w:p>
      <w:pPr>
        <w:spacing w:after="120"/>
      </w:pPr>
      <w:r>
        <w:rPr>
          <w:rFonts w:ascii="Times New Roman" w:cs="Times New Roman" w:eastAsia="Times New Roman" w:hAnsi="Times New Roman"/>
          <w:b w:val="false"/>
          <w:bCs w:val="false"/>
          <w:i w:val="false"/>
          <w:iCs w:val="false"/>
          <w:color w:val="1F2937"/>
          <w:sz w:val="22"/>
          <w:szCs w:val="22"/>
        </w:rPr>
        <w:t xml:space="preserve">Écris un échange de deux lettres (une de chacun) autour de cette question : « Que faire des passions ? »</w:t>
      </w:r>
    </w:p>
    <w:p>
      <w:pPr>
        <w:pStyle w:val="ListParagraph"/>
        <w:numPr>
          <w:ilvl w:val="0"/>
          <w:numId w:val="1"/>
        </w:numPr>
        <w:spacing w:after="80"/>
      </w:pPr>
      <w:r>
        <w:rPr>
          <w:rFonts w:ascii="Times New Roman" w:cs="Times New Roman" w:eastAsia="Times New Roman" w:hAnsi="Times New Roman"/>
          <w:b w:val="false"/>
          <w:bCs w:val="false"/>
          <w:color w:val="1F2937"/>
          <w:sz w:val="22"/>
          <w:szCs w:val="22"/>
        </w:rPr>
        <w:t xml:space="preserve">Paul : s'appuie sur l'idée chrétienne que les passions peuvent être orientées vers Dieu (l'amour, la tristesse du péché, la joie spirituelle sont des vertus)</w:t>
      </w:r>
    </w:p>
    <w:p>
      <w:pPr>
        <w:pStyle w:val="ListParagraph"/>
        <w:numPr>
          <w:ilvl w:val="0"/>
          <w:numId w:val="1"/>
        </w:numPr>
        <w:spacing w:after="80"/>
      </w:pPr>
      <w:r>
        <w:rPr>
          <w:rFonts w:ascii="Times New Roman" w:cs="Times New Roman" w:eastAsia="Times New Roman" w:hAnsi="Times New Roman"/>
          <w:b w:val="false"/>
          <w:bCs w:val="false"/>
          <w:color w:val="1F2937"/>
          <w:sz w:val="22"/>
          <w:szCs w:val="22"/>
        </w:rPr>
        <w:t xml:space="preserve">Sénèque : défend l'apatheia stoïcienne — les passions ne sont pas à orienter mais à éradiquer, car elles sont des erreurs de jugement</w:t>
      </w:r>
    </w:p>
    <w:p>
      <w:pPr>
        <w:spacing w:after="120"/>
      </w:pPr>
      <w:r>
        <w:rPr>
          <w:rFonts w:ascii="Times New Roman" w:cs="Times New Roman" w:eastAsia="Times New Roman" w:hAnsi="Times New Roman"/>
          <w:b w:val="false"/>
          <w:bCs w:val="false"/>
          <w:i w:val="false"/>
          <w:iCs w:val="false"/>
          <w:color w:val="1F2937"/>
          <w:sz w:val="22"/>
          <w:szCs w:val="22"/>
        </w:rPr>
        <w:t xml:space="preserve">Consigne : reste fidèle à ce que tu sais de chacun (Sénèque via les leçons 6 et 7, Paul via sa propre culture hellénistique). Après l'échange, écris trois lignes : qui t'a semblé le plus convaincant, et pourquoi ?</w:t>
      </w:r>
    </w:p>
    <w:p>
      <w:pPr>
        <w:spacing w:after="100"/>
      </w:pPr>
      <w:r>
        <w:t xml:space="preserve"/>
      </w:r>
    </w:p>
    <w:p>
      <w:pPr>
        <w:pStyle w:val="Heading3"/>
        <w:spacing w:after="80" w:before="180"/>
      </w:pPr>
      <w:r>
        <w:rPr>
          <w:rFonts w:ascii="Times New Roman" w:cs="Times New Roman" w:eastAsia="Times New Roman" w:hAnsi="Times New Roman"/>
          <w:b/>
          <w:bCs/>
          <w:color w:val="1F2937"/>
          <w:sz w:val="26"/>
          <w:szCs w:val="26"/>
        </w:rPr>
        <w:t xml:space="preserve">Exercice 3 — Les divergences dans ma vie</w:t>
      </w:r>
    </w:p>
    <w:p>
      <w:pPr>
        <w:spacing w:after="120"/>
      </w:pPr>
      <w:r>
        <w:rPr>
          <w:rFonts w:ascii="Times New Roman" w:cs="Times New Roman" w:eastAsia="Times New Roman" w:hAnsi="Times New Roman"/>
          <w:b w:val="false"/>
          <w:bCs w:val="false"/>
          <w:i w:val="false"/>
          <w:iCs w:val="false"/>
          <w:color w:val="1F2937"/>
          <w:sz w:val="22"/>
          <w:szCs w:val="22"/>
        </w:rPr>
        <w:t xml:space="preserve">Durée estimée : 20 min.</w:t>
      </w:r>
    </w:p>
    <w:p>
      <w:pPr>
        <w:spacing w:after="120"/>
      </w:pPr>
      <w:r>
        <w:rPr>
          <w:rFonts w:ascii="Times New Roman" w:cs="Times New Roman" w:eastAsia="Times New Roman" w:hAnsi="Times New Roman"/>
          <w:b w:val="false"/>
          <w:bCs w:val="false"/>
          <w:i w:val="false"/>
          <w:iCs w:val="false"/>
          <w:color w:val="1F2937"/>
          <w:sz w:val="22"/>
          <w:szCs w:val="22"/>
        </w:rPr>
        <w:t xml:space="preserve">Pour chacune des cinq divergences du tableau ci-dessus, note une situation personnelle récente (ou un scénario plausible) où les deux approches auraient conduit à des attitudes différentes.</w:t>
      </w:r>
    </w:p>
    <w:p>
      <w:pPr>
        <w:spacing w:after="120"/>
      </w:pPr>
      <w:r>
        <w:rPr>
          <w:rFonts w:ascii="Times New Roman" w:cs="Times New Roman" w:eastAsia="Times New Roman" w:hAnsi="Times New Roman"/>
          <w:b w:val="false"/>
          <w:bCs w:val="false"/>
          <w:i w:val="false"/>
          <w:iCs w:val="false"/>
          <w:color w:val="1F2937"/>
          <w:sz w:val="22"/>
          <w:szCs w:val="22"/>
        </w:rPr>
        <w:t xml:space="preserve">Format : une ligne par divergence.</w:t>
      </w:r>
    </w:p>
    <w:p>
      <w:pPr>
        <w:pStyle w:val="ListParagraph"/>
        <w:numPr>
          <w:ilvl w:val="0"/>
          <w:numId w:val="1"/>
        </w:numPr>
        <w:spacing w:after="80"/>
      </w:pPr>
      <w:r>
        <w:rPr>
          <w:rFonts w:ascii="Times New Roman" w:cs="Times New Roman" w:eastAsia="Times New Roman" w:hAnsi="Times New Roman"/>
          <w:b w:val="false"/>
          <w:bCs w:val="false"/>
          <w:color w:val="1F2937"/>
          <w:sz w:val="22"/>
          <w:szCs w:val="22"/>
        </w:rPr>
        <w:t xml:space="preserve">Nature de Dieu : face à un événement qui m'échappe totalement, l'attitude stoïcienne est…  L'attitude chrétienne (ou celle d'une tradition qui pose un Dieu personnel) est…</w:t>
      </w:r>
    </w:p>
    <w:p>
      <w:pPr>
        <w:pStyle w:val="ListParagraph"/>
        <w:numPr>
          <w:ilvl w:val="0"/>
          <w:numId w:val="1"/>
        </w:numPr>
        <w:spacing w:after="80"/>
      </w:pPr>
      <w:r>
        <w:rPr>
          <w:rFonts w:ascii="Times New Roman" w:cs="Times New Roman" w:eastAsia="Times New Roman" w:hAnsi="Times New Roman"/>
          <w:b w:val="false"/>
          <w:bCs w:val="false"/>
          <w:color w:val="1F2937"/>
          <w:sz w:val="22"/>
          <w:szCs w:val="22"/>
        </w:rPr>
        <w:t xml:space="preserve">Condition humaine : quand je commets une erreur grave, l'explication stoïcienne est…  l'explication chrétienne est…</w:t>
      </w:r>
    </w:p>
    <w:p>
      <w:pPr>
        <w:pStyle w:val="ListParagraph"/>
        <w:numPr>
          <w:ilvl w:val="0"/>
          <w:numId w:val="1"/>
        </w:numPr>
        <w:spacing w:after="80"/>
      </w:pPr>
      <w:r>
        <w:rPr>
          <w:rFonts w:ascii="Times New Roman" w:cs="Times New Roman" w:eastAsia="Times New Roman" w:hAnsi="Times New Roman"/>
          <w:b w:val="false"/>
          <w:bCs w:val="false"/>
          <w:color w:val="1F2937"/>
          <w:sz w:val="22"/>
          <w:szCs w:val="22"/>
        </w:rPr>
        <w:t xml:space="preserve">Les passions : face au deuil d'un proche, la posture stoïcienne idéale est… La posture chrétienne est…</w:t>
      </w:r>
    </w:p>
    <w:p>
      <w:pPr>
        <w:pStyle w:val="ListParagraph"/>
        <w:numPr>
          <w:ilvl w:val="0"/>
          <w:numId w:val="1"/>
        </w:numPr>
        <w:spacing w:after="80"/>
      </w:pPr>
      <w:r>
        <w:rPr>
          <w:rFonts w:ascii="Times New Roman" w:cs="Times New Roman" w:eastAsia="Times New Roman" w:hAnsi="Times New Roman"/>
          <w:b w:val="false"/>
          <w:bCs w:val="false"/>
          <w:color w:val="1F2937"/>
          <w:sz w:val="22"/>
          <w:szCs w:val="22"/>
        </w:rPr>
        <w:t xml:space="preserve">Le suicide : comment chaque tradition aborde-t-elle la souffrance insupportable ?</w:t>
      </w:r>
    </w:p>
    <w:p>
      <w:pPr>
        <w:pStyle w:val="ListParagraph"/>
        <w:numPr>
          <w:ilvl w:val="0"/>
          <w:numId w:val="1"/>
        </w:numPr>
        <w:spacing w:after="80"/>
      </w:pPr>
      <w:r>
        <w:rPr>
          <w:rFonts w:ascii="Times New Roman" w:cs="Times New Roman" w:eastAsia="Times New Roman" w:hAnsi="Times New Roman"/>
          <w:b w:val="false"/>
          <w:bCs w:val="false"/>
          <w:color w:val="1F2937"/>
          <w:sz w:val="22"/>
          <w:szCs w:val="22"/>
        </w:rPr>
        <w:t xml:space="preserve">Le destin : comment lis-tu un enchaînement d'événements sur lequel tu n'as eu aucune prise ?</w:t>
      </w:r>
    </w:p>
    <w:p>
      <w:pPr>
        <w:spacing w:after="120"/>
      </w:pPr>
      <w:r>
        <w:rPr>
          <w:rFonts w:ascii="Times New Roman" w:cs="Times New Roman" w:eastAsia="Times New Roman" w:hAnsi="Times New Roman"/>
          <w:b w:val="false"/>
          <w:bCs w:val="false"/>
          <w:i w:val="false"/>
          <w:iCs w:val="false"/>
          <w:color w:val="1F2937"/>
          <w:sz w:val="22"/>
          <w:szCs w:val="22"/>
        </w:rPr>
        <w:t xml:space="preserve">Conclus par : quelle divergence te semble la plus pertinente pour ta pratique personnelle ? Pourquoi ?</w:t>
      </w:r>
    </w:p>
    <w:p>
      <w:pPr>
        <w:spacing w:after="100"/>
      </w:pPr>
      <w:r>
        <w:t xml:space="preserve"/>
      </w:r>
    </w:p>
    <w:p>
      <w:pPr>
        <w:pStyle w:val="Heading2"/>
        <w:spacing w:after="120" w:before="280"/>
      </w:pPr>
      <w:r>
        <w:rPr>
          <w:rFonts w:ascii="Times New Roman" w:cs="Times New Roman" w:eastAsia="Times New Roman" w:hAnsi="Times New Roman"/>
          <w:b/>
          <w:bCs/>
          <w:color w:val="1B3A6B"/>
          <w:sz w:val="30"/>
          <w:szCs w:val="30"/>
        </w:rPr>
        <w:t xml:space="preserve">🎯 Challenge — L'Enchiridion christianisé</w:t>
      </w:r>
    </w:p>
    <w:p>
      <w:pPr>
        <w:spacing w:after="120"/>
      </w:pPr>
      <w:r>
        <w:rPr>
          <w:rFonts w:ascii="Times New Roman" w:cs="Times New Roman" w:eastAsia="Times New Roman" w:hAnsi="Times New Roman"/>
          <w:b w:val="false"/>
          <w:bCs w:val="false"/>
          <w:i w:val="false"/>
          <w:iCs w:val="false"/>
          <w:color w:val="1F2937"/>
          <w:sz w:val="22"/>
          <w:szCs w:val="22"/>
        </w:rPr>
        <w:t xml:space="preserve">Durée estimée : 40 min.</w:t>
      </w:r>
    </w:p>
    <w:p>
      <w:pPr>
        <w:spacing w:after="120"/>
      </w:pPr>
      <w:r>
        <w:rPr>
          <w:rFonts w:ascii="Times New Roman" w:cs="Times New Roman" w:eastAsia="Times New Roman" w:hAnsi="Times New Roman"/>
          <w:b w:val="false"/>
          <w:bCs w:val="false"/>
          <w:i w:val="false"/>
          <w:iCs w:val="false"/>
          <w:color w:val="1F2937"/>
          <w:sz w:val="22"/>
          <w:szCs w:val="22"/>
        </w:rPr>
        <w:t xml:space="preserve">Des versions de l'Enchiridion d'Épictète étaient couramment utilisées dans les monastères, Paul y remplaçant Socrate comme figure exemplaire (Pigliucci, IEP). L'exercice de cette substitution est lui-même instructif.</w:t>
      </w:r>
      <w:r>
        <w:rPr>
          <w:rFonts w:ascii="Times New Roman" w:cs="Times New Roman" w:eastAsia="Times New Roman" w:hAnsi="Times New Roman"/>
          <w:i/>
          <w:iCs/>
          <w:color w:val="6B7280"/>
          <w:sz w:val="20"/>
          <w:szCs w:val="20"/>
        </w:rPr>
        <w:t xml:space="preserve"> [Corrigé le 01/10/2026 : « à trois reprises » n'est avancé par aucune des sources de la leçon.]</w:t>
      </w:r>
    </w:p>
    <w:p>
      <w:pPr>
        <w:spacing w:after="120"/>
      </w:pPr>
      <w:r>
        <w:rPr>
          <w:rFonts w:ascii="Times New Roman" w:cs="Times New Roman" w:eastAsia="Times New Roman" w:hAnsi="Times New Roman"/>
          <w:b w:val="false"/>
          <w:bCs w:val="false"/>
          <w:i w:val="false"/>
          <w:iCs w:val="false"/>
          <w:color w:val="1F2937"/>
          <w:sz w:val="22"/>
          <w:szCs w:val="22"/>
        </w:rPr>
        <w:t xml:space="preserve">Reprends trois maximes de l'Enchiridion (texte en leçon 4 et accessible sur </w:t>
      </w:r>
    </w:p>
    <w:p>
      <w:pPr>
        <w:spacing w:after="120"/>
      </w:pPr>
      <w:r>
        <w:rPr>
          <w:rFonts w:ascii="Times New Roman" w:cs="Times New Roman" w:eastAsia="Times New Roman" w:hAnsi="Times New Roman"/>
          <w:b w:val="false"/>
          <w:bCs w:val="false"/>
          <w:i w:val="false"/>
          <w:iCs w:val="false"/>
          <w:color w:val="1F2937"/>
          <w:sz w:val="22"/>
          <w:szCs w:val="22"/>
        </w:rPr>
        <w:t xml:space="preserve">le </w:t>
      </w:r>
      <w:hyperlink w:history="1" r:id="rIdafdqsrgmv1xrnq8cgw2wf">
        <w:r>
          <w:rPr>
            <w:rFonts w:ascii="Times New Roman" w:cs="Times New Roman" w:eastAsia="Times New Roman" w:hAnsi="Times New Roman"/>
            <w:color w:val="1155CC"/>
            <w:sz w:val="22"/>
            <w:szCs w:val="22"/>
            <w:u w:val="single"/>
          </w:rPr>
          <w:t xml:space="preserve">texte intégral MIT</w:t>
        </w:r>
      </w:hyperlink>
      <w:r>
        <w:rPr>
          <w:rFonts w:ascii="Times New Roman" w:cs="Times New Roman" w:eastAsia="Times New Roman" w:hAnsi="Times New Roman"/>
          <w:b w:val="false"/>
          <w:bCs w:val="false"/>
          <w:i w:val="false"/>
          <w:iCs w:val="false"/>
          <w:color w:val="1F2937"/>
          <w:sz w:val="22"/>
          <w:szCs w:val="22"/>
        </w:rPr>
        <w:t xml:space="preserve">) et propose pour chacune une version christianisée.</w:t>
      </w:r>
    </w:p>
    <w:p>
      <w:pPr>
        <w:spacing w:after="120"/>
      </w:pPr>
      <w:r>
        <w:rPr>
          <w:rFonts w:ascii="Times New Roman" w:cs="Times New Roman" w:eastAsia="Times New Roman" w:hAnsi="Times New Roman"/>
          <w:b w:val="false"/>
          <w:bCs w:val="false"/>
          <w:i w:val="false"/>
          <w:iCs w:val="false"/>
          <w:color w:val="1F2937"/>
          <w:sz w:val="22"/>
          <w:szCs w:val="22"/>
        </w:rPr>
        <w:t xml:space="preserve">Méthode, en deux temps. ① La substitution documentée : là où Épictète invoque Socrate comme modèle, mets Paul — c'est celle que les monastères pratiquaient. ② La substitution que la leçon te propose d'essayer, et qui n'est pas attestée comme telle : remplace « Zeus », « le dieu », « la Nature » ou « le Logos » par « Dieu » ou « le Christ ». Ajuste les formulations qui en découlent, et note laquelle des deux résiste le mieux.</w:t>
      </w:r>
      <w:r>
        <w:rPr>
          <w:rFonts w:ascii="Times New Roman" w:cs="Times New Roman" w:eastAsia="Times New Roman" w:hAnsi="Times New Roman"/>
          <w:i/>
          <w:iCs/>
          <w:color w:val="6B7280"/>
          <w:sz w:val="20"/>
          <w:szCs w:val="20"/>
        </w:rPr>
        <w:t xml:space="preserve"> [Corrigé le 01/10/2026 : la méthode donnait pour documentée une substitution (Zeus → Dieu) que la source ne décrit pas ; la source décrit Paul à la place de Socrate. Les deux sont désormais distinguées.]</w:t>
      </w:r>
    </w:p>
    <w:p>
      <w:pPr>
        <w:spacing w:after="120"/>
      </w:pPr>
      <w:r>
        <w:rPr>
          <w:rFonts w:ascii="Times New Roman" w:cs="Times New Roman" w:eastAsia="Times New Roman" w:hAnsi="Times New Roman"/>
          <w:b w:val="false"/>
          <w:bCs w:val="false"/>
          <w:i w:val="false"/>
          <w:iCs w:val="false"/>
          <w:color w:val="1F2937"/>
          <w:sz w:val="22"/>
          <w:szCs w:val="22"/>
        </w:rPr>
        <w:t xml:space="preserve">Puis analyse, pour chaque maxime :</w:t>
      </w:r>
    </w:p>
    <w:p>
      <w:pPr>
        <w:pStyle w:val="ListParagraph"/>
        <w:numPr>
          <w:ilvl w:val="0"/>
          <w:numId w:val="1"/>
        </w:numPr>
        <w:spacing w:after="80"/>
      </w:pPr>
      <w:r>
        <w:rPr>
          <w:rFonts w:ascii="Times New Roman" w:cs="Times New Roman" w:eastAsia="Times New Roman" w:hAnsi="Times New Roman"/>
          <w:b w:val="false"/>
          <w:bCs w:val="false"/>
          <w:color w:val="1F2937"/>
          <w:sz w:val="22"/>
          <w:szCs w:val="22"/>
        </w:rPr>
        <w:t xml:space="preserve">La substitution passe-t-elle sans problème ? Pourquoi ?</w:t>
      </w:r>
    </w:p>
    <w:p>
      <w:pPr>
        <w:pStyle w:val="ListParagraph"/>
        <w:numPr>
          <w:ilvl w:val="0"/>
          <w:numId w:val="1"/>
        </w:numPr>
        <w:spacing w:after="80"/>
      </w:pPr>
      <w:r>
        <w:rPr>
          <w:rFonts w:ascii="Times New Roman" w:cs="Times New Roman" w:eastAsia="Times New Roman" w:hAnsi="Times New Roman"/>
          <w:b w:val="false"/>
          <w:bCs w:val="false"/>
          <w:color w:val="1F2937"/>
          <w:sz w:val="22"/>
          <w:szCs w:val="22"/>
        </w:rPr>
        <w:t xml:space="preserve">Ou bute-t-elle sur une incompatibilité doctrinale (matérialisme, autosuffisance, absence de grâce) ? Laquelle ?</w:t>
      </w:r>
    </w:p>
    <w:p>
      <w:pPr>
        <w:pStyle w:val="ListParagraph"/>
        <w:numPr>
          <w:ilvl w:val="0"/>
          <w:numId w:val="1"/>
        </w:numPr>
        <w:spacing w:after="80"/>
      </w:pPr>
      <w:r>
        <w:rPr>
          <w:rFonts w:ascii="Times New Roman" w:cs="Times New Roman" w:eastAsia="Times New Roman" w:hAnsi="Times New Roman"/>
          <w:b w:val="false"/>
          <w:bCs w:val="false"/>
          <w:color w:val="1F2937"/>
          <w:sz w:val="22"/>
          <w:szCs w:val="22"/>
        </w:rPr>
        <w:t xml:space="preserve">Qu'est-ce que cet exercice t'apprend sur ce que le stoïcisme et le christianisme partagent vraiment — et sur ce qui les sépare en profondeur ?</w:t>
      </w:r>
    </w:p>
    <w:p>
      <w:pPr>
        <w:spacing w:after="100"/>
      </w:pPr>
      <w:r>
        <w:t xml:space="preserve"/>
      </w:r>
    </w:p>
    <w:p>
      <w:pPr>
        <w:pStyle w:val="Heading2"/>
        <w:spacing w:after="120" w:before="280"/>
      </w:pPr>
      <w:r>
        <w:rPr>
          <w:rFonts w:ascii="Times New Roman" w:cs="Times New Roman" w:eastAsia="Times New Roman" w:hAnsi="Times New Roman"/>
          <w:b/>
          <w:bCs/>
          <w:color w:val="1B3A6B"/>
          <w:sz w:val="30"/>
          <w:szCs w:val="30"/>
        </w:rPr>
        <w:t xml:space="preserve">🌉 Pont pro</w:t>
      </w:r>
    </w:p>
    <w:p>
      <w:pPr>
        <w:spacing w:after="120"/>
      </w:pPr>
      <w:r>
        <w:rPr>
          <w:rFonts w:ascii="Times New Roman" w:cs="Times New Roman" w:eastAsia="Times New Roman" w:hAnsi="Times New Roman"/>
          <w:b w:val="false"/>
          <w:bCs w:val="false"/>
          <w:i w:val="false"/>
          <w:iCs w:val="false"/>
          <w:color w:val="1F2937"/>
          <w:sz w:val="22"/>
          <w:szCs w:val="22"/>
        </w:rPr>
        <w:t xml:space="preserve">Les valeurs que tu mobilises dans ton travail de chef de service — équanimité, sens du devoir, attention à l'essentiel — ont une longue histoire dans la culture occidentale, souvent mêlée à des traditions religieuses qui restent vivantes dans les familles des personnes accompagnées. Cette leçon n'appelle pas à prendre position sur aucune d'elles : elle permet simplement de comprendre d'où viennent certaines références implicites, et d'éviter les contresens dans les échanges avec des familles ou des collègues dont le cadre de référence est différent. La formation au stoïcisme que tu construis ici est une ressource personnelle, pas un contenu à transmettre en équipe ni une grille à appliquer sur des projets institutionnels.</w:t>
      </w:r>
    </w:p>
    <w:p>
      <w:pPr>
        <w:spacing w:after="100"/>
      </w:pPr>
      <w:r>
        <w:t xml:space="preserve"/>
      </w:r>
    </w:p>
    <w:p>
      <w:pPr>
        <w:pStyle w:val="Heading2"/>
        <w:spacing w:after="120" w:before="280"/>
      </w:pPr>
      <w:r>
        <w:rPr>
          <w:rFonts w:ascii="Times New Roman" w:cs="Times New Roman" w:eastAsia="Times New Roman" w:hAnsi="Times New Roman"/>
          <w:b/>
          <w:bCs/>
          <w:color w:val="1B3A6B"/>
          <w:sz w:val="30"/>
          <w:szCs w:val="30"/>
        </w:rPr>
        <w:t xml:space="preserve">📚 Ressources</w:t>
      </w:r>
    </w:p>
    <w:p>
      <w:pPr>
        <w:spacing w:after="120"/>
      </w:pPr>
      <w:r>
        <w:rPr>
          <w:rFonts w:ascii="Times New Roman" w:cs="Times New Roman" w:eastAsia="Times New Roman" w:hAnsi="Times New Roman"/>
          <w:b w:val="false"/>
          <w:bCs w:val="false"/>
          <w:i w:val="false"/>
          <w:iCs w:val="false"/>
          <w:color w:val="1F2937"/>
          <w:sz w:val="22"/>
          <w:szCs w:val="22"/>
        </w:rPr>
        <w:t xml:space="preserve">• </w:t>
      </w:r>
      <w:hyperlink w:history="1" r:id="rIdqk7pr753gyukq4y8n26ru">
        <w:r>
          <w:rPr>
            <w:rFonts w:ascii="Times New Roman" w:cs="Times New Roman" w:eastAsia="Times New Roman" w:hAnsi="Times New Roman"/>
            <w:color w:val="1155CC"/>
            <w:sz w:val="22"/>
            <w:szCs w:val="22"/>
            <w:u w:val="single"/>
          </w:rPr>
          <w:t xml:space="preserve">Durand, Shogry et Baltzly — « Stoicism », Stanford Encyclopedia of Philosophy (2023)</w:t>
        </w:r>
      </w:hyperlink>
      <w:r>
        <w:rPr>
          <w:rFonts w:ascii="Times New Roman" w:cs="Times New Roman" w:eastAsia="Times New Roman" w:hAnsi="Times New Roman"/>
          <w:b w:val="false"/>
          <w:bCs w:val="false"/>
          <w:i w:val="false"/>
          <w:iCs w:val="false"/>
          <w:color w:val="1F2937"/>
          <w:sz w:val="22"/>
          <w:szCs w:val="22"/>
        </w:rPr>
        <w:t xml:space="preserve"> — Source principale pour la correspondance apocryphe Paul-Sénèque, la tradition du droit naturel, et la postérité sur Descartes/Kant.</w:t>
      </w:r>
    </w:p>
    <w:p>
      <w:pPr>
        <w:spacing w:after="120"/>
      </w:pPr>
      <w:r>
        <w:rPr>
          <w:rFonts w:ascii="Times New Roman" w:cs="Times New Roman" w:eastAsia="Times New Roman" w:hAnsi="Times New Roman"/>
          <w:b w:val="false"/>
          <w:bCs w:val="false"/>
          <w:i w:val="false"/>
          <w:iCs w:val="false"/>
          <w:color w:val="1F2937"/>
          <w:sz w:val="22"/>
          <w:szCs w:val="22"/>
        </w:rPr>
        <w:t xml:space="preserve">• </w:t>
      </w:r>
      <w:hyperlink w:history="1" r:id="rIdrjp0gjkpkk5-bbt7blebz">
        <w:r>
          <w:rPr>
            <w:rFonts w:ascii="Times New Roman" w:cs="Times New Roman" w:eastAsia="Times New Roman" w:hAnsi="Times New Roman"/>
            <w:color w:val="1155CC"/>
            <w:sz w:val="22"/>
            <w:szCs w:val="22"/>
            <w:u w:val="single"/>
          </w:rPr>
          <w:t xml:space="preserve">Massimo Pigliucci — « Stoicism », Internet Encyclopedia of Philosophy</w:t>
        </w:r>
      </w:hyperlink>
      <w:r>
        <w:rPr>
          <w:rFonts w:ascii="Times New Roman" w:cs="Times New Roman" w:eastAsia="Times New Roman" w:hAnsi="Times New Roman"/>
          <w:b w:val="false"/>
          <w:bCs w:val="false"/>
          <w:i w:val="false"/>
          <w:iCs w:val="false"/>
          <w:color w:val="1F2937"/>
          <w:sz w:val="22"/>
          <w:szCs w:val="22"/>
        </w:rPr>
        <w:t xml:space="preserve"> — Comparaison christianisme/épicurisme, figures médiévales (Augustin, Abélard, Jean de Salisbury), Justus Lipsius et néo-stoïcisme, postérité philosophique moderne.</w:t>
      </w:r>
    </w:p>
    <w:p>
      <w:pPr>
        <w:spacing w:after="120"/>
      </w:pPr>
      <w:r>
        <w:rPr>
          <w:rFonts w:ascii="Times New Roman" w:cs="Times New Roman" w:eastAsia="Times New Roman" w:hAnsi="Times New Roman"/>
          <w:b w:val="false"/>
          <w:bCs w:val="false"/>
          <w:i w:val="false"/>
          <w:iCs w:val="false"/>
          <w:color w:val="1F2937"/>
          <w:sz w:val="22"/>
          <w:szCs w:val="22"/>
        </w:rPr>
        <w:t xml:space="preserve">• </w:t>
      </w:r>
      <w:hyperlink w:history="1" r:id="rId_jaofbqgmti_pnymmlyb3">
        <w:r>
          <w:rPr>
            <w:rFonts w:ascii="Times New Roman" w:cs="Times New Roman" w:eastAsia="Times New Roman" w:hAnsi="Times New Roman"/>
            <w:color w:val="1155CC"/>
            <w:sz w:val="22"/>
            <w:szCs w:val="22"/>
            <w:u w:val="single"/>
          </w:rPr>
          <w:t xml:space="preserve">Stoicism — Wikipedia</w:t>
        </w:r>
      </w:hyperlink>
      <w:r>
        <w:rPr>
          <w:rFonts w:ascii="Times New Roman" w:cs="Times New Roman" w:eastAsia="Times New Roman" w:hAnsi="Times New Roman"/>
          <w:b w:val="false"/>
          <w:bCs w:val="false"/>
          <w:i w:val="false"/>
          <w:iCs w:val="false"/>
          <w:color w:val="1F2937"/>
          <w:sz w:val="22"/>
          <w:szCs w:val="22"/>
        </w:rPr>
        <w:t xml:space="preserve"> — Principaux Pères de l'Église influencés (Tertullien, Ambroise, Clément), divergences théologiques fondamentales, néo-stoïcisme. Lecture d'appui.</w:t>
      </w:r>
    </w:p>
    <w:p>
      <w:pPr>
        <w:spacing w:after="120"/>
      </w:pPr>
      <w:r>
        <w:rPr>
          <w:rFonts w:ascii="Times New Roman" w:cs="Times New Roman" w:eastAsia="Times New Roman" w:hAnsi="Times New Roman"/>
          <w:b w:val="false"/>
          <w:bCs w:val="false"/>
          <w:i w:val="false"/>
          <w:iCs w:val="false"/>
          <w:color w:val="1F2937"/>
          <w:sz w:val="22"/>
          <w:szCs w:val="22"/>
        </w:rPr>
        <w:t xml:space="preserve">• </w:t>
      </w:r>
      <w:hyperlink w:history="1" r:id="rId_efaq0iqo3exvb1i0b1wd">
        <w:r>
          <w:rPr>
            <w:rFonts w:ascii="Times New Roman" w:cs="Times New Roman" w:eastAsia="Times New Roman" w:hAnsi="Times New Roman"/>
            <w:color w:val="1155CC"/>
            <w:sz w:val="22"/>
            <w:szCs w:val="22"/>
            <w:u w:val="single"/>
          </w:rPr>
          <w:t xml:space="preserve">Elizabeth Agnew Cochran — « Stoicism and Christian Ethics », St Andrews Encyclopaedia of Theology</w:t>
        </w:r>
      </w:hyperlink>
      <w:r>
        <w:rPr>
          <w:rFonts w:ascii="Times New Roman" w:cs="Times New Roman" w:eastAsia="Times New Roman" w:hAnsi="Times New Roman"/>
          <w:b w:val="false"/>
          <w:bCs w:val="false"/>
          <w:i w:val="false"/>
          <w:iCs w:val="false"/>
          <w:color w:val="1F2937"/>
          <w:sz w:val="22"/>
          <w:szCs w:val="22"/>
        </w:rPr>
        <w:t xml:space="preserve"> — Source de Grotius, Shaftesbury, Rousseau et Adam Smith dans la postérité moderne, et des auteurs chrétiens sur lesquels Lipsius s'appuie (Grégoire de Nysse, Ambroise, Jérôme, Clément d'Alexandrie, Augustin). Traite aussi Calvin, Luther et Jonathan Edwards, non repris ici.</w:t>
      </w:r>
    </w:p>
    <w:p>
      <w:pPr>
        <w:spacing w:after="120"/>
      </w:pPr>
      <w:r>
        <w:rPr>
          <w:rFonts w:ascii="Times New Roman" w:cs="Times New Roman" w:eastAsia="Times New Roman" w:hAnsi="Times New Roman"/>
          <w:b w:val="false"/>
          <w:bCs w:val="false"/>
          <w:i w:val="false"/>
          <w:iCs w:val="false"/>
          <w:color w:val="1F2937"/>
          <w:sz w:val="22"/>
          <w:szCs w:val="22"/>
        </w:rPr>
        <w:t xml:space="preserve">• </w:t>
      </w:r>
      <w:hyperlink w:history="1" r:id="rIdrxudslzal_mvnusuccuxr">
        <w:r>
          <w:rPr>
            <w:rFonts w:ascii="Times New Roman" w:cs="Times New Roman" w:eastAsia="Times New Roman" w:hAnsi="Times New Roman"/>
            <w:color w:val="1155CC"/>
            <w:sz w:val="22"/>
            <w:szCs w:val="22"/>
            <w:u w:val="single"/>
          </w:rPr>
          <w:t xml:space="preserve">Samuli Siikavirta (Univ. Cambridge) — Recension de « Stoicism in Early Christianity » (éd. Rasimus, Engberg-Pedersen, Dunderberg, Baker Academic, 2010)</w:t>
        </w:r>
      </w:hyperlink>
      <w:r>
        <w:rPr>
          <w:rFonts w:ascii="Times New Roman" w:cs="Times New Roman" w:eastAsia="Times New Roman" w:hAnsi="Times New Roman"/>
          <w:b w:val="false"/>
          <w:bCs w:val="false"/>
          <w:i w:val="false"/>
          <w:iCs w:val="false"/>
          <w:color w:val="1F2937"/>
          <w:sz w:val="22"/>
          <w:szCs w:val="22"/>
        </w:rPr>
        <w:t xml:space="preserve"> — Détails sur l'influence stoïcienne dans les textes pauliniens (Romains 12-15), et le modèle du sage-enseignant stoïcien que Stowers lit dans le Jésus de Matthieu. Ne porte RIEN sur l'Enchiridion : le mot n'y figure pas.</w:t>
      </w:r>
    </w:p>
    <w:p>
      <w:pPr>
        <w:spacing w:after="120"/>
      </w:pPr>
      <w:r>
        <w:rPr>
          <w:rFonts w:ascii="Times New Roman" w:cs="Times New Roman" w:eastAsia="Times New Roman" w:hAnsi="Times New Roman"/>
          <w:b w:val="false"/>
          <w:bCs w:val="false"/>
          <w:i w:val="false"/>
          <w:iCs w:val="false"/>
          <w:color w:val="1F2937"/>
          <w:sz w:val="22"/>
          <w:szCs w:val="22"/>
        </w:rPr>
        <w:t xml:space="preserve">• </w:t>
      </w:r>
      <w:hyperlink w:history="1" r:id="rIdqo6i3icga-kdac35m8ra0">
        <w:r>
          <w:rPr>
            <w:rFonts w:ascii="Times New Roman" w:cs="Times New Roman" w:eastAsia="Times New Roman" w:hAnsi="Times New Roman"/>
            <w:color w:val="1155CC"/>
            <w:sz w:val="22"/>
            <w:szCs w:val="22"/>
            <w:u w:val="single"/>
          </w:rPr>
          <w:t xml:space="preserve">Daily Stoic — « Stoicism and Christianity »</w:t>
        </w:r>
      </w:hyperlink>
      <w:r>
        <w:rPr>
          <w:rFonts w:ascii="Times New Roman" w:cs="Times New Roman" w:eastAsia="Times New Roman" w:hAnsi="Times New Roman"/>
          <w:b w:val="false"/>
          <w:bCs w:val="false"/>
          <w:i w:val="false"/>
          <w:iCs w:val="false"/>
          <w:color w:val="1F2937"/>
          <w:sz w:val="22"/>
          <w:szCs w:val="22"/>
        </w:rPr>
        <w:t xml:space="preserve"> — Synthèse grand public, citée au § des divergences : les deux traditions se recouvrent sur plusieurs points mais comptent entre elles plus de différences que de similitudes.</w:t>
      </w:r>
    </w:p>
    <w:p>
      <w:pPr>
        <w:spacing w:after="100"/>
      </w:pPr>
      <w:r>
        <w:t xml:space="preserve"/>
      </w:r>
    </w:p>
    <w:p>
      <w:pPr>
        <w:pStyle w:val="Heading2"/>
        <w:spacing w:after="120" w:before="280"/>
      </w:pPr>
      <w:r>
        <w:rPr>
          <w:rFonts w:ascii="Times New Roman" w:cs="Times New Roman" w:eastAsia="Times New Roman" w:hAnsi="Times New Roman"/>
          <w:b/>
          <w:bCs/>
          <w:color w:val="1B3A6B"/>
          <w:sz w:val="30"/>
          <w:szCs w:val="30"/>
        </w:rPr>
        <w:t xml:space="preserve">🔜 Prochaine leçon</w:t>
      </w:r>
    </w:p>
    <w:p>
      <w:pPr>
        <w:spacing w:after="120"/>
      </w:pPr>
      <w:r>
        <w:rPr>
          <w:rFonts w:ascii="Times New Roman" w:cs="Times New Roman" w:eastAsia="Times New Roman" w:hAnsi="Times New Roman"/>
          <w:b w:val="false"/>
          <w:bCs w:val="false"/>
          <w:i w:val="false"/>
          <w:iCs w:val="false"/>
          <w:color w:val="1F2937"/>
          <w:sz w:val="22"/>
          <w:szCs w:val="22"/>
        </w:rPr>
        <w:t xml:space="preserve">Leçon 18 : Stoïcisme et thérapies cognitives — une filiation revendiquée, et ce qu'elle vaut</w:t>
      </w:r>
    </w:p>
    <w:p>
      <w:pPr>
        <w:spacing w:after="120"/>
      </w:pPr>
      <w:r>
        <w:rPr>
          <w:rFonts w:ascii="Times New Roman" w:cs="Times New Roman" w:eastAsia="Times New Roman" w:hAnsi="Times New Roman"/>
          <w:b w:val="false"/>
          <w:bCs w:val="false"/>
          <w:i w:val="false"/>
          <w:iCs w:val="false"/>
          <w:color w:val="1F2937"/>
          <w:sz w:val="22"/>
          <w:szCs w:val="22"/>
        </w:rPr>
        <w:t xml:space="preserve">Albert Ellis (REBT) et Aaron Beck (TCC) se sont explicitement réclamés d'Épictète. Mais que reste-t-il vraiment du stoïcisme dans la TCC ? Quelles ressemblances sont de vraies continuités, et lesquelles sont des convergences superficielles ? Et où la psychothérapie diverge-t-elle radicalement d'une philosophie de vie ?</w:t>
      </w:r>
    </w:p>
    <w:p>
      <w:pPr>
        <w:pStyle w:val="Heading2"/>
        <w:spacing w:after="100" w:before="280"/>
      </w:pPr>
      <w:r>
        <w:rPr>
          <w:rFonts w:ascii="Times New Roman" w:cs="Times New Roman" w:eastAsia="Times New Roman" w:hAnsi="Times New Roman"/>
          <w:b/>
          <w:bCs/>
          <w:color w:val="1B3A6B"/>
          <w:sz w:val="28"/>
          <w:szCs w:val="28"/>
        </w:rPr>
        <w:t xml:space="preserve">📝 Journal des corrections (01/10/2026)</w:t>
      </w:r>
    </w:p>
    <w:p>
      <w:pPr>
        <w:spacing w:after="40" w:before="40"/>
      </w:pPr>
      <w:r>
        <w:rPr>
          <w:rFonts w:ascii="Times New Roman" w:cs="Times New Roman" w:eastAsia="Times New Roman" w:hAnsi="Times New Roman"/>
          <w:color w:val="1F2937"/>
          <w:sz w:val="22"/>
          <w:szCs w:val="22"/>
        </w:rPr>
        <w:t xml:space="preserve">Relecture du 01/10/2026 : les sept pages liées rouvertes (toutes en 200), chaque attribution nominative recherchée sur la page citée. Les corrections sont intégrées au texte et marquées [Corrigé le 01/10/2026 : …]. Formulations d'origine :</w:t>
      </w:r>
    </w:p>
    <w:p>
      <w:pPr>
        <w:spacing w:after="40" w:before="40"/>
      </w:pPr>
      <w:r>
        <w:rPr>
          <w:rFonts w:ascii="Times New Roman" w:cs="Times New Roman" w:eastAsia="Times New Roman" w:hAnsi="Times New Roman"/>
          <w:color w:val="1F2937"/>
          <w:sz w:val="22"/>
          <w:szCs w:val="22"/>
        </w:rPr>
        <w:t xml:space="preserve">Enchiridion — « selon Samuli Siikavirta (Univ. Cambridge) […] des théologiens chrétiens ont adapté l'Enchiridion d'Épictète à trois reprises pour le monachisme, remplaçant les références à Zeus et au Logos par des références à Dieu ». Le mot « Enchiridion » ne figure pas sur la page de Siikavirta ; le fait est chez Pigliucci (IEP), qui écrit « commonly used (with Paul replacing Socrates) in monasteries ».</w:t>
      </w:r>
    </w:p>
    <w:p>
      <w:pPr>
        <w:spacing w:after="40" w:before="40"/>
      </w:pPr>
      <w:r>
        <w:rPr>
          <w:rFonts w:ascii="Times New Roman" w:cs="Times New Roman" w:eastAsia="Times New Roman" w:hAnsi="Times New Roman"/>
          <w:color w:val="1F2937"/>
          <w:sz w:val="22"/>
          <w:szCs w:val="22"/>
        </w:rPr>
        <w:t xml:space="preserve">Challenge — « L'Enchiridion d'Épictète a été adapté à trois reprises pour le monachisme chrétien », et la méthode « remplace Zeus, le dieu, la Nature ou le Logos par Dieu ou le Christ » donnée comme documentée.</w:t>
      </w:r>
    </w:p>
    <w:p>
      <w:pPr>
        <w:spacing w:after="40" w:before="40"/>
      </w:pPr>
      <w:r>
        <w:rPr>
          <w:rFonts w:ascii="Times New Roman" w:cs="Times New Roman" w:eastAsia="Times New Roman" w:hAnsi="Times New Roman"/>
          <w:color w:val="1F2937"/>
          <w:sz w:val="22"/>
          <w:szCs w:val="22"/>
        </w:rPr>
        <w:t xml:space="preserve">Augustin — « Il adopte certaines positions stoïciennes sur le droit naturel, la philosophie du langage et le statut moral des animaux (La Cité de Dieu, 1.20 ; Épître 153.4) ». La SEP s'en tient aux animaux et à la philosophie du langage ; Épître 153.4 y est la référence de la correspondance apocryphe.</w:t>
      </w:r>
    </w:p>
    <w:p>
      <w:pPr>
        <w:spacing w:after="40" w:before="40"/>
      </w:pPr>
      <w:r>
        <w:rPr>
          <w:rFonts w:ascii="Times New Roman" w:cs="Times New Roman" w:eastAsia="Times New Roman" w:hAnsi="Times New Roman"/>
          <w:color w:val="1F2937"/>
          <w:sz w:val="22"/>
          <w:szCs w:val="22"/>
        </w:rPr>
        <w:t xml:space="preserve">Tertullien — « qualifie Sénèque de penseur proche de la vérité chrétienne (De Anima, 20.1) ». Référence absente des sept pages.</w:t>
      </w:r>
    </w:p>
    <w:p>
      <w:pPr>
        <w:spacing w:after="40" w:before="40"/>
      </w:pPr>
      <w:r>
        <w:rPr>
          <w:rFonts w:ascii="Times New Roman" w:cs="Times New Roman" w:eastAsia="Times New Roman" w:hAnsi="Times New Roman"/>
          <w:color w:val="1F2937"/>
          <w:sz w:val="22"/>
          <w:szCs w:val="22"/>
        </w:rPr>
        <w:t xml:space="preserve">Ambroise — « rédige le De Officiis Ministrorum directement calqué sur le De Officiis de Cicéron ». Absent des sept pages ; la SEP documente Cicéron calquant Panétius.</w:t>
      </w:r>
    </w:p>
    <w:p>
      <w:pPr>
        <w:spacing w:after="40" w:before="40"/>
      </w:pPr>
      <w:r>
        <w:rPr>
          <w:rFonts w:ascii="Times New Roman" w:cs="Times New Roman" w:eastAsia="Times New Roman" w:hAnsi="Times New Roman"/>
          <w:color w:val="1F2937"/>
          <w:sz w:val="22"/>
          <w:szCs w:val="22"/>
        </w:rPr>
        <w:t xml:space="preserve">Postérité moderne — « selon Durand, Shogry et Baltzly (SEP), l'influence du stoïcisme sur Descartes, Spinoza, Leibniz et Kant ». Sur la SEP : Descartes 0, Spinoza 0, Leibniz 0, Kant 1 ; sur IEP : 4, 12, 2 et 5.</w:t>
      </w:r>
    </w:p>
    <w:p>
      <w:pPr>
        <w:spacing w:after="40" w:before="40"/>
      </w:pPr>
      <w:r>
        <w:rPr>
          <w:rFonts w:ascii="Times New Roman" w:cs="Times New Roman" w:eastAsia="Times New Roman" w:hAnsi="Times New Roman"/>
          <w:color w:val="1F2937"/>
          <w:sz w:val="22"/>
          <w:szCs w:val="22"/>
        </w:rPr>
        <w:t xml:space="preserve">Droit naturel — « aux juristes modernes comme Hugo Grotius », prêté à la SEP, où Grotius ne figure pas. Il est chez Cochran (SAET).</w:t>
      </w:r>
    </w:p>
    <w:p>
      <w:pPr>
        <w:spacing w:after="40" w:before="40"/>
      </w:pPr>
      <w:r>
        <w:rPr>
          <w:rFonts w:ascii="Times New Roman" w:cs="Times New Roman" w:eastAsia="Times New Roman" w:hAnsi="Times New Roman"/>
          <w:color w:val="1F2937"/>
          <w:sz w:val="22"/>
          <w:szCs w:val="22"/>
        </w:rPr>
        <w:t xml:space="preserve">Pères de l'Église — la section n'indiquait aucune source pour quatre références précises.</w:t>
      </w:r>
    </w:p>
    <w:p>
      <w:pPr>
        <w:spacing w:after="40" w:before="40"/>
      </w:pPr>
      <w:r>
        <w:rPr>
          <w:rFonts w:ascii="Times New Roman" w:cs="Times New Roman" w:eastAsia="Times New Roman" w:hAnsi="Times New Roman"/>
          <w:color w:val="1F2937"/>
          <w:sz w:val="22"/>
          <w:szCs w:val="22"/>
        </w:rPr>
        <w:t xml:space="preserve">Ressources — Cochran (SAET) et Daily Stoic étaient listés avec une caractérisation détaillée sans que rien du corps n'en vienne : Cochran 0, Calvin 0, Luther 0, Edwards 0 occurrence. Les deux sont désormais employés et leurs lignes décrivent ce qui en est tiré.</w:t>
      </w:r>
    </w:p>
    <w:p>
      <w:pPr>
        <w:spacing w:after="40" w:before="40"/>
      </w:pPr>
      <w:r>
        <w:rPr>
          <w:rFonts w:ascii="Times New Roman" w:cs="Times New Roman" w:eastAsia="Times New Roman" w:hAnsi="Times New Roman"/>
          <w:color w:val="1F2937"/>
          <w:sz w:val="22"/>
          <w:szCs w:val="22"/>
        </w:rPr>
        <w:t xml:space="preserve">Ressources (suite) — la ligne Siikavirta annonçait « les trois adaptations chrétiennes de l'Enchiridion ». Ses deux autres apports sont exacts et conservés : Romains 12-15 d'après Thorsteinsson, et le sage-enseignant stoïcien que Stanley K. Stowers lit dans le Jésus de Matthieu.</w:t>
      </w:r>
    </w:p>
    <w:p>
      <w:pPr>
        <w:spacing w:after="40" w:before="40"/>
      </w:pPr>
      <w:r>
        <w:rPr>
          <w:rFonts w:ascii="Times New Roman" w:cs="Times New Roman" w:eastAsia="Times New Roman" w:hAnsi="Times New Roman"/>
          <w:color w:val="1F2937"/>
          <w:sz w:val="22"/>
          <w:szCs w:val="22"/>
        </w:rPr>
        <w:t xml:space="preserve">Ressources (suite 2) — en rendant l'Enchiridion à Pigliucci, la correction avait fait de Siikavirta une ressource listée sans emploi. Le § 1 le cite désormais pour ce que sa page soutient : Romains 12-15 chez Thorsteinsson, et le sage-enseignant stoïcien chez Stowers.</w:t>
      </w:r>
    </w:p>
    <w:p>
      <w:pPr>
        <w:spacing w:after="40" w:before="40"/>
      </w:pPr>
      <w:r>
        <w:rPr>
          <w:rFonts w:ascii="Times New Roman" w:cs="Times New Roman" w:eastAsia="Times New Roman" w:hAnsi="Times New Roman"/>
          <w:color w:val="1F2937"/>
          <w:sz w:val="22"/>
          <w:szCs w:val="22"/>
        </w:rPr>
        <w:t xml:space="preserve">Coquilles — « semble découlter » pour découler ; « quand je comets » pour commets.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fdqsrgmv1xrnq8cgw2wf" Type="http://schemas.openxmlformats.org/officeDocument/2006/relationships/hyperlink" Target="https://classics.mit.edu/Epictetus/epicench.html" TargetMode="External"/><Relationship Id="rIdqk7pr753gyukq4y8n26ru" Type="http://schemas.openxmlformats.org/officeDocument/2006/relationships/hyperlink" Target="https://plato.stanford.edu/entries/stoicism/" TargetMode="External"/><Relationship Id="rIdrjp0gjkpkk5-bbt7blebz" Type="http://schemas.openxmlformats.org/officeDocument/2006/relationships/hyperlink" Target="https://iep.utm.edu/stoicism/" TargetMode="External"/><Relationship Id="rId_jaofbqgmti_pnymmlyb3" Type="http://schemas.openxmlformats.org/officeDocument/2006/relationships/hyperlink" Target="https://en.wikipedia.org/wiki/Stoicism" TargetMode="External"/><Relationship Id="rId_efaq0iqo3exvb1i0b1wd" Type="http://schemas.openxmlformats.org/officeDocument/2006/relationships/hyperlink" Target="https://www.saet.ac.uk/Christianity/StoicismandChristianEthics" TargetMode="External"/><Relationship Id="rIdrxudslzal_mvnusuccuxr" Type="http://schemas.openxmlformats.org/officeDocument/2006/relationships/hyperlink" Target="https://rbecs.org/2013/08/01/sec/" TargetMode="External"/><Relationship Id="rIdqo6i3icga-kdac35m8ra0" Type="http://schemas.openxmlformats.org/officeDocument/2006/relationships/hyperlink" Target="https://dailystoic.com/stoicism-and-christianity/" TargetMode="External"/><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2026-10-01T06:11:04.509Z</dcterms:created>
  <dcterms:modified xsi:type="dcterms:W3CDTF">2026-10-01T06:11:04.510Z</dcterms:modified>
</cp:coreProperties>
</file>

<file path=docProps/custom.xml><?xml version="1.0" encoding="utf-8"?>
<Properties xmlns="http://schemas.openxmlformats.org/officeDocument/2006/custom-properties" xmlns:vt="http://schemas.openxmlformats.org/officeDocument/2006/docPropsVTypes"/>
</file>