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spacing w:after="200" w:before="400"/>
        <w:jc w:val="center"/>
      </w:pPr>
      <w:r>
        <w:rPr>
          <w:rFonts w:ascii="Times New Roman" w:cs="Times New Roman" w:eastAsia="Times New Roman" w:hAnsi="Times New Roman"/>
          <w:b/>
          <w:bCs/>
          <w:color w:val="1B3A6B"/>
          <w:sz w:val="52"/>
          <w:szCs w:val="52"/>
        </w:rPr>
        <w:t xml:space="preserve">Leçon Revenus passifs n°01</w:t>
      </w:r>
    </w:p>
    <w:p>
      <w:pPr>
        <w:spacing w:after="80" w:before="80"/>
        <w:jc w:val="center"/>
      </w:pPr>
      <w:r>
        <w:rPr>
          <w:rFonts w:ascii="Times New Roman" w:cs="Times New Roman" w:eastAsia="Times New Roman" w:hAnsi="Times New Roman"/>
          <w:b/>
          <w:bCs/>
          <w:color w:val="1B3A6B"/>
          <w:sz w:val="36"/>
          <w:szCs w:val="36"/>
        </w:rPr>
        <w:t xml:space="preserve">Qu'est-ce qu'un revenu passif ?</w:t>
      </w:r>
    </w:p>
    <w:p>
      <w:pPr>
        <w:spacing w:after="60" w:before="60"/>
        <w:jc w:val="center"/>
      </w:pPr>
      <w:r>
        <w:rPr>
          <w:rFonts w:ascii="Times New Roman" w:cs="Times New Roman" w:eastAsia="Times New Roman" w:hAnsi="Times New Roman"/>
          <w:i/>
          <w:iCs/>
          <w:color w:val="1F2937"/>
          <w:sz w:val="24"/>
          <w:szCs w:val="24"/>
        </w:rPr>
        <w:t xml:space="preserve">Définition · continuum actif/passif · démontage des mythes fondateurs</w:t>
      </w:r>
    </w:p>
    <w:p>
      <w:pPr>
        <w:spacing w:after="60" w:before="60"/>
        <w:jc w:val="center"/>
      </w:pPr>
      <w:r>
        <w:rPr>
          <w:rFonts w:ascii="Times New Roman" w:cs="Times New Roman" w:eastAsia="Times New Roman" w:hAnsi="Times New Roman"/>
          <w:color w:val="1F2937"/>
          <w:sz w:val="22"/>
          <w:szCs w:val="22"/>
        </w:rPr>
        <w:t xml:space="preserve">Date : 26 juillet 2026  |  Leçon 01 / 10</w:t>
      </w:r>
    </w:p>
    <w:p>
      <w:pPr>
        <w:spacing w:after="200" w:before="200"/>
      </w:pPr>
      <w:r>
        <w:rPr>
          <w:rFonts w:ascii="Times New Roman" w:cs="Times New Roman" w:eastAsia="Times New Roman" w:hAnsi="Times New Roman"/>
          <w:color w:val="AAAAAA"/>
          <w:sz w:val="16"/>
          <w:szCs w:val="16"/>
        </w:rPr>
        <w:t xml:space="preserve">─────────────────────────────────────────────────────────────</w:t>
      </w:r>
    </w:p>
    <w:p>
      <w:pPr>
        <w:pStyle w:val="Heading2"/>
        <w:spacing w:after="120" w:before="300"/>
      </w:pPr>
      <w:r>
        <w:rPr>
          <w:rFonts w:ascii="Times New Roman" w:cs="Times New Roman" w:eastAsia="Times New Roman" w:hAnsi="Times New Roman"/>
          <w:b/>
          <w:bCs/>
          <w:color w:val="1B3A6B"/>
          <w:sz w:val="30"/>
          <w:szCs w:val="30"/>
        </w:rPr>
        <w:t xml:space="preserve">⚠️ Cadre déontologique</w:t>
      </w:r>
    </w:p>
    <w:p>
      <w:pPr>
        <w:pBdr>
          <w:left w:val="single" w:color="D97706" w:sz="12"/>
        </w:pBdr>
        <w:shd w:fill="FFF4E5" w:val="clear"/>
        <w:spacing w:after="100" w:before="100"/>
        <w:ind w:left="288"/>
      </w:pPr>
      <w:r>
        <w:rPr>
          <w:rFonts w:ascii="Times New Roman" w:cs="Times New Roman" w:eastAsia="Times New Roman" w:hAnsi="Times New Roman"/>
          <w:color w:val="1F2937"/>
          <w:sz w:val="22"/>
          <w:szCs w:val="22"/>
        </w:rPr>
        <w:t xml:space="preserve">Ces leçons sont </w:t>
      </w:r>
      <w:r>
        <w:rPr>
          <w:rFonts w:ascii="Times New Roman" w:cs="Times New Roman" w:eastAsia="Times New Roman" w:hAnsi="Times New Roman"/>
          <w:b/>
          <w:bCs/>
          <w:color w:val="D97706"/>
          <w:sz w:val="22"/>
          <w:szCs w:val="22"/>
        </w:rPr>
        <w:t xml:space="preserve">éducatives et généralistes</w:t>
      </w:r>
      <w:r>
        <w:rPr>
          <w:rFonts w:ascii="Times New Roman" w:cs="Times New Roman" w:eastAsia="Times New Roman" w:hAnsi="Times New Roman"/>
          <w:color w:val="1F2937"/>
          <w:sz w:val="22"/>
          <w:szCs w:val="22"/>
        </w:rPr>
        <w:t xml:space="preserve">. Elles n'ont </w:t>
      </w:r>
      <w:r>
        <w:rPr>
          <w:rFonts w:ascii="Times New Roman" w:cs="Times New Roman" w:eastAsia="Times New Roman" w:hAnsi="Times New Roman"/>
          <w:b/>
          <w:bCs/>
          <w:color w:val="1F2937"/>
          <w:sz w:val="22"/>
          <w:szCs w:val="22"/>
        </w:rPr>
        <w:t xml:space="preserve">pas valeur de conseil en investissement</w:t>
      </w:r>
      <w:r>
        <w:rPr>
          <w:rFonts w:ascii="Times New Roman" w:cs="Times New Roman" w:eastAsia="Times New Roman" w:hAnsi="Times New Roman"/>
          <w:color w:val="1F2937"/>
          <w:sz w:val="22"/>
          <w:szCs w:val="22"/>
        </w:rPr>
        <w:t xml:space="preserve"> ni de recommandation personnalisée. En France, le conseil en investissement financier est une activité réglementée (statut CIF, registre ORIAS). Ces leçons n'indiquent pas quoi acheter, quand, ni pour quel montant, ni ne promettent un rendement.</w:t>
      </w:r>
    </w:p>
    <w:p>
      <w:pPr>
        <w:pBdr>
          <w:left w:val="single" w:color="D97706" w:sz="12"/>
        </w:pBdr>
        <w:shd w:fill="FFF4E5" w:val="clear"/>
        <w:spacing w:after="100" w:before="100"/>
        <w:ind w:left="288"/>
      </w:pPr>
      <w:r>
        <w:rPr>
          <w:rFonts w:ascii="Times New Roman" w:cs="Times New Roman" w:eastAsia="Times New Roman" w:hAnsi="Times New Roman"/>
          <w:color w:val="1F2937"/>
          <w:sz w:val="22"/>
          <w:szCs w:val="22"/>
        </w:rPr>
        <w:t xml:space="preserve">Le secteur des « revenus passifs » est saturé de promesses trompeuses et d'arnaques. Chaque leçon expose sans complaisance : taux d'échec, travail réel exigé, coûts, fiscalité, signaux d'alerte. Toute décision relève de l'utilisateur, le cas échéant avec un professionnel agréé.</w:t>
      </w:r>
    </w:p>
    <w:p>
      <w:pPr>
        <w:spacing w:after="200" w:before="200"/>
      </w:pPr>
      <w:r>
        <w:rPr>
          <w:rFonts w:ascii="Times New Roman" w:cs="Times New Roman" w:eastAsia="Times New Roman" w:hAnsi="Times New Roman"/>
          <w:color w:val="AAAAAA"/>
          <w:sz w:val="16"/>
          <w:szCs w:val="16"/>
        </w:rPr>
        <w:t xml:space="preserve">─────────────────────────────────────────────────────────────</w:t>
      </w:r>
    </w:p>
    <w:p>
      <w:pPr>
        <w:pStyle w:val="Heading2"/>
        <w:spacing w:after="120" w:before="300"/>
      </w:pPr>
      <w:r>
        <w:rPr>
          <w:rFonts w:ascii="Times New Roman" w:cs="Times New Roman" w:eastAsia="Times New Roman" w:hAnsi="Times New Roman"/>
          <w:b/>
          <w:bCs/>
          <w:color w:val="1B3A6B"/>
          <w:sz w:val="30"/>
          <w:szCs w:val="30"/>
        </w:rPr>
        <w:t xml:space="preserve">🎯 Objectif &amp; continuité</w:t>
      </w:r>
    </w:p>
    <w:p>
      <w:pPr>
        <w:spacing w:after="80" w:before="80"/>
      </w:pPr>
      <w:r>
        <w:rPr>
          <w:rFonts w:ascii="Times New Roman" w:cs="Times New Roman" w:eastAsia="Times New Roman" w:hAnsi="Times New Roman"/>
          <w:color w:val="1F2937"/>
          <w:sz w:val="22"/>
          <w:szCs w:val="22"/>
        </w:rPr>
        <w:t xml:space="preserve">C'est la première leçon du parcours : pas de leçon précédente à relier, tout commence ici.</w:t>
      </w:r>
    </w:p>
    <w:p>
      <w:r>
        <w:t xml:space="preserve"/>
      </w:r>
    </w:p>
    <w:p>
      <w:pPr>
        <w:spacing w:after="80" w:before="80"/>
      </w:pPr>
      <w:r>
        <w:rPr>
          <w:rFonts w:ascii="Times New Roman" w:cs="Times New Roman" w:eastAsia="Times New Roman" w:hAnsi="Times New Roman"/>
          <w:b/>
          <w:bCs/>
          <w:color w:val="1F2937"/>
          <w:sz w:val="22"/>
          <w:szCs w:val="22"/>
        </w:rPr>
        <w:t xml:space="preserve">À l'issue de cette leçon, tu seras capable de :</w:t>
      </w:r>
    </w:p>
    <w:p>
      <w:pPr>
        <w:pStyle w:val="ListParagraph"/>
        <w:numPr>
          <w:ilvl w:val="0"/>
          <w:numId w:val="1"/>
        </w:numPr>
        <w:spacing w:after="60" w:before="60"/>
      </w:pPr>
      <w:r>
        <w:rPr>
          <w:rFonts w:ascii="Times New Roman" w:cs="Times New Roman" w:eastAsia="Times New Roman" w:hAnsi="Times New Roman"/>
          <w:color w:val="1F2937"/>
          <w:sz w:val="22"/>
          <w:szCs w:val="22"/>
        </w:rPr>
        <w:t xml:space="preserve">Donner une définition rigoureuse d'un revenu passif et expliquer pourquoi le terme est souvent utilisé de façon trompeuse.</w:t>
      </w:r>
    </w:p>
    <w:p>
      <w:pPr>
        <w:pStyle w:val="ListParagraph"/>
        <w:numPr>
          <w:ilvl w:val="0"/>
          <w:numId w:val="1"/>
        </w:numPr>
        <w:spacing w:after="60" w:before="60"/>
      </w:pPr>
      <w:r>
        <w:rPr>
          <w:rFonts w:ascii="Times New Roman" w:cs="Times New Roman" w:eastAsia="Times New Roman" w:hAnsi="Times New Roman"/>
          <w:color w:val="1F2937"/>
          <w:sz w:val="22"/>
          <w:szCs w:val="22"/>
        </w:rPr>
        <w:t xml:space="preserve">Situer n'importe quel modèle sur le continuum actif/passif grâce à trois critères simples.</w:t>
      </w:r>
    </w:p>
    <w:p>
      <w:pPr>
        <w:pStyle w:val="ListParagraph"/>
        <w:numPr>
          <w:ilvl w:val="0"/>
          <w:numId w:val="1"/>
        </w:numPr>
        <w:spacing w:after="60" w:before="60"/>
      </w:pPr>
      <w:r>
        <w:rPr>
          <w:rFonts w:ascii="Times New Roman" w:cs="Times New Roman" w:eastAsia="Times New Roman" w:hAnsi="Times New Roman"/>
          <w:color w:val="1F2937"/>
          <w:sz w:val="22"/>
          <w:szCs w:val="22"/>
        </w:rPr>
        <w:t xml:space="preserve">Identifier les mythes fondateurs du secteur et les contre-arguments factuels associés.</w:t>
      </w:r>
    </w:p>
    <w:p>
      <w:pPr>
        <w:pStyle w:val="ListParagraph"/>
        <w:numPr>
          <w:ilvl w:val="0"/>
          <w:numId w:val="1"/>
        </w:numPr>
        <w:spacing w:after="60" w:before="60"/>
      </w:pPr>
      <w:r>
        <w:rPr>
          <w:rFonts w:ascii="Times New Roman" w:cs="Times New Roman" w:eastAsia="Times New Roman" w:hAnsi="Times New Roman"/>
          <w:color w:val="1F2937"/>
          <w:sz w:val="22"/>
          <w:szCs w:val="22"/>
        </w:rPr>
        <w:t xml:space="preserve">Reconnaître les signaux d'alerte d'une arnaque « revenus passifs » avant d'y avoir investi un euro ou une heure.</w:t>
      </w:r>
    </w:p>
    <w:p>
      <w:pPr>
        <w:spacing w:after="200" w:before="200"/>
      </w:pPr>
      <w:r>
        <w:rPr>
          <w:rFonts w:ascii="Times New Roman" w:cs="Times New Roman" w:eastAsia="Times New Roman" w:hAnsi="Times New Roman"/>
          <w:color w:val="AAAAAA"/>
          <w:sz w:val="16"/>
          <w:szCs w:val="16"/>
        </w:rPr>
        <w:t xml:space="preserve">─────────────────────────────────────────────────────────────</w:t>
      </w:r>
    </w:p>
    <w:p>
      <w:pPr>
        <w:pStyle w:val="Heading2"/>
        <w:spacing w:after="120" w:before="300"/>
      </w:pPr>
      <w:r>
        <w:rPr>
          <w:rFonts w:ascii="Times New Roman" w:cs="Times New Roman" w:eastAsia="Times New Roman" w:hAnsi="Times New Roman"/>
          <w:b/>
          <w:bCs/>
          <w:color w:val="1B3A6B"/>
          <w:sz w:val="30"/>
          <w:szCs w:val="30"/>
        </w:rPr>
        <w:t xml:space="preserve">🔬 Théorie (20 %)</w:t>
      </w:r>
    </w:p>
    <w:p>
      <w:pPr>
        <w:pStyle w:val="Heading3"/>
        <w:spacing w:after="80" w:before="200"/>
      </w:pPr>
      <w:r>
        <w:rPr>
          <w:rFonts w:ascii="Times New Roman" w:cs="Times New Roman" w:eastAsia="Times New Roman" w:hAnsi="Times New Roman"/>
          <w:b/>
          <w:bCs/>
          <w:color w:val="1F2937"/>
          <w:sz w:val="26"/>
          <w:szCs w:val="26"/>
        </w:rPr>
        <w:t xml:space="preserve">1. Définition de base</w:t>
      </w:r>
    </w:p>
    <w:p>
      <w:pPr>
        <w:spacing w:after="80" w:before="80"/>
      </w:pPr>
      <w:r>
        <w:rPr>
          <w:rFonts w:ascii="Times New Roman" w:cs="Times New Roman" w:eastAsia="Times New Roman" w:hAnsi="Times New Roman"/>
          <w:color w:val="1F2937"/>
          <w:sz w:val="22"/>
          <w:szCs w:val="22"/>
        </w:rPr>
        <w:t xml:space="preserve">Un revenu passif est un flux de trésorerie qui continue d'arriver sans nécessiter de présence active et continue de sa part. L'effort ou le capital a été mobilisé en amont ; le flux en est la conséquence différée.</w:t>
      </w:r>
    </w:p>
    <w:p>
      <w:r>
        <w:t xml:space="preserve"/>
      </w:r>
    </w:p>
    <w:p>
      <w:pPr>
        <w:spacing w:after="80" w:before="80"/>
      </w:pPr>
      <w:r>
        <w:rPr>
          <w:rFonts w:ascii="Times New Roman" w:cs="Times New Roman" w:eastAsia="Times New Roman" w:hAnsi="Times New Roman"/>
          <w:color w:val="1F2937"/>
          <w:sz w:val="22"/>
          <w:szCs w:val="22"/>
        </w:rPr>
        <w:t xml:space="preserve">Cette définition, courante dans la littérature financière et reprise par les organismes officiels, est juste sur le principe — mais elle masque une réalité : aucun revenu n'est passif à 100 %. Tout flux exige, au minimum, une surveillance périodique, une maintenance ou un réinvestissement. Ce point est développé dans la section suivante.</w:t>
      </w:r>
    </w:p>
    <w:p>
      <w:pPr>
        <w:pStyle w:val="Heading3"/>
        <w:spacing w:after="80" w:before="200"/>
      </w:pPr>
      <w:r>
        <w:rPr>
          <w:rFonts w:ascii="Times New Roman" w:cs="Times New Roman" w:eastAsia="Times New Roman" w:hAnsi="Times New Roman"/>
          <w:b/>
          <w:bCs/>
          <w:color w:val="1F2937"/>
          <w:sz w:val="26"/>
          <w:szCs w:val="26"/>
        </w:rPr>
        <w:t xml:space="preserve">2. Le continuum actif → passif</w:t>
      </w:r>
    </w:p>
    <w:p>
      <w:pPr>
        <w:spacing w:after="80" w:before="80"/>
      </w:pPr>
      <w:r>
        <w:rPr>
          <w:rFonts w:ascii="Times New Roman" w:cs="Times New Roman" w:eastAsia="Times New Roman" w:hAnsi="Times New Roman"/>
          <w:color w:val="1F2937"/>
          <w:sz w:val="22"/>
          <w:szCs w:val="22"/>
        </w:rPr>
        <w:t xml:space="preserve">Il n'existe pas deux catégories (actif / passif) mais un spectre continu à trois axes :</w:t>
      </w:r>
    </w:p>
    <w:p>
      <w: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c>
          <w:tcPr>
            <w:shd w:fill="1B3A6B" w:val="clear"/>
          </w:tcPr>
          <w:p>
            <w:r>
              <w:rPr>
                <w:rFonts w:ascii="Times New Roman" w:cs="Times New Roman" w:eastAsia="Times New Roman" w:hAnsi="Times New Roman"/>
                <w:b/>
                <w:bCs/>
                <w:color w:val="FFFFFF"/>
                <w:sz w:val="20"/>
                <w:szCs w:val="20"/>
              </w:rPr>
              <w:t xml:space="preserve">Axe</w:t>
            </w:r>
          </w:p>
        </w:tc>
        <w:tc>
          <w:tcPr>
            <w:shd w:fill="1B3A6B" w:val="clear"/>
          </w:tcPr>
          <w:p>
            <w:r>
              <w:rPr>
                <w:rFonts w:ascii="Times New Roman" w:cs="Times New Roman" w:eastAsia="Times New Roman" w:hAnsi="Times New Roman"/>
                <w:b/>
                <w:bCs/>
                <w:color w:val="FFFFFF"/>
                <w:sz w:val="20"/>
                <w:szCs w:val="20"/>
              </w:rPr>
              <w:t xml:space="preserve">Revenu 100 % actif</w:t>
            </w:r>
          </w:p>
        </w:tc>
        <w:tc>
          <w:tcPr>
            <w:shd w:fill="1B3A6B" w:val="clear"/>
          </w:tcPr>
          <w:p>
            <w:r>
              <w:rPr>
                <w:rFonts w:ascii="Times New Roman" w:cs="Times New Roman" w:eastAsia="Times New Roman" w:hAnsi="Times New Roman"/>
                <w:b/>
                <w:bCs/>
                <w:color w:val="FFFFFF"/>
                <w:sz w:val="20"/>
                <w:szCs w:val="20"/>
              </w:rPr>
              <w:t xml:space="preserve">Milieu du spectre</w:t>
            </w:r>
          </w:p>
        </w:tc>
        <w:tc>
          <w:tcPr>
            <w:shd w:fill="1B3A6B" w:val="clear"/>
          </w:tcPr>
          <w:p>
            <w:r>
              <w:rPr>
                <w:rFonts w:ascii="Times New Roman" w:cs="Times New Roman" w:eastAsia="Times New Roman" w:hAnsi="Times New Roman"/>
                <w:b/>
                <w:bCs/>
                <w:color w:val="FFFFFF"/>
                <w:sz w:val="20"/>
                <w:szCs w:val="20"/>
              </w:rPr>
              <w:t xml:space="preserve">Revenu dit « passif »</w:t>
            </w:r>
          </w:p>
        </w:tc>
      </w:tr>
      <w:tr>
        <w:tc>
          <w:tcPr>
            <w:shd w:fill="FFFFFF" w:val="clear"/>
          </w:tcPr>
          <w:p>
            <w:r>
              <w:rPr>
                <w:rFonts w:ascii="Times New Roman" w:cs="Times New Roman" w:eastAsia="Times New Roman" w:hAnsi="Times New Roman"/>
                <w:color w:val="1F2937"/>
                <w:sz w:val="20"/>
                <w:szCs w:val="20"/>
              </w:rPr>
              <w:t xml:space="preserve">Capital requis</w:t>
            </w:r>
          </w:p>
        </w:tc>
        <w:tc>
          <w:tcPr>
            <w:shd w:fill="FFFFFF" w:val="clear"/>
          </w:tcPr>
          <w:p>
            <w:r>
              <w:rPr>
                <w:rFonts w:ascii="Times New Roman" w:cs="Times New Roman" w:eastAsia="Times New Roman" w:hAnsi="Times New Roman"/>
                <w:color w:val="1F2937"/>
                <w:sz w:val="20"/>
                <w:szCs w:val="20"/>
              </w:rPr>
              <w:t xml:space="preserve">Nul (revenu = temps)</w:t>
            </w:r>
          </w:p>
        </w:tc>
        <w:tc>
          <w:tcPr>
            <w:shd w:fill="FFFFFF" w:val="clear"/>
          </w:tcPr>
          <w:p>
            <w:r>
              <w:rPr>
                <w:rFonts w:ascii="Times New Roman" w:cs="Times New Roman" w:eastAsia="Times New Roman" w:hAnsi="Times New Roman"/>
                <w:color w:val="1F2937"/>
                <w:sz w:val="20"/>
                <w:szCs w:val="20"/>
              </w:rPr>
              <w:t xml:space="preserve">Capital modéré + temps initial</w:t>
            </w:r>
          </w:p>
        </w:tc>
        <w:tc>
          <w:tcPr>
            <w:shd w:fill="FFFFFF" w:val="clear"/>
          </w:tcPr>
          <w:p>
            <w:r>
              <w:rPr>
                <w:rFonts w:ascii="Times New Roman" w:cs="Times New Roman" w:eastAsia="Times New Roman" w:hAnsi="Times New Roman"/>
                <w:color w:val="1F2937"/>
                <w:sz w:val="20"/>
                <w:szCs w:val="20"/>
              </w:rPr>
              <w:t xml:space="preserve">Capital élevé ou actif construit</w:t>
            </w:r>
          </w:p>
        </w:tc>
      </w:tr>
      <w:tr>
        <w:tc>
          <w:tcPr>
            <w:shd w:fill="EEF2F7" w:val="clear"/>
          </w:tcPr>
          <w:p>
            <w:r>
              <w:rPr>
                <w:rFonts w:ascii="Times New Roman" w:cs="Times New Roman" w:eastAsia="Times New Roman" w:hAnsi="Times New Roman"/>
                <w:color w:val="1F2937"/>
                <w:sz w:val="20"/>
                <w:szCs w:val="20"/>
              </w:rPr>
              <w:t xml:space="preserve">Effort continu</w:t>
            </w:r>
          </w:p>
        </w:tc>
        <w:tc>
          <w:tcPr>
            <w:shd w:fill="EEF2F7" w:val="clear"/>
          </w:tcPr>
          <w:p>
            <w:r>
              <w:rPr>
                <w:rFonts w:ascii="Times New Roman" w:cs="Times New Roman" w:eastAsia="Times New Roman" w:hAnsi="Times New Roman"/>
                <w:color w:val="1F2937"/>
                <w:sz w:val="20"/>
                <w:szCs w:val="20"/>
              </w:rPr>
              <w:t xml:space="preserve">Maximal (heure → €)</w:t>
            </w:r>
          </w:p>
        </w:tc>
        <w:tc>
          <w:tcPr>
            <w:shd w:fill="EEF2F7" w:val="clear"/>
          </w:tcPr>
          <w:p>
            <w:r>
              <w:rPr>
                <w:rFonts w:ascii="Times New Roman" w:cs="Times New Roman" w:eastAsia="Times New Roman" w:hAnsi="Times New Roman"/>
                <w:color w:val="1F2937"/>
                <w:sz w:val="20"/>
                <w:szCs w:val="20"/>
              </w:rPr>
              <w:t xml:space="preserve">Décroissant après phase de lancement</w:t>
            </w:r>
          </w:p>
        </w:tc>
        <w:tc>
          <w:tcPr>
            <w:shd w:fill="EEF2F7" w:val="clear"/>
          </w:tcPr>
          <w:p>
            <w:r>
              <w:rPr>
                <w:rFonts w:ascii="Times New Roman" w:cs="Times New Roman" w:eastAsia="Times New Roman" w:hAnsi="Times New Roman"/>
                <w:color w:val="1F2937"/>
                <w:sz w:val="20"/>
                <w:szCs w:val="20"/>
              </w:rPr>
              <w:t xml:space="preserve">Minimal en régime de croisière</w:t>
            </w:r>
          </w:p>
        </w:tc>
      </w:tr>
      <w:tr>
        <w:tc>
          <w:tcPr>
            <w:shd w:fill="FFFFFF" w:val="clear"/>
          </w:tcPr>
          <w:p>
            <w:r>
              <w:rPr>
                <w:rFonts w:ascii="Times New Roman" w:cs="Times New Roman" w:eastAsia="Times New Roman" w:hAnsi="Times New Roman"/>
                <w:color w:val="1F2937"/>
                <w:sz w:val="20"/>
                <w:szCs w:val="20"/>
              </w:rPr>
              <w:t xml:space="preserve">Maintenance</w:t>
            </w:r>
          </w:p>
        </w:tc>
        <w:tc>
          <w:tcPr>
            <w:shd w:fill="FFFFFF" w:val="clear"/>
          </w:tcPr>
          <w:p>
            <w:r>
              <w:rPr>
                <w:rFonts w:ascii="Times New Roman" w:cs="Times New Roman" w:eastAsia="Times New Roman" w:hAnsi="Times New Roman"/>
                <w:color w:val="1F2937"/>
                <w:sz w:val="20"/>
                <w:szCs w:val="20"/>
              </w:rPr>
              <w:t xml:space="preserve">Permanente</w:t>
            </w:r>
          </w:p>
        </w:tc>
        <w:tc>
          <w:tcPr>
            <w:shd w:fill="FFFFFF" w:val="clear"/>
          </w:tcPr>
          <w:p>
            <w:r>
              <w:rPr>
                <w:rFonts w:ascii="Times New Roman" w:cs="Times New Roman" w:eastAsia="Times New Roman" w:hAnsi="Times New Roman"/>
                <w:color w:val="1F2937"/>
                <w:sz w:val="20"/>
                <w:szCs w:val="20"/>
              </w:rPr>
              <w:t xml:space="preserve">Périodique (hebdo/mensuel)</w:t>
            </w:r>
          </w:p>
        </w:tc>
        <w:tc>
          <w:tcPr>
            <w:shd w:fill="FFFFFF" w:val="clear"/>
          </w:tcPr>
          <w:p>
            <w:r>
              <w:rPr>
                <w:rFonts w:ascii="Times New Roman" w:cs="Times New Roman" w:eastAsia="Times New Roman" w:hAnsi="Times New Roman"/>
                <w:color w:val="1F2937"/>
                <w:sz w:val="20"/>
                <w:szCs w:val="20"/>
              </w:rPr>
              <w:t xml:space="preserve">Ponctuelle (annuel, surveillance)</w:t>
            </w:r>
          </w:p>
        </w:tc>
      </w:tr>
      <w:tr>
        <w:tc>
          <w:tcPr>
            <w:shd w:fill="EEF2F7" w:val="clear"/>
          </w:tcPr>
          <w:p>
            <w:r>
              <w:rPr>
                <w:rFonts w:ascii="Times New Roman" w:cs="Times New Roman" w:eastAsia="Times New Roman" w:hAnsi="Times New Roman"/>
                <w:color w:val="1F2937"/>
                <w:sz w:val="20"/>
                <w:szCs w:val="20"/>
              </w:rPr>
              <w:t xml:space="preserve">Exemples typiques</w:t>
            </w:r>
          </w:p>
        </w:tc>
        <w:tc>
          <w:tcPr>
            <w:shd w:fill="EEF2F7" w:val="clear"/>
          </w:tcPr>
          <w:p>
            <w:r>
              <w:rPr>
                <w:rFonts w:ascii="Times New Roman" w:cs="Times New Roman" w:eastAsia="Times New Roman" w:hAnsi="Times New Roman"/>
                <w:color w:val="1F2937"/>
                <w:sz w:val="20"/>
                <w:szCs w:val="20"/>
              </w:rPr>
              <w:t xml:space="preserve">Salaire, freelance, consulting</w:t>
            </w:r>
          </w:p>
        </w:tc>
        <w:tc>
          <w:tcPr>
            <w:shd w:fill="EEF2F7" w:val="clear"/>
          </w:tcPr>
          <w:p>
            <w:r>
              <w:rPr>
                <w:rFonts w:ascii="Times New Roman" w:cs="Times New Roman" w:eastAsia="Times New Roman" w:hAnsi="Times New Roman"/>
                <w:color w:val="1F2937"/>
                <w:sz w:val="20"/>
                <w:szCs w:val="20"/>
              </w:rPr>
              <w:t xml:space="preserve">Cours en ligne, affiliation, SCPI</w:t>
            </w:r>
          </w:p>
        </w:tc>
        <w:tc>
          <w:tcPr>
            <w:shd w:fill="EEF2F7" w:val="clear"/>
          </w:tcPr>
          <w:p>
            <w:r>
              <w:rPr>
                <w:rFonts w:ascii="Times New Roman" w:cs="Times New Roman" w:eastAsia="Times New Roman" w:hAnsi="Times New Roman"/>
                <w:color w:val="1F2937"/>
                <w:sz w:val="20"/>
                <w:szCs w:val="20"/>
              </w:rPr>
              <w:t xml:space="preserve">Dividendes d'actions, obligations</w:t>
            </w:r>
          </w:p>
        </w:tc>
      </w:tr>
    </w:tbl>
    <w:p>
      <w:r>
        <w:t xml:space="preserve"/>
      </w:r>
    </w:p>
    <w:p>
      <w:pPr>
        <w:spacing w:after="80" w:before="80"/>
      </w:pPr>
      <w:r>
        <w:rPr>
          <w:rFonts w:ascii="Times New Roman" w:cs="Times New Roman" w:eastAsia="Times New Roman" w:hAnsi="Times New Roman"/>
          <w:color w:val="1F2937"/>
          <w:sz w:val="22"/>
          <w:szCs w:val="22"/>
        </w:rPr>
        <w:t xml:space="preserve">Un même modèle peut changer de position sur ce spectre selon sa phase de vie : la première année d'un blog monétisé est très active ; la troisième peut devenir semi-passive si la base de contenu est robuste.</w:t>
      </w:r>
    </w:p>
    <w:p>
      <w:pPr>
        <w:pStyle w:val="Heading3"/>
        <w:spacing w:after="80" w:before="200"/>
      </w:pPr>
      <w:r>
        <w:rPr>
          <w:rFonts w:ascii="Times New Roman" w:cs="Times New Roman" w:eastAsia="Times New Roman" w:hAnsi="Times New Roman"/>
          <w:b/>
          <w:bCs/>
          <w:color w:val="1F2937"/>
          <w:sz w:val="26"/>
          <w:szCs w:val="26"/>
        </w:rPr>
        <w:t xml:space="preserve">3. Les trois intrants fondamentaux</w:t>
      </w:r>
    </w:p>
    <w:p>
      <w:pPr>
        <w:spacing w:after="80" w:before="80"/>
      </w:pPr>
      <w:r>
        <w:rPr>
          <w:rFonts w:ascii="Times New Roman" w:cs="Times New Roman" w:eastAsia="Times New Roman" w:hAnsi="Times New Roman"/>
          <w:color w:val="1F2937"/>
          <w:sz w:val="22"/>
          <w:szCs w:val="22"/>
        </w:rPr>
        <w:t xml:space="preserve">Tout revenu « passif » mobilise au moins un de ces trois intrants :</w:t>
      </w:r>
    </w:p>
    <w:p>
      <w:pPr>
        <w:pStyle w:val="ListParagraph"/>
        <w:numPr>
          <w:ilvl w:val="0"/>
          <w:numId w:val="1"/>
        </w:numPr>
        <w:spacing w:after="60" w:before="60"/>
      </w:pPr>
      <w:r>
        <w:rPr>
          <w:rFonts w:ascii="Times New Roman" w:cs="Times New Roman" w:eastAsia="Times New Roman" w:hAnsi="Times New Roman"/>
          <w:color w:val="1F2937"/>
          <w:sz w:val="22"/>
          <w:szCs w:val="22"/>
        </w:rPr>
        <w:t xml:space="preserve">Capital financier : argent placé en actions, obligations, immobilier, etc.</w:t>
      </w:r>
    </w:p>
    <w:p>
      <w:pPr>
        <w:pStyle w:val="ListParagraph"/>
        <w:numPr>
          <w:ilvl w:val="0"/>
          <w:numId w:val="1"/>
        </w:numPr>
        <w:spacing w:after="60" w:before="60"/>
      </w:pPr>
      <w:r>
        <w:rPr>
          <w:rFonts w:ascii="Times New Roman" w:cs="Times New Roman" w:eastAsia="Times New Roman" w:hAnsi="Times New Roman"/>
          <w:color w:val="1F2937"/>
          <w:sz w:val="22"/>
          <w:szCs w:val="22"/>
        </w:rPr>
        <w:t xml:space="preserve">Capital temps : heures investies pour créer un actif (formation enregistrée, ebook, logiciel, portefeuille de contenu).</w:t>
      </w:r>
    </w:p>
    <w:p>
      <w:pPr>
        <w:pStyle w:val="ListParagraph"/>
        <w:numPr>
          <w:ilvl w:val="0"/>
          <w:numId w:val="1"/>
        </w:numPr>
        <w:spacing w:after="60" w:before="60"/>
      </w:pPr>
      <w:r>
        <w:rPr>
          <w:rFonts w:ascii="Times New Roman" w:cs="Times New Roman" w:eastAsia="Times New Roman" w:hAnsi="Times New Roman"/>
          <w:color w:val="1F2937"/>
          <w:sz w:val="22"/>
          <w:szCs w:val="22"/>
        </w:rPr>
        <w:t xml:space="preserve">Capital compétence : savoir-faire rare qui rend l'actif créé difficile à reproduire et donc défendable.</w:t>
      </w:r>
    </w:p>
    <w:p>
      <w:r>
        <w:t xml:space="preserve"/>
      </w:r>
    </w:p>
    <w:p>
      <w:pPr>
        <w:spacing w:after="80" w:before="80"/>
      </w:pPr>
      <w:r>
        <w:rPr>
          <w:rFonts w:ascii="Times New Roman" w:cs="Times New Roman" w:eastAsia="Times New Roman" w:hAnsi="Times New Roman"/>
          <w:color w:val="1F2937"/>
          <w:sz w:val="22"/>
          <w:szCs w:val="22"/>
        </w:rPr>
        <w:t xml:space="preserve">La règle pratique : plus on est pauvre en capital financier, plus il faut investir du temps ET de la compétence. Il n'existe pas de contournement de cette équation de base.</w:t>
      </w:r>
    </w:p>
    <w:p>
      <w:pPr>
        <w:spacing w:after="200" w:before="200"/>
      </w:pPr>
      <w:r>
        <w:rPr>
          <w:rFonts w:ascii="Times New Roman" w:cs="Times New Roman" w:eastAsia="Times New Roman" w:hAnsi="Times New Roman"/>
          <w:color w:val="AAAAAA"/>
          <w:sz w:val="16"/>
          <w:szCs w:val="16"/>
        </w:rPr>
        <w:t xml:space="preserve">─────────────────────────────────────────────────────────────</w:t>
      </w:r>
    </w:p>
    <w:p>
      <w:pPr>
        <w:pStyle w:val="Heading2"/>
        <w:spacing w:after="120" w:before="300"/>
      </w:pPr>
      <w:r>
        <w:rPr>
          <w:rFonts w:ascii="Times New Roman" w:cs="Times New Roman" w:eastAsia="Times New Roman" w:hAnsi="Times New Roman"/>
          <w:b/>
          <w:bCs/>
          <w:color w:val="1B3A6B"/>
          <w:sz w:val="30"/>
          <w:szCs w:val="30"/>
        </w:rPr>
        <w:t xml:space="preserve">📉 Ancrage réaliste</w:t>
      </w:r>
    </w:p>
    <w:p>
      <w:pPr>
        <w:pBdr>
          <w:left w:val="single" w:color="D97706" w:sz="12"/>
        </w:pBdr>
        <w:shd w:fill="FFF4E5" w:val="clear"/>
        <w:spacing w:after="100" w:before="100"/>
        <w:ind w:left="288"/>
      </w:pPr>
      <w:r>
        <w:rPr>
          <w:rFonts w:ascii="Times New Roman" w:cs="Times New Roman" w:eastAsia="Times New Roman" w:hAnsi="Times New Roman"/>
          <w:b/>
          <w:bCs/>
          <w:color w:val="D97706"/>
          <w:sz w:val="22"/>
          <w:szCs w:val="22"/>
        </w:rPr>
        <w:t xml:space="preserve">⚠️ Section obligatoire — Taux d'échec, travail réel, coûts, signaux d'arnaque</w:t>
      </w:r>
    </w:p>
    <w:p>
      <w:pPr>
        <w:pStyle w:val="Heading3"/>
        <w:spacing w:after="80" w:before="200"/>
      </w:pPr>
      <w:r>
        <w:rPr>
          <w:rFonts w:ascii="Times New Roman" w:cs="Times New Roman" w:eastAsia="Times New Roman" w:hAnsi="Times New Roman"/>
          <w:b/>
          <w:bCs/>
          <w:color w:val="1F2937"/>
          <w:sz w:val="26"/>
          <w:szCs w:val="26"/>
        </w:rPr>
        <w:t xml:space="preserve">Données chiffrées disponibles</w:t>
      </w:r>
    </w:p>
    <w:p>
      <w:pPr>
        <w:pStyle w:val="ListParagraph"/>
        <w:numPr>
          <w:ilvl w:val="0"/>
          <w:numId w:val="1"/>
        </w:numPr>
        <w:spacing w:after="60" w:before="60"/>
      </w:pPr>
      <w:r>
        <w:rPr>
          <w:rFonts w:ascii="Times New Roman" w:cs="Times New Roman" w:eastAsia="Times New Roman" w:hAnsi="Times New Roman"/>
          <w:color w:val="1F2937"/>
          <w:sz w:val="22"/>
          <w:szCs w:val="22"/>
        </w:rPr>
        <w:t xml:space="preserve">67 % des personnes qui se lancent dans une stratégie de « revenus passifs » n'atteignent jamais de revenus significatifs — elles abandonnent avant (source : Bankrate 2024, cité dans plusieurs comparatifs de recherche ; donnée à considérer avec prudence car l'étude originale n'était pas directement accessible au moment de la rédaction — synthèse, non citation directe).</w:t>
      </w:r>
    </w:p>
    <w:p>
      <w:pPr>
        <w:pStyle w:val="ListParagraph"/>
        <w:numPr>
          <w:ilvl w:val="0"/>
          <w:numId w:val="1"/>
        </w:numPr>
        <w:spacing w:after="60" w:before="60"/>
      </w:pPr>
      <w:r>
        <w:rPr>
          <w:rFonts w:ascii="Times New Roman" w:cs="Times New Roman" w:eastAsia="Times New Roman" w:hAnsi="Times New Roman"/>
          <w:color w:val="1F2937"/>
          <w:sz w:val="22"/>
          <w:szCs w:val="22"/>
        </w:rPr>
        <w:t xml:space="preserve">Délai réaliste avant premier euro : 6 à 18 mois pour les modèles reposant sur du contenu ou de l'affiliation ; plusieurs années pour les placements financiers avec un capital de départ limité. Donnée issue de la littérature sectorielle générale — aucun chiffre officiel sourcé directement pendant cette exécution.</w:t>
      </w:r>
    </w:p>
    <w:p>
      <w:pPr>
        <w:pStyle w:val="ListParagraph"/>
        <w:numPr>
          <w:ilvl w:val="0"/>
          <w:numId w:val="1"/>
        </w:numPr>
        <w:spacing w:after="60" w:before="60"/>
      </w:pPr>
      <w:r>
        <w:rPr>
          <w:rFonts w:ascii="Times New Roman" w:cs="Times New Roman" w:eastAsia="Times New Roman" w:hAnsi="Times New Roman"/>
          <w:color w:val="1F2937"/>
          <w:sz w:val="22"/>
          <w:szCs w:val="22"/>
        </w:rPr>
        <w:t xml:space="preserve">Revenu complémentaire médian en première année pour les créateurs de contenu (ebooks, formations) : souvent inférieur à quelques centaines d'euros par mois, selon les retours d'expérience de la communauté Indie Hackers (indiehackers.com, consultés mais non agrégés en chiffre précis — données non trouvées sous forme statistique exploitable).</w:t>
      </w:r>
    </w:p>
    <w:p>
      <w:r>
        <w:t xml:space="preserve"/>
      </w:r>
    </w:p>
    <w:p>
      <w:pPr>
        <w:spacing w:after="80" w:before="80"/>
      </w:pPr>
      <w:r>
        <w:rPr>
          <w:rFonts w:ascii="Times New Roman" w:cs="Times New Roman" w:eastAsia="Times New Roman" w:hAnsi="Times New Roman"/>
          <w:color w:val="1F2937"/>
          <w:sz w:val="22"/>
          <w:szCs w:val="22"/>
        </w:rPr>
        <w:t xml:space="preserve">⚠️ Note de transparence : les chiffres ci-dessus sont des ordres de grandeur issus de sources généralistes consultées. Aucune étude officielle française chiffrée précisément sur le taux d'échec des « revenus passifs » n'a été trouvée pendant cette exécution. À traiter comme indicateurs contextuels, non comme données scientifiques.</w:t>
      </w:r>
    </w:p>
    <w:p>
      <w:pPr>
        <w:pStyle w:val="Heading3"/>
        <w:spacing w:after="80" w:before="200"/>
      </w:pPr>
      <w:r>
        <w:rPr>
          <w:rFonts w:ascii="Times New Roman" w:cs="Times New Roman" w:eastAsia="Times New Roman" w:hAnsi="Times New Roman"/>
          <w:b/>
          <w:bCs/>
          <w:color w:val="1F2937"/>
          <w:sz w:val="26"/>
          <w:szCs w:val="26"/>
        </w:rPr>
        <w:t xml:space="preserve">Mises en garde officielles de l'AMF</w:t>
      </w:r>
    </w:p>
    <w:p>
      <w:pPr>
        <w:pBdr>
          <w:left w:val="single" w:color="1B3A6B" w:sz="12"/>
        </w:pBdr>
        <w:shd w:fill="EEF2F7" w:val="clear"/>
        <w:spacing w:after="100" w:before="100"/>
        <w:ind w:left="431"/>
      </w:pPr>
      <w:r>
        <w:rPr>
          <w:rFonts w:ascii="Times New Roman" w:cs="Times New Roman" w:eastAsia="Times New Roman" w:hAnsi="Times New Roman"/>
          <w:i/>
          <w:iCs/>
          <w:color w:val="1F2937"/>
          <w:sz w:val="22"/>
          <w:szCs w:val="22"/>
        </w:rPr>
        <w:t xml:space="preserve">L'AMF (Autorité des Marchés Financiers) est l'autorité française de régulation des marchés. Elle tient à jour une liste noire des acteurs non autorisés et publie des alertes régulières sur les arnaques ciblant les particuliers (</w:t>
      </w:r>
      <w:hyperlink w:history="1" r:id="rIddgs-28eseub9jibt4pjdr">
        <w:r>
          <w:rPr>
            <w:rFonts w:ascii="Times New Roman" w:cs="Times New Roman" w:eastAsia="Times New Roman" w:hAnsi="Times New Roman"/>
            <w:color w:val="1155CC"/>
            <w:sz w:val="22"/>
            <w:szCs w:val="22"/>
            <w:u w:val="single"/>
          </w:rPr>
          <w:t xml:space="preserve">amf-france.org — Espace Épargnants</w:t>
        </w:r>
      </w:hyperlink>
      <w:r>
        <w:rPr>
          <w:rFonts w:ascii="Times New Roman" w:cs="Times New Roman" w:eastAsia="Times New Roman" w:hAnsi="Times New Roman"/>
          <w:i/>
          <w:iCs/>
          <w:color w:val="1F2937"/>
          <w:sz w:val="22"/>
          <w:szCs w:val="22"/>
        </w:rPr>
        <w:t xml:space="preserve">).</w:t>
      </w:r>
    </w:p>
    <w:p>
      <w:pPr>
        <w:spacing w:after="80" w:before="80"/>
      </w:pPr>
      <w:r>
        <w:rPr>
          <w:rFonts w:ascii="Times New Roman" w:cs="Times New Roman" w:eastAsia="Times New Roman" w:hAnsi="Times New Roman"/>
          <w:color w:val="1F2937"/>
          <w:sz w:val="22"/>
          <w:szCs w:val="22"/>
        </w:rPr>
        <w:t xml:space="preserve">Principaux avertissements publiés par l'AMF :</w:t>
      </w:r>
    </w:p>
    <w:p>
      <w:pPr>
        <w:pStyle w:val="ListParagraph"/>
        <w:numPr>
          <w:ilvl w:val="0"/>
          <w:numId w:val="1"/>
        </w:numPr>
        <w:spacing w:after="60" w:before="60"/>
      </w:pPr>
      <w:r>
        <w:rPr>
          <w:rFonts w:ascii="Times New Roman" w:cs="Times New Roman" w:eastAsia="Times New Roman" w:hAnsi="Times New Roman"/>
          <w:color w:val="1F2937"/>
          <w:sz w:val="22"/>
          <w:szCs w:val="22"/>
        </w:rPr>
        <w:t xml:space="preserve">L'AMF met en garde contre les promesses de gains faciles et met à disposition des épargnants ses listes noires d'acteurs non autorisés, ses conseils pour éviter les arnaques et le site AMF Protect Epargne (synthèse de la page Espace Épargnants — non citation littérale ; aucun slogan de campagne n'y est formulé comme tel).</w:t>
      </w:r>
    </w:p>
    <w:p>
      <w:pPr>
        <w:pStyle w:val="ListParagraph"/>
        <w:numPr>
          <w:ilvl w:val="0"/>
          <w:numId w:val="1"/>
        </w:numPr>
        <w:spacing w:after="60" w:before="60"/>
      </w:pPr>
      <w:r>
        <w:rPr>
          <w:rFonts w:ascii="Times New Roman" w:cs="Times New Roman" w:eastAsia="Times New Roman" w:hAnsi="Times New Roman"/>
          <w:color w:val="1F2937"/>
          <w:sz w:val="22"/>
          <w:szCs w:val="22"/>
        </w:rPr>
        <w:t xml:space="preserve">Les formations au trading Forex et crypto ciblant les jeunes via TikTok et Instagram fonctionnent souvent sur un système pyramidal : le revenu des initiateurs vient de la vente de formations, pas de leurs investissements réels.</w:t>
      </w:r>
    </w:p>
    <w:p>
      <w:pPr>
        <w:pStyle w:val="ListParagraph"/>
        <w:numPr>
          <w:ilvl w:val="0"/>
          <w:numId w:val="1"/>
        </w:numPr>
        <w:spacing w:after="60" w:before="60"/>
      </w:pPr>
      <w:r>
        <w:rPr>
          <w:rFonts w:ascii="Times New Roman" w:cs="Times New Roman" w:eastAsia="Times New Roman" w:hAnsi="Times New Roman"/>
          <w:color w:val="1F2937"/>
          <w:sz w:val="22"/>
          <w:szCs w:val="22"/>
        </w:rPr>
        <w:t xml:space="preserve">Le Forex implique un risque de perte supérieure au capital investi (effet de levier).</w:t>
      </w:r>
    </w:p>
    <w:p>
      <w:pPr>
        <w:pStyle w:val="ListParagraph"/>
        <w:numPr>
          <w:ilvl w:val="0"/>
          <w:numId w:val="1"/>
        </w:numPr>
        <w:spacing w:after="60" w:before="60"/>
      </w:pPr>
      <w:r>
        <w:rPr>
          <w:rFonts w:ascii="Times New Roman" w:cs="Times New Roman" w:eastAsia="Times New Roman" w:hAnsi="Times New Roman"/>
          <w:color w:val="1F2937"/>
          <w:sz w:val="22"/>
          <w:szCs w:val="22"/>
        </w:rPr>
        <w:t xml:space="preserve">Indicateurs d'arnaque officiellement documentés par l'AMF : promesses de « 10 000 €/mois sans rien faire », photos de luxe (voitures, villas à Dubaï), formations coûteuses dont le profit provient uniquement du recrutement.</w:t>
      </w:r>
    </w:p>
    <w:p>
      <w:pPr>
        <w:pStyle w:val="Heading3"/>
        <w:spacing w:after="80" w:before="200"/>
      </w:pPr>
      <w:r>
        <w:rPr>
          <w:rFonts w:ascii="Times New Roman" w:cs="Times New Roman" w:eastAsia="Times New Roman" w:hAnsi="Times New Roman"/>
          <w:b/>
          <w:bCs/>
          <w:color w:val="1F2937"/>
          <w:sz w:val="26"/>
          <w:szCs w:val="26"/>
        </w:rPr>
        <w:t xml:space="preserve">Fiscalité — Ce que le marketing ne dit jamais</w:t>
      </w:r>
    </w:p>
    <w:p>
      <w:pPr>
        <w:spacing w:after="80" w:before="80"/>
      </w:pPr>
      <w:r>
        <w:rPr>
          <w:rFonts w:ascii="Times New Roman" w:cs="Times New Roman" w:eastAsia="Times New Roman" w:hAnsi="Times New Roman"/>
          <w:color w:val="1F2937"/>
          <w:sz w:val="22"/>
          <w:szCs w:val="22"/>
        </w:rPr>
        <w:t xml:space="preserve">En France, les revenus du capital sont imposés. Le régime standard (Prélèvement Forfaitaire Unique, PFU) est de 31,4 % : 12,8 % d'impôt sur le revenu + 18,6 % de prélèvements sociaux. Cela s'applique aux dividendes, intérêts, plus-values mobilières. ⚠️ Le taux des prélèvements sociaux est passé de 17,2 % à 18,6 % au 1er janvier 2026 (17,2 % ne subsiste que pour certains bons de capitalisation et contrats d'assurance-vie). Un PFU annoncé à 30 % est donc une donnée PÉRIMÉE — elle reste très répandue dans les contenus en ligne : vérifie toujours ce taux à la source.</w:t>
      </w:r>
    </w:p>
    <w:p>
      <w:pPr>
        <w:spacing w:after="80" w:before="80"/>
      </w:pPr>
      <w:r>
        <w:rPr>
          <w:rFonts w:ascii="Times New Roman" w:cs="Times New Roman" w:eastAsia="Times New Roman" w:hAnsi="Times New Roman"/>
          <w:color w:val="1F2937"/>
          <w:sz w:val="22"/>
          <w:szCs w:val="22"/>
        </w:rPr>
        <w:t xml:space="preserve">Les revenus fonciers (location immobilière) sont déclarés à l'IR et soumis aux prélèvements sociaux. Le micro-foncier (abattement forfaitaire de 30 %) s'applique si les revenus bruts n'excèdent pas 15 000 € par an.</w:t>
      </w:r>
    </w:p>
    <w:p>
      <w:pPr>
        <w:spacing w:after="80" w:before="80"/>
      </w:pPr>
      <w:r>
        <w:rPr>
          <w:rFonts w:ascii="Times New Roman" w:cs="Times New Roman" w:eastAsia="Times New Roman" w:hAnsi="Times New Roman"/>
          <w:color w:val="1F2937"/>
          <w:sz w:val="22"/>
          <w:szCs w:val="22"/>
        </w:rPr>
        <w:t xml:space="preserve">Source : impots.gouv.fr, qui indique un prélèvement obligatoire de 31,4 % au total, soit 12,8 % au titre de l'impôt sur le revenu et 18,6 % au titre des prélèvements sociaux (page vérifiée le 26/07/2026). Les taux et seuils évoluent — toujours vérifier sur impots.gouv.fr avant toute décision. [Correction du 26/07/2026 : la version initiale de cette leçon indiquait 30 % (12,8 + 17,2 %), taux antérieur au 1er janvier 2026.]</w:t>
      </w:r>
    </w:p>
    <w:p>
      <w:pPr>
        <w:spacing w:after="200" w:before="200"/>
      </w:pPr>
      <w:r>
        <w:rPr>
          <w:rFonts w:ascii="Times New Roman" w:cs="Times New Roman" w:eastAsia="Times New Roman" w:hAnsi="Times New Roman"/>
          <w:color w:val="AAAAAA"/>
          <w:sz w:val="16"/>
          <w:szCs w:val="16"/>
        </w:rPr>
        <w:t xml:space="preserve">─────────────────────────────────────────────────────────────</w:t>
      </w:r>
    </w:p>
    <w:p>
      <w:pPr>
        <w:pStyle w:val="Heading2"/>
        <w:spacing w:after="120" w:before="300"/>
      </w:pPr>
      <w:r>
        <w:rPr>
          <w:rFonts w:ascii="Times New Roman" w:cs="Times New Roman" w:eastAsia="Times New Roman" w:hAnsi="Times New Roman"/>
          <w:b/>
          <w:bCs/>
          <w:color w:val="1B3A6B"/>
          <w:sz w:val="30"/>
          <w:szCs w:val="30"/>
        </w:rPr>
        <w:t xml:space="preserve">🛠️ Pratique (80 %)</w:t>
      </w:r>
    </w:p>
    <w:p>
      <w:pPr>
        <w:pStyle w:val="Heading3"/>
        <w:spacing w:after="80" w:before="200"/>
      </w:pPr>
      <w:r>
        <w:rPr>
          <w:rFonts w:ascii="Times New Roman" w:cs="Times New Roman" w:eastAsia="Times New Roman" w:hAnsi="Times New Roman"/>
          <w:b/>
          <w:bCs/>
          <w:color w:val="1F2937"/>
          <w:sz w:val="26"/>
          <w:szCs w:val="26"/>
        </w:rPr>
        <w:t xml:space="preserve">Exercice 1 — Situer 5 modèles sur le continuum</w:t>
      </w:r>
    </w:p>
    <w:p>
      <w:pPr>
        <w:spacing w:after="80" w:before="80"/>
      </w:pPr>
      <w:r>
        <w:rPr>
          <w:rFonts w:ascii="Times New Roman" w:cs="Times New Roman" w:eastAsia="Times New Roman" w:hAnsi="Times New Roman"/>
          <w:color w:val="1F2937"/>
          <w:sz w:val="22"/>
          <w:szCs w:val="22"/>
        </w:rPr>
        <w:t xml:space="preserve">Objectif : apprendre à placer concrètement des modèles sur le spectre actif/passif.</w:t>
      </w:r>
    </w:p>
    <w:p>
      <w:r>
        <w:t xml:space="preserve"/>
      </w:r>
    </w:p>
    <w:p>
      <w:pPr>
        <w:spacing w:after="80" w:before="80"/>
      </w:pPr>
      <w:r>
        <w:rPr>
          <w:rFonts w:ascii="Times New Roman" w:cs="Times New Roman" w:eastAsia="Times New Roman" w:hAnsi="Times New Roman"/>
          <w:color w:val="1F2937"/>
          <w:sz w:val="22"/>
          <w:szCs w:val="22"/>
        </w:rPr>
        <w:t xml:space="preserve">Pour chacun des 5 modèles ci-dessous, estime et note dans un tableau :</w:t>
      </w:r>
    </w:p>
    <w:p>
      <w:pPr>
        <w:pStyle w:val="ListParagraph"/>
        <w:numPr>
          <w:ilvl w:val="0"/>
          <w:numId w:val="1"/>
        </w:numPr>
        <w:spacing w:after="60" w:before="60"/>
      </w:pPr>
      <w:r>
        <w:rPr>
          <w:rFonts w:ascii="Times New Roman" w:cs="Times New Roman" w:eastAsia="Times New Roman" w:hAnsi="Times New Roman"/>
          <w:color w:val="1F2937"/>
          <w:sz w:val="22"/>
          <w:szCs w:val="22"/>
        </w:rPr>
        <w:t xml:space="preserve">Capital financier requis pour démarrer (€, ordre de grandeur)</w:t>
      </w:r>
    </w:p>
    <w:p>
      <w:pPr>
        <w:pStyle w:val="ListParagraph"/>
        <w:numPr>
          <w:ilvl w:val="0"/>
          <w:numId w:val="1"/>
        </w:numPr>
        <w:spacing w:after="60" w:before="60"/>
      </w:pPr>
      <w:r>
        <w:rPr>
          <w:rFonts w:ascii="Times New Roman" w:cs="Times New Roman" w:eastAsia="Times New Roman" w:hAnsi="Times New Roman"/>
          <w:color w:val="1F2937"/>
          <w:sz w:val="22"/>
          <w:szCs w:val="22"/>
        </w:rPr>
        <w:t xml:space="preserve">Heures de travail initial estimées (phase de lancement)</w:t>
      </w:r>
    </w:p>
    <w:p>
      <w:pPr>
        <w:pStyle w:val="ListParagraph"/>
        <w:numPr>
          <w:ilvl w:val="0"/>
          <w:numId w:val="1"/>
        </w:numPr>
        <w:spacing w:after="60" w:before="60"/>
      </w:pPr>
      <w:r>
        <w:rPr>
          <w:rFonts w:ascii="Times New Roman" w:cs="Times New Roman" w:eastAsia="Times New Roman" w:hAnsi="Times New Roman"/>
          <w:color w:val="1F2937"/>
          <w:sz w:val="22"/>
          <w:szCs w:val="22"/>
        </w:rPr>
        <w:t xml:space="preserve">Heures de maintenance mensuelle une fois en régime de croisière</w:t>
      </w:r>
    </w:p>
    <w:p>
      <w:pPr>
        <w:pStyle w:val="ListParagraph"/>
        <w:numPr>
          <w:ilvl w:val="0"/>
          <w:numId w:val="1"/>
        </w:numPr>
        <w:spacing w:after="60" w:before="60"/>
      </w:pPr>
      <w:r>
        <w:rPr>
          <w:rFonts w:ascii="Times New Roman" w:cs="Times New Roman" w:eastAsia="Times New Roman" w:hAnsi="Times New Roman"/>
          <w:color w:val="1F2937"/>
          <w:sz w:val="22"/>
          <w:szCs w:val="22"/>
        </w:rPr>
        <w:t xml:space="preserve">Position sur le continuum : ACTIF / SEMI-PASSIF / PASSIF</w:t>
      </w:r>
    </w:p>
    <w:p>
      <w: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tblGrid>
      <w:tr>
        <w:tc>
          <w:tcPr>
            <w:shd w:fill="1B3A6B" w:val="clear"/>
          </w:tcPr>
          <w:p>
            <w:r>
              <w:rPr>
                <w:rFonts w:ascii="Times New Roman" w:cs="Times New Roman" w:eastAsia="Times New Roman" w:hAnsi="Times New Roman"/>
                <w:b/>
                <w:bCs/>
                <w:color w:val="FFFFFF"/>
                <w:sz w:val="20"/>
                <w:szCs w:val="20"/>
              </w:rPr>
              <w:t xml:space="preserve">Modèle</w:t>
            </w:r>
          </w:p>
        </w:tc>
        <w:tc>
          <w:tcPr>
            <w:shd w:fill="1B3A6B" w:val="clear"/>
          </w:tcPr>
          <w:p>
            <w:r>
              <w:rPr>
                <w:rFonts w:ascii="Times New Roman" w:cs="Times New Roman" w:eastAsia="Times New Roman" w:hAnsi="Times New Roman"/>
                <w:b/>
                <w:bCs/>
                <w:color w:val="FFFFFF"/>
                <w:sz w:val="20"/>
                <w:szCs w:val="20"/>
              </w:rPr>
              <w:t xml:space="preserve">Capital (€)</w:t>
            </w:r>
          </w:p>
        </w:tc>
        <w:tc>
          <w:tcPr>
            <w:shd w:fill="1B3A6B" w:val="clear"/>
          </w:tcPr>
          <w:p>
            <w:r>
              <w:rPr>
                <w:rFonts w:ascii="Times New Roman" w:cs="Times New Roman" w:eastAsia="Times New Roman" w:hAnsi="Times New Roman"/>
                <w:b/>
                <w:bCs/>
                <w:color w:val="FFFFFF"/>
                <w:sz w:val="20"/>
                <w:szCs w:val="20"/>
              </w:rPr>
              <w:t xml:space="preserve">H. initiales</w:t>
            </w:r>
          </w:p>
        </w:tc>
        <w:tc>
          <w:tcPr>
            <w:shd w:fill="1B3A6B" w:val="clear"/>
          </w:tcPr>
          <w:p>
            <w:r>
              <w:rPr>
                <w:rFonts w:ascii="Times New Roman" w:cs="Times New Roman" w:eastAsia="Times New Roman" w:hAnsi="Times New Roman"/>
                <w:b/>
                <w:bCs/>
                <w:color w:val="FFFFFF"/>
                <w:sz w:val="20"/>
                <w:szCs w:val="20"/>
              </w:rPr>
              <w:t xml:space="preserve">H./mois en croisière</w:t>
            </w:r>
          </w:p>
        </w:tc>
        <w:tc>
          <w:tcPr>
            <w:shd w:fill="1B3A6B" w:val="clear"/>
          </w:tcPr>
          <w:p>
            <w:r>
              <w:rPr>
                <w:rFonts w:ascii="Times New Roman" w:cs="Times New Roman" w:eastAsia="Times New Roman" w:hAnsi="Times New Roman"/>
                <w:b/>
                <w:bCs/>
                <w:color w:val="FFFFFF"/>
                <w:sz w:val="20"/>
                <w:szCs w:val="20"/>
              </w:rPr>
              <w:t xml:space="preserve">Position</w:t>
            </w:r>
          </w:p>
        </w:tc>
      </w:tr>
      <w:tr>
        <w:tc>
          <w:tcPr>
            <w:shd w:fill="FFFFFF" w:val="clear"/>
          </w:tcPr>
          <w:p>
            <w:r>
              <w:rPr>
                <w:rFonts w:ascii="Times New Roman" w:cs="Times New Roman" w:eastAsia="Times New Roman" w:hAnsi="Times New Roman"/>
                <w:color w:val="1F2937"/>
                <w:sz w:val="20"/>
                <w:szCs w:val="20"/>
              </w:rPr>
              <w:t xml:space="preserve">Compte d'épargne livret A</w:t>
            </w:r>
          </w:p>
        </w:tc>
        <w:tc>
          <w:tcPr>
            <w:shd w:fill="FFFFFF" w:val="clear"/>
          </w:tcPr>
          <w:p>
            <w:r>
              <w:rPr>
                <w:rFonts w:ascii="Times New Roman" w:cs="Times New Roman" w:eastAsia="Times New Roman" w:hAnsi="Times New Roman"/>
                <w:color w:val="1F2937"/>
                <w:sz w:val="20"/>
                <w:szCs w:val="20"/>
              </w:rPr>
              <w:t xml:space="preserve"/>
            </w:r>
          </w:p>
        </w:tc>
        <w:tc>
          <w:tcPr>
            <w:shd w:fill="FFFFFF" w:val="clear"/>
          </w:tcPr>
          <w:p>
            <w:r>
              <w:rPr>
                <w:rFonts w:ascii="Times New Roman" w:cs="Times New Roman" w:eastAsia="Times New Roman" w:hAnsi="Times New Roman"/>
                <w:color w:val="1F2937"/>
                <w:sz w:val="20"/>
                <w:szCs w:val="20"/>
              </w:rPr>
              <w:t xml:space="preserve"/>
            </w:r>
          </w:p>
        </w:tc>
        <w:tc>
          <w:tcPr>
            <w:shd w:fill="FFFFFF" w:val="clear"/>
          </w:tcPr>
          <w:p>
            <w:r>
              <w:rPr>
                <w:rFonts w:ascii="Times New Roman" w:cs="Times New Roman" w:eastAsia="Times New Roman" w:hAnsi="Times New Roman"/>
                <w:color w:val="1F2937"/>
                <w:sz w:val="20"/>
                <w:szCs w:val="20"/>
              </w:rPr>
              <w:t xml:space="preserve"/>
            </w:r>
          </w:p>
        </w:tc>
        <w:tc>
          <w:tcPr>
            <w:shd w:fill="FFFFFF" w:val="clear"/>
          </w:tcPr>
          <w:p>
            <w:r>
              <w:rPr>
                <w:rFonts w:ascii="Times New Roman" w:cs="Times New Roman" w:eastAsia="Times New Roman" w:hAnsi="Times New Roman"/>
                <w:color w:val="1F2937"/>
                <w:sz w:val="20"/>
                <w:szCs w:val="20"/>
              </w:rPr>
              <w:t xml:space="preserve"/>
            </w:r>
          </w:p>
        </w:tc>
      </w:tr>
      <w:tr>
        <w:tc>
          <w:tcPr>
            <w:shd w:fill="EEF2F7" w:val="clear"/>
          </w:tcPr>
          <w:p>
            <w:r>
              <w:rPr>
                <w:rFonts w:ascii="Times New Roman" w:cs="Times New Roman" w:eastAsia="Times New Roman" w:hAnsi="Times New Roman"/>
                <w:color w:val="1F2937"/>
                <w:sz w:val="20"/>
                <w:szCs w:val="20"/>
              </w:rPr>
              <w:t xml:space="preserve">Ebook vendu sur Amazon KDP</w:t>
            </w:r>
          </w:p>
        </w:tc>
        <w:tc>
          <w:tcPr>
            <w:shd w:fill="EEF2F7" w:val="clear"/>
          </w:tcPr>
          <w:p>
            <w:r>
              <w:rPr>
                <w:rFonts w:ascii="Times New Roman" w:cs="Times New Roman" w:eastAsia="Times New Roman" w:hAnsi="Times New Roman"/>
                <w:color w:val="1F2937"/>
                <w:sz w:val="20"/>
                <w:szCs w:val="20"/>
              </w:rPr>
              <w:t xml:space="preserve"/>
            </w:r>
          </w:p>
        </w:tc>
        <w:tc>
          <w:tcPr>
            <w:shd w:fill="EEF2F7" w:val="clear"/>
          </w:tcPr>
          <w:p>
            <w:r>
              <w:rPr>
                <w:rFonts w:ascii="Times New Roman" w:cs="Times New Roman" w:eastAsia="Times New Roman" w:hAnsi="Times New Roman"/>
                <w:color w:val="1F2937"/>
                <w:sz w:val="20"/>
                <w:szCs w:val="20"/>
              </w:rPr>
              <w:t xml:space="preserve"/>
            </w:r>
          </w:p>
        </w:tc>
        <w:tc>
          <w:tcPr>
            <w:shd w:fill="EEF2F7" w:val="clear"/>
          </w:tcPr>
          <w:p>
            <w:r>
              <w:rPr>
                <w:rFonts w:ascii="Times New Roman" w:cs="Times New Roman" w:eastAsia="Times New Roman" w:hAnsi="Times New Roman"/>
                <w:color w:val="1F2937"/>
                <w:sz w:val="20"/>
                <w:szCs w:val="20"/>
              </w:rPr>
              <w:t xml:space="preserve"/>
            </w:r>
          </w:p>
        </w:tc>
        <w:tc>
          <w:tcPr>
            <w:shd w:fill="EEF2F7" w:val="clear"/>
          </w:tcPr>
          <w:p>
            <w:r>
              <w:rPr>
                <w:rFonts w:ascii="Times New Roman" w:cs="Times New Roman" w:eastAsia="Times New Roman" w:hAnsi="Times New Roman"/>
                <w:color w:val="1F2937"/>
                <w:sz w:val="20"/>
                <w:szCs w:val="20"/>
              </w:rPr>
              <w:t xml:space="preserve"/>
            </w:r>
          </w:p>
        </w:tc>
      </w:tr>
      <w:tr>
        <w:tc>
          <w:tcPr>
            <w:shd w:fill="FFFFFF" w:val="clear"/>
          </w:tcPr>
          <w:p>
            <w:r>
              <w:rPr>
                <w:rFonts w:ascii="Times New Roman" w:cs="Times New Roman" w:eastAsia="Times New Roman" w:hAnsi="Times New Roman"/>
                <w:color w:val="1F2937"/>
                <w:sz w:val="20"/>
                <w:szCs w:val="20"/>
              </w:rPr>
              <w:t xml:space="preserve">Affiliation sur un blog</w:t>
            </w:r>
          </w:p>
        </w:tc>
        <w:tc>
          <w:tcPr>
            <w:shd w:fill="FFFFFF" w:val="clear"/>
          </w:tcPr>
          <w:p>
            <w:r>
              <w:rPr>
                <w:rFonts w:ascii="Times New Roman" w:cs="Times New Roman" w:eastAsia="Times New Roman" w:hAnsi="Times New Roman"/>
                <w:color w:val="1F2937"/>
                <w:sz w:val="20"/>
                <w:szCs w:val="20"/>
              </w:rPr>
              <w:t xml:space="preserve"/>
            </w:r>
          </w:p>
        </w:tc>
        <w:tc>
          <w:tcPr>
            <w:shd w:fill="FFFFFF" w:val="clear"/>
          </w:tcPr>
          <w:p>
            <w:r>
              <w:rPr>
                <w:rFonts w:ascii="Times New Roman" w:cs="Times New Roman" w:eastAsia="Times New Roman" w:hAnsi="Times New Roman"/>
                <w:color w:val="1F2937"/>
                <w:sz w:val="20"/>
                <w:szCs w:val="20"/>
              </w:rPr>
              <w:t xml:space="preserve"/>
            </w:r>
          </w:p>
        </w:tc>
        <w:tc>
          <w:tcPr>
            <w:shd w:fill="FFFFFF" w:val="clear"/>
          </w:tcPr>
          <w:p>
            <w:r>
              <w:rPr>
                <w:rFonts w:ascii="Times New Roman" w:cs="Times New Roman" w:eastAsia="Times New Roman" w:hAnsi="Times New Roman"/>
                <w:color w:val="1F2937"/>
                <w:sz w:val="20"/>
                <w:szCs w:val="20"/>
              </w:rPr>
              <w:t xml:space="preserve"/>
            </w:r>
          </w:p>
        </w:tc>
        <w:tc>
          <w:tcPr>
            <w:shd w:fill="FFFFFF" w:val="clear"/>
          </w:tcPr>
          <w:p>
            <w:r>
              <w:rPr>
                <w:rFonts w:ascii="Times New Roman" w:cs="Times New Roman" w:eastAsia="Times New Roman" w:hAnsi="Times New Roman"/>
                <w:color w:val="1F2937"/>
                <w:sz w:val="20"/>
                <w:szCs w:val="20"/>
              </w:rPr>
              <w:t xml:space="preserve"/>
            </w:r>
          </w:p>
        </w:tc>
      </w:tr>
      <w:tr>
        <w:tc>
          <w:tcPr>
            <w:shd w:fill="EEF2F7" w:val="clear"/>
          </w:tcPr>
          <w:p>
            <w:r>
              <w:rPr>
                <w:rFonts w:ascii="Times New Roman" w:cs="Times New Roman" w:eastAsia="Times New Roman" w:hAnsi="Times New Roman"/>
                <w:color w:val="1F2937"/>
                <w:sz w:val="20"/>
                <w:szCs w:val="20"/>
              </w:rPr>
              <w:t xml:space="preserve">Appartement en location</w:t>
            </w:r>
          </w:p>
        </w:tc>
        <w:tc>
          <w:tcPr>
            <w:shd w:fill="EEF2F7" w:val="clear"/>
          </w:tcPr>
          <w:p>
            <w:r>
              <w:rPr>
                <w:rFonts w:ascii="Times New Roman" w:cs="Times New Roman" w:eastAsia="Times New Roman" w:hAnsi="Times New Roman"/>
                <w:color w:val="1F2937"/>
                <w:sz w:val="20"/>
                <w:szCs w:val="20"/>
              </w:rPr>
              <w:t xml:space="preserve"/>
            </w:r>
          </w:p>
        </w:tc>
        <w:tc>
          <w:tcPr>
            <w:shd w:fill="EEF2F7" w:val="clear"/>
          </w:tcPr>
          <w:p>
            <w:r>
              <w:rPr>
                <w:rFonts w:ascii="Times New Roman" w:cs="Times New Roman" w:eastAsia="Times New Roman" w:hAnsi="Times New Roman"/>
                <w:color w:val="1F2937"/>
                <w:sz w:val="20"/>
                <w:szCs w:val="20"/>
              </w:rPr>
              <w:t xml:space="preserve"/>
            </w:r>
          </w:p>
        </w:tc>
        <w:tc>
          <w:tcPr>
            <w:shd w:fill="EEF2F7" w:val="clear"/>
          </w:tcPr>
          <w:p>
            <w:r>
              <w:rPr>
                <w:rFonts w:ascii="Times New Roman" w:cs="Times New Roman" w:eastAsia="Times New Roman" w:hAnsi="Times New Roman"/>
                <w:color w:val="1F2937"/>
                <w:sz w:val="20"/>
                <w:szCs w:val="20"/>
              </w:rPr>
              <w:t xml:space="preserve"/>
            </w:r>
          </w:p>
        </w:tc>
        <w:tc>
          <w:tcPr>
            <w:shd w:fill="EEF2F7" w:val="clear"/>
          </w:tcPr>
          <w:p>
            <w:r>
              <w:rPr>
                <w:rFonts w:ascii="Times New Roman" w:cs="Times New Roman" w:eastAsia="Times New Roman" w:hAnsi="Times New Roman"/>
                <w:color w:val="1F2937"/>
                <w:sz w:val="20"/>
                <w:szCs w:val="20"/>
              </w:rPr>
              <w:t xml:space="preserve"/>
            </w:r>
          </w:p>
        </w:tc>
      </w:tr>
      <w:tr>
        <w:tc>
          <w:tcPr>
            <w:shd w:fill="FFFFFF" w:val="clear"/>
          </w:tcPr>
          <w:p>
            <w:r>
              <w:rPr>
                <w:rFonts w:ascii="Times New Roman" w:cs="Times New Roman" w:eastAsia="Times New Roman" w:hAnsi="Times New Roman"/>
                <w:color w:val="1F2937"/>
                <w:sz w:val="20"/>
                <w:szCs w:val="20"/>
              </w:rPr>
              <w:t xml:space="preserve">Chaîne YouTube monétisée</w:t>
            </w:r>
          </w:p>
        </w:tc>
        <w:tc>
          <w:tcPr>
            <w:shd w:fill="FFFFFF" w:val="clear"/>
          </w:tcPr>
          <w:p>
            <w:r>
              <w:rPr>
                <w:rFonts w:ascii="Times New Roman" w:cs="Times New Roman" w:eastAsia="Times New Roman" w:hAnsi="Times New Roman"/>
                <w:color w:val="1F2937"/>
                <w:sz w:val="20"/>
                <w:szCs w:val="20"/>
              </w:rPr>
              <w:t xml:space="preserve"/>
            </w:r>
          </w:p>
        </w:tc>
        <w:tc>
          <w:tcPr>
            <w:shd w:fill="FFFFFF" w:val="clear"/>
          </w:tcPr>
          <w:p>
            <w:r>
              <w:rPr>
                <w:rFonts w:ascii="Times New Roman" w:cs="Times New Roman" w:eastAsia="Times New Roman" w:hAnsi="Times New Roman"/>
                <w:color w:val="1F2937"/>
                <w:sz w:val="20"/>
                <w:szCs w:val="20"/>
              </w:rPr>
              <w:t xml:space="preserve"/>
            </w:r>
          </w:p>
        </w:tc>
        <w:tc>
          <w:tcPr>
            <w:shd w:fill="FFFFFF" w:val="clear"/>
          </w:tcPr>
          <w:p>
            <w:r>
              <w:rPr>
                <w:rFonts w:ascii="Times New Roman" w:cs="Times New Roman" w:eastAsia="Times New Roman" w:hAnsi="Times New Roman"/>
                <w:color w:val="1F2937"/>
                <w:sz w:val="20"/>
                <w:szCs w:val="20"/>
              </w:rPr>
              <w:t xml:space="preserve"/>
            </w:r>
          </w:p>
        </w:tc>
        <w:tc>
          <w:tcPr>
            <w:shd w:fill="FFFFFF" w:val="clear"/>
          </w:tcPr>
          <w:p>
            <w:r>
              <w:rPr>
                <w:rFonts w:ascii="Times New Roman" w:cs="Times New Roman" w:eastAsia="Times New Roman" w:hAnsi="Times New Roman"/>
                <w:color w:val="1F2937"/>
                <w:sz w:val="20"/>
                <w:szCs w:val="20"/>
              </w:rPr>
              <w:t xml:space="preserve"/>
            </w:r>
          </w:p>
        </w:tc>
      </w:tr>
    </w:tbl>
    <w:p>
      <w:r>
        <w:t xml:space="preserve"/>
      </w:r>
    </w:p>
    <w:p>
      <w:pPr>
        <w:spacing w:after="80" w:before="80"/>
      </w:pPr>
      <w:r>
        <w:rPr>
          <w:rFonts w:ascii="Times New Roman" w:cs="Times New Roman" w:eastAsia="Times New Roman" w:hAnsi="Times New Roman"/>
          <w:b/>
          <w:bCs/>
          <w:color w:val="1F2937"/>
          <w:sz w:val="22"/>
          <w:szCs w:val="22"/>
        </w:rPr>
        <w:t xml:space="preserve">Corrigé indicatif :</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tblGrid>
      <w:tr>
        <w:tc>
          <w:tcPr>
            <w:shd w:fill="1B3A6B" w:val="clear"/>
          </w:tcPr>
          <w:p>
            <w:r>
              <w:rPr>
                <w:rFonts w:ascii="Times New Roman" w:cs="Times New Roman" w:eastAsia="Times New Roman" w:hAnsi="Times New Roman"/>
                <w:b/>
                <w:bCs/>
                <w:color w:val="FFFFFF"/>
                <w:sz w:val="20"/>
                <w:szCs w:val="20"/>
              </w:rPr>
              <w:t xml:space="preserve">Modèle</w:t>
            </w:r>
          </w:p>
        </w:tc>
        <w:tc>
          <w:tcPr>
            <w:shd w:fill="1B3A6B" w:val="clear"/>
          </w:tcPr>
          <w:p>
            <w:r>
              <w:rPr>
                <w:rFonts w:ascii="Times New Roman" w:cs="Times New Roman" w:eastAsia="Times New Roman" w:hAnsi="Times New Roman"/>
                <w:b/>
                <w:bCs/>
                <w:color w:val="FFFFFF"/>
                <w:sz w:val="20"/>
                <w:szCs w:val="20"/>
              </w:rPr>
              <w:t xml:space="preserve">Capital (€)</w:t>
            </w:r>
          </w:p>
        </w:tc>
        <w:tc>
          <w:tcPr>
            <w:shd w:fill="1B3A6B" w:val="clear"/>
          </w:tcPr>
          <w:p>
            <w:r>
              <w:rPr>
                <w:rFonts w:ascii="Times New Roman" w:cs="Times New Roman" w:eastAsia="Times New Roman" w:hAnsi="Times New Roman"/>
                <w:b/>
                <w:bCs/>
                <w:color w:val="FFFFFF"/>
                <w:sz w:val="20"/>
                <w:szCs w:val="20"/>
              </w:rPr>
              <w:t xml:space="preserve">H. initiales</w:t>
            </w:r>
          </w:p>
        </w:tc>
        <w:tc>
          <w:tcPr>
            <w:shd w:fill="1B3A6B" w:val="clear"/>
          </w:tcPr>
          <w:p>
            <w:r>
              <w:rPr>
                <w:rFonts w:ascii="Times New Roman" w:cs="Times New Roman" w:eastAsia="Times New Roman" w:hAnsi="Times New Roman"/>
                <w:b/>
                <w:bCs/>
                <w:color w:val="FFFFFF"/>
                <w:sz w:val="20"/>
                <w:szCs w:val="20"/>
              </w:rPr>
              <w:t xml:space="preserve">H./mois croisière</w:t>
            </w:r>
          </w:p>
        </w:tc>
        <w:tc>
          <w:tcPr>
            <w:shd w:fill="1B3A6B" w:val="clear"/>
          </w:tcPr>
          <w:p>
            <w:r>
              <w:rPr>
                <w:rFonts w:ascii="Times New Roman" w:cs="Times New Roman" w:eastAsia="Times New Roman" w:hAnsi="Times New Roman"/>
                <w:b/>
                <w:bCs/>
                <w:color w:val="FFFFFF"/>
                <w:sz w:val="20"/>
                <w:szCs w:val="20"/>
              </w:rPr>
              <w:t xml:space="preserve">Position</w:t>
            </w:r>
          </w:p>
        </w:tc>
      </w:tr>
      <w:tr>
        <w:tc>
          <w:tcPr>
            <w:shd w:fill="FFFFFF" w:val="clear"/>
          </w:tcPr>
          <w:p>
            <w:r>
              <w:rPr>
                <w:rFonts w:ascii="Times New Roman" w:cs="Times New Roman" w:eastAsia="Times New Roman" w:hAnsi="Times New Roman"/>
                <w:color w:val="1F2937"/>
                <w:sz w:val="20"/>
                <w:szCs w:val="20"/>
              </w:rPr>
              <w:t xml:space="preserve">Livret A</w:t>
            </w:r>
          </w:p>
        </w:tc>
        <w:tc>
          <w:tcPr>
            <w:shd w:fill="FFFFFF" w:val="clear"/>
          </w:tcPr>
          <w:p>
            <w:r>
              <w:rPr>
                <w:rFonts w:ascii="Times New Roman" w:cs="Times New Roman" w:eastAsia="Times New Roman" w:hAnsi="Times New Roman"/>
                <w:color w:val="1F2937"/>
                <w:sz w:val="20"/>
                <w:szCs w:val="20"/>
              </w:rPr>
              <w:t xml:space="preserve">Tout montant</w:t>
            </w:r>
          </w:p>
        </w:tc>
        <w:tc>
          <w:tcPr>
            <w:shd w:fill="FFFFFF" w:val="clear"/>
          </w:tcPr>
          <w:p>
            <w:r>
              <w:rPr>
                <w:rFonts w:ascii="Times New Roman" w:cs="Times New Roman" w:eastAsia="Times New Roman" w:hAnsi="Times New Roman"/>
                <w:color w:val="1F2937"/>
                <w:sz w:val="20"/>
                <w:szCs w:val="20"/>
              </w:rPr>
              <w:t xml:space="preserve">&lt; 1h (ouverture)</w:t>
            </w:r>
          </w:p>
        </w:tc>
        <w:tc>
          <w:tcPr>
            <w:shd w:fill="FFFFFF" w:val="clear"/>
          </w:tcPr>
          <w:p>
            <w:r>
              <w:rPr>
                <w:rFonts w:ascii="Times New Roman" w:cs="Times New Roman" w:eastAsia="Times New Roman" w:hAnsi="Times New Roman"/>
                <w:color w:val="1F2937"/>
                <w:sz w:val="20"/>
                <w:szCs w:val="20"/>
              </w:rPr>
              <w:t xml:space="preserve">&lt; 1h (consulter)</w:t>
            </w:r>
          </w:p>
        </w:tc>
        <w:tc>
          <w:tcPr>
            <w:shd w:fill="FFFFFF" w:val="clear"/>
          </w:tcPr>
          <w:p>
            <w:r>
              <w:rPr>
                <w:rFonts w:ascii="Times New Roman" w:cs="Times New Roman" w:eastAsia="Times New Roman" w:hAnsi="Times New Roman"/>
                <w:color w:val="1F2937"/>
                <w:sz w:val="20"/>
                <w:szCs w:val="20"/>
              </w:rPr>
              <w:t xml:space="preserve">PASSIF</w:t>
            </w:r>
          </w:p>
        </w:tc>
      </w:tr>
      <w:tr>
        <w:tc>
          <w:tcPr>
            <w:shd w:fill="EEF2F7" w:val="clear"/>
          </w:tcPr>
          <w:p>
            <w:r>
              <w:rPr>
                <w:rFonts w:ascii="Times New Roman" w:cs="Times New Roman" w:eastAsia="Times New Roman" w:hAnsi="Times New Roman"/>
                <w:color w:val="1F2937"/>
                <w:sz w:val="20"/>
                <w:szCs w:val="20"/>
              </w:rPr>
              <w:t xml:space="preserve">Ebook Amazon KDP</w:t>
            </w:r>
          </w:p>
        </w:tc>
        <w:tc>
          <w:tcPr>
            <w:shd w:fill="EEF2F7" w:val="clear"/>
          </w:tcPr>
          <w:p>
            <w:r>
              <w:rPr>
                <w:rFonts w:ascii="Times New Roman" w:cs="Times New Roman" w:eastAsia="Times New Roman" w:hAnsi="Times New Roman"/>
                <w:color w:val="1F2937"/>
                <w:sz w:val="20"/>
                <w:szCs w:val="20"/>
              </w:rPr>
              <w:t xml:space="preserve">Quasi nul</w:t>
            </w:r>
          </w:p>
        </w:tc>
        <w:tc>
          <w:tcPr>
            <w:shd w:fill="EEF2F7" w:val="clear"/>
          </w:tcPr>
          <w:p>
            <w:r>
              <w:rPr>
                <w:rFonts w:ascii="Times New Roman" w:cs="Times New Roman" w:eastAsia="Times New Roman" w:hAnsi="Times New Roman"/>
                <w:color w:val="1F2937"/>
                <w:sz w:val="20"/>
                <w:szCs w:val="20"/>
              </w:rPr>
              <w:t xml:space="preserve">80–200h (écriture, mise en page, couverture)</w:t>
            </w:r>
          </w:p>
        </w:tc>
        <w:tc>
          <w:tcPr>
            <w:shd w:fill="EEF2F7" w:val="clear"/>
          </w:tcPr>
          <w:p>
            <w:r>
              <w:rPr>
                <w:rFonts w:ascii="Times New Roman" w:cs="Times New Roman" w:eastAsia="Times New Roman" w:hAnsi="Times New Roman"/>
                <w:color w:val="1F2937"/>
                <w:sz w:val="20"/>
                <w:szCs w:val="20"/>
              </w:rPr>
              <w:t xml:space="preserve">2–5h (marketing, MAJ)</w:t>
            </w:r>
          </w:p>
        </w:tc>
        <w:tc>
          <w:tcPr>
            <w:shd w:fill="EEF2F7" w:val="clear"/>
          </w:tcPr>
          <w:p>
            <w:r>
              <w:rPr>
                <w:rFonts w:ascii="Times New Roman" w:cs="Times New Roman" w:eastAsia="Times New Roman" w:hAnsi="Times New Roman"/>
                <w:color w:val="1F2937"/>
                <w:sz w:val="20"/>
                <w:szCs w:val="20"/>
              </w:rPr>
              <w:t xml:space="preserve">SEMI-PASSIF</w:t>
            </w:r>
          </w:p>
        </w:tc>
      </w:tr>
      <w:tr>
        <w:tc>
          <w:tcPr>
            <w:shd w:fill="FFFFFF" w:val="clear"/>
          </w:tcPr>
          <w:p>
            <w:r>
              <w:rPr>
                <w:rFonts w:ascii="Times New Roman" w:cs="Times New Roman" w:eastAsia="Times New Roman" w:hAnsi="Times New Roman"/>
                <w:color w:val="1F2937"/>
                <w:sz w:val="20"/>
                <w:szCs w:val="20"/>
              </w:rPr>
              <w:t xml:space="preserve">Affiliation / blog</w:t>
            </w:r>
          </w:p>
        </w:tc>
        <w:tc>
          <w:tcPr>
            <w:shd w:fill="FFFFFF" w:val="clear"/>
          </w:tcPr>
          <w:p>
            <w:r>
              <w:rPr>
                <w:rFonts w:ascii="Times New Roman" w:cs="Times New Roman" w:eastAsia="Times New Roman" w:hAnsi="Times New Roman"/>
                <w:color w:val="1F2937"/>
                <w:sz w:val="20"/>
                <w:szCs w:val="20"/>
              </w:rPr>
              <w:t xml:space="preserve">Quasi nul</w:t>
            </w:r>
          </w:p>
        </w:tc>
        <w:tc>
          <w:tcPr>
            <w:shd w:fill="FFFFFF" w:val="clear"/>
          </w:tcPr>
          <w:p>
            <w:r>
              <w:rPr>
                <w:rFonts w:ascii="Times New Roman" w:cs="Times New Roman" w:eastAsia="Times New Roman" w:hAnsi="Times New Roman"/>
                <w:color w:val="1F2937"/>
                <w:sz w:val="20"/>
                <w:szCs w:val="20"/>
              </w:rPr>
              <w:t xml:space="preserve">100–500h (contenu SEO)</w:t>
            </w:r>
          </w:p>
        </w:tc>
        <w:tc>
          <w:tcPr>
            <w:shd w:fill="FFFFFF" w:val="clear"/>
          </w:tcPr>
          <w:p>
            <w:r>
              <w:rPr>
                <w:rFonts w:ascii="Times New Roman" w:cs="Times New Roman" w:eastAsia="Times New Roman" w:hAnsi="Times New Roman"/>
                <w:color w:val="1F2937"/>
                <w:sz w:val="20"/>
                <w:szCs w:val="20"/>
              </w:rPr>
              <w:t xml:space="preserve">5–20h (mise à jour, analyse)</w:t>
            </w:r>
          </w:p>
        </w:tc>
        <w:tc>
          <w:tcPr>
            <w:shd w:fill="FFFFFF" w:val="clear"/>
          </w:tcPr>
          <w:p>
            <w:r>
              <w:rPr>
                <w:rFonts w:ascii="Times New Roman" w:cs="Times New Roman" w:eastAsia="Times New Roman" w:hAnsi="Times New Roman"/>
                <w:color w:val="1F2937"/>
                <w:sz w:val="20"/>
                <w:szCs w:val="20"/>
              </w:rPr>
              <w:t xml:space="preserve">SEMI-PASSIF</w:t>
            </w:r>
          </w:p>
        </w:tc>
      </w:tr>
      <w:tr>
        <w:tc>
          <w:tcPr>
            <w:shd w:fill="EEF2F7" w:val="clear"/>
          </w:tcPr>
          <w:p>
            <w:r>
              <w:rPr>
                <w:rFonts w:ascii="Times New Roman" w:cs="Times New Roman" w:eastAsia="Times New Roman" w:hAnsi="Times New Roman"/>
                <w:color w:val="1F2937"/>
                <w:sz w:val="20"/>
                <w:szCs w:val="20"/>
              </w:rPr>
              <w:t xml:space="preserve">Appartement location</w:t>
            </w:r>
          </w:p>
        </w:tc>
        <w:tc>
          <w:tcPr>
            <w:shd w:fill="EEF2F7" w:val="clear"/>
          </w:tcPr>
          <w:p>
            <w:r>
              <w:rPr>
                <w:rFonts w:ascii="Times New Roman" w:cs="Times New Roman" w:eastAsia="Times New Roman" w:hAnsi="Times New Roman"/>
                <w:color w:val="1F2937"/>
                <w:sz w:val="20"/>
                <w:szCs w:val="20"/>
              </w:rPr>
              <w:t xml:space="preserve">≥ 50 000 € (apport)</w:t>
            </w:r>
          </w:p>
        </w:tc>
        <w:tc>
          <w:tcPr>
            <w:shd w:fill="EEF2F7" w:val="clear"/>
          </w:tcPr>
          <w:p>
            <w:r>
              <w:rPr>
                <w:rFonts w:ascii="Times New Roman" w:cs="Times New Roman" w:eastAsia="Times New Roman" w:hAnsi="Times New Roman"/>
                <w:color w:val="1F2937"/>
                <w:sz w:val="20"/>
                <w:szCs w:val="20"/>
              </w:rPr>
              <w:t xml:space="preserve">50–100h (acquisition, travaux)</w:t>
            </w:r>
          </w:p>
        </w:tc>
        <w:tc>
          <w:tcPr>
            <w:shd w:fill="EEF2F7" w:val="clear"/>
          </w:tcPr>
          <w:p>
            <w:r>
              <w:rPr>
                <w:rFonts w:ascii="Times New Roman" w:cs="Times New Roman" w:eastAsia="Times New Roman" w:hAnsi="Times New Roman"/>
                <w:color w:val="1F2937"/>
                <w:sz w:val="20"/>
                <w:szCs w:val="20"/>
              </w:rPr>
              <w:t xml:space="preserve">3–10h (gestion locataire)</w:t>
            </w:r>
          </w:p>
        </w:tc>
        <w:tc>
          <w:tcPr>
            <w:shd w:fill="EEF2F7" w:val="clear"/>
          </w:tcPr>
          <w:p>
            <w:r>
              <w:rPr>
                <w:rFonts w:ascii="Times New Roman" w:cs="Times New Roman" w:eastAsia="Times New Roman" w:hAnsi="Times New Roman"/>
                <w:color w:val="1F2937"/>
                <w:sz w:val="20"/>
                <w:szCs w:val="20"/>
              </w:rPr>
              <w:t xml:space="preserve">SEMI-PASSIF</w:t>
            </w:r>
          </w:p>
        </w:tc>
      </w:tr>
      <w:tr>
        <w:tc>
          <w:tcPr>
            <w:shd w:fill="FFFFFF" w:val="clear"/>
          </w:tcPr>
          <w:p>
            <w:r>
              <w:rPr>
                <w:rFonts w:ascii="Times New Roman" w:cs="Times New Roman" w:eastAsia="Times New Roman" w:hAnsi="Times New Roman"/>
                <w:color w:val="1F2937"/>
                <w:sz w:val="20"/>
                <w:szCs w:val="20"/>
              </w:rPr>
              <w:t xml:space="preserve">YouTube monétisé</w:t>
            </w:r>
          </w:p>
        </w:tc>
        <w:tc>
          <w:tcPr>
            <w:shd w:fill="FFFFFF" w:val="clear"/>
          </w:tcPr>
          <w:p>
            <w:r>
              <w:rPr>
                <w:rFonts w:ascii="Times New Roman" w:cs="Times New Roman" w:eastAsia="Times New Roman" w:hAnsi="Times New Roman"/>
                <w:color w:val="1F2937"/>
                <w:sz w:val="20"/>
                <w:szCs w:val="20"/>
              </w:rPr>
              <w:t xml:space="preserve">Faible (matériel)</w:t>
            </w:r>
          </w:p>
        </w:tc>
        <w:tc>
          <w:tcPr>
            <w:shd w:fill="FFFFFF" w:val="clear"/>
          </w:tcPr>
          <w:p>
            <w:r>
              <w:rPr>
                <w:rFonts w:ascii="Times New Roman" w:cs="Times New Roman" w:eastAsia="Times New Roman" w:hAnsi="Times New Roman"/>
                <w:color w:val="1F2937"/>
                <w:sz w:val="20"/>
                <w:szCs w:val="20"/>
              </w:rPr>
              <w:t xml:space="preserve">200–1000h (créer audience)</w:t>
            </w:r>
          </w:p>
        </w:tc>
        <w:tc>
          <w:tcPr>
            <w:shd w:fill="FFFFFF" w:val="clear"/>
          </w:tcPr>
          <w:p>
            <w:r>
              <w:rPr>
                <w:rFonts w:ascii="Times New Roman" w:cs="Times New Roman" w:eastAsia="Times New Roman" w:hAnsi="Times New Roman"/>
                <w:color w:val="1F2937"/>
                <w:sz w:val="20"/>
                <w:szCs w:val="20"/>
              </w:rPr>
              <w:t xml:space="preserve">20–50h (production continue)</w:t>
            </w:r>
          </w:p>
        </w:tc>
        <w:tc>
          <w:tcPr>
            <w:shd w:fill="FFFFFF" w:val="clear"/>
          </w:tcPr>
          <w:p>
            <w:r>
              <w:rPr>
                <w:rFonts w:ascii="Times New Roman" w:cs="Times New Roman" w:eastAsia="Times New Roman" w:hAnsi="Times New Roman"/>
                <w:color w:val="1F2937"/>
                <w:sz w:val="20"/>
                <w:szCs w:val="20"/>
              </w:rPr>
              <w:t xml:space="preserve">ACTIF à SEMI-PASSIF</w:t>
            </w:r>
          </w:p>
        </w:tc>
      </w:tr>
    </w:tbl>
    <w:p>
      <w:r>
        <w:t xml:space="preserve"/>
      </w:r>
    </w:p>
    <w:p>
      <w:pPr>
        <w:spacing w:after="80" w:before="80"/>
      </w:pPr>
      <w:r>
        <w:rPr>
          <w:rFonts w:ascii="Times New Roman" w:cs="Times New Roman" w:eastAsia="Times New Roman" w:hAnsi="Times New Roman"/>
          <w:color w:val="1F2937"/>
          <w:sz w:val="22"/>
          <w:szCs w:val="22"/>
        </w:rPr>
        <w:t xml:space="preserve">Note sur le corrigé : ces estimations sont des ordres de grandeur synthétiques basés sur la littérature du secteur. Aucune étude scientifique française chiffrée n'a été trouvée pour les valider précisément. Ils peuvent varier considérablement selon le profil et la niche.</w:t>
      </w:r>
    </w:p>
    <w:p>
      <w:pPr>
        <w:pStyle w:val="Heading3"/>
        <w:spacing w:after="80" w:before="200"/>
      </w:pPr>
      <w:r>
        <w:rPr>
          <w:rFonts w:ascii="Times New Roman" w:cs="Times New Roman" w:eastAsia="Times New Roman" w:hAnsi="Times New Roman"/>
          <w:b/>
          <w:bCs/>
          <w:color w:val="1F2937"/>
          <w:sz w:val="26"/>
          <w:szCs w:val="26"/>
        </w:rPr>
        <w:t xml:space="preserve">Exercice 2 — Décrypter une promesse « revenus passifs »</w:t>
      </w:r>
    </w:p>
    <w:p>
      <w:pPr>
        <w:spacing w:after="80" w:before="80"/>
      </w:pPr>
      <w:r>
        <w:rPr>
          <w:rFonts w:ascii="Times New Roman" w:cs="Times New Roman" w:eastAsia="Times New Roman" w:hAnsi="Times New Roman"/>
          <w:color w:val="1F2937"/>
          <w:sz w:val="22"/>
          <w:szCs w:val="22"/>
        </w:rPr>
        <w:t xml:space="preserve">Voici une offre fictive représentative du type d'annonce courante (composite, non citée d'une source réelle) :</w:t>
      </w:r>
    </w:p>
    <w:p>
      <w:r>
        <w:t xml:space="preserve"/>
      </w:r>
    </w:p>
    <w:p>
      <w:pPr>
        <w:pBdr>
          <w:left w:val="single" w:color="1B3A6B" w:sz="12"/>
        </w:pBdr>
        <w:shd w:fill="EEF2F7" w:val="clear"/>
        <w:spacing w:after="100" w:before="100"/>
        <w:ind w:left="431"/>
      </w:pPr>
      <w:r>
        <w:rPr>
          <w:rFonts w:ascii="Times New Roman" w:cs="Times New Roman" w:eastAsia="Times New Roman" w:hAnsi="Times New Roman"/>
          <w:i/>
          <w:iCs/>
          <w:color w:val="1F2937"/>
          <w:sz w:val="22"/>
          <w:szCs w:val="22"/>
        </w:rPr>
        <w:t xml:space="preserve">« Formation exclusive — 5 000 € — Gagne 3 000 €/mois en automatique grâce à notre méthode Forex éprouvée. Résultats en 30 jours. Accès à vie. Communauté VIP. »</w:t>
      </w:r>
    </w:p>
    <w:p>
      <w:r>
        <w:t xml:space="preserve"/>
      </w:r>
    </w:p>
    <w:p>
      <w:pPr>
        <w:spacing w:after="80" w:before="80"/>
      </w:pPr>
      <w:r>
        <w:rPr>
          <w:rFonts w:ascii="Times New Roman" w:cs="Times New Roman" w:eastAsia="Times New Roman" w:hAnsi="Times New Roman"/>
          <w:color w:val="1F2937"/>
          <w:sz w:val="22"/>
          <w:szCs w:val="22"/>
        </w:rPr>
        <w:t xml:space="preserve">Analyse critique — réponds aux questions suivantes par écrit :</w:t>
      </w:r>
    </w:p>
    <w:p>
      <w:pPr>
        <w:pStyle w:val="ListParagraph"/>
        <w:numPr>
          <w:ilvl w:val="0"/>
          <w:numId w:val="1"/>
        </w:numPr>
        <w:spacing w:after="60" w:before="60"/>
      </w:pPr>
      <w:r>
        <w:rPr>
          <w:rFonts w:ascii="Times New Roman" w:cs="Times New Roman" w:eastAsia="Times New Roman" w:hAnsi="Times New Roman"/>
          <w:color w:val="1F2937"/>
          <w:sz w:val="22"/>
          <w:szCs w:val="22"/>
        </w:rPr>
        <w:t xml:space="preserve">Quel est le modèle économique réel de celui qui vend cette formation ? (Indice : Forex ou vente de formation ?)</w:t>
      </w:r>
    </w:p>
    <w:p>
      <w:pPr>
        <w:pStyle w:val="ListParagraph"/>
        <w:numPr>
          <w:ilvl w:val="0"/>
          <w:numId w:val="1"/>
        </w:numPr>
        <w:spacing w:after="60" w:before="60"/>
      </w:pPr>
      <w:r>
        <w:rPr>
          <w:rFonts w:ascii="Times New Roman" w:cs="Times New Roman" w:eastAsia="Times New Roman" w:hAnsi="Times New Roman"/>
          <w:color w:val="1F2937"/>
          <w:sz w:val="22"/>
          <w:szCs w:val="22"/>
        </w:rPr>
        <w:t xml:space="preserve">Quels sont les 3 signaux d'alerte AMF identifiables dans ce texte ?</w:t>
      </w:r>
    </w:p>
    <w:p>
      <w:pPr>
        <w:pStyle w:val="ListParagraph"/>
        <w:numPr>
          <w:ilvl w:val="0"/>
          <w:numId w:val="1"/>
        </w:numPr>
        <w:spacing w:after="60" w:before="60"/>
      </w:pPr>
      <w:r>
        <w:rPr>
          <w:rFonts w:ascii="Times New Roman" w:cs="Times New Roman" w:eastAsia="Times New Roman" w:hAnsi="Times New Roman"/>
          <w:color w:val="1F2937"/>
          <w:sz w:val="22"/>
          <w:szCs w:val="22"/>
        </w:rPr>
        <w:t xml:space="preserve">Quel retour sur investissement implique la promesse (calcul) ? Est-ce cohérent avec les données sur les taux de réussite au Forex ?</w:t>
      </w:r>
    </w:p>
    <w:p>
      <w:pPr>
        <w:pStyle w:val="ListParagraph"/>
        <w:numPr>
          <w:ilvl w:val="0"/>
          <w:numId w:val="1"/>
        </w:numPr>
        <w:spacing w:after="60" w:before="60"/>
      </w:pPr>
      <w:r>
        <w:rPr>
          <w:rFonts w:ascii="Times New Roman" w:cs="Times New Roman" w:eastAsia="Times New Roman" w:hAnsi="Times New Roman"/>
          <w:color w:val="1F2937"/>
          <w:sz w:val="22"/>
          <w:szCs w:val="22"/>
        </w:rPr>
        <w:t xml:space="preserve">Quel est le statut légal requis pour vendre ce type de conseil en France ?</w:t>
      </w:r>
    </w:p>
    <w:p>
      <w:r>
        <w:t xml:space="preserve"/>
      </w:r>
    </w:p>
    <w:p>
      <w:pPr>
        <w:spacing w:after="80" w:before="80"/>
      </w:pPr>
      <w:r>
        <w:rPr>
          <w:rFonts w:ascii="Times New Roman" w:cs="Times New Roman" w:eastAsia="Times New Roman" w:hAnsi="Times New Roman"/>
          <w:b/>
          <w:bCs/>
          <w:color w:val="1F2937"/>
          <w:sz w:val="22"/>
          <w:szCs w:val="22"/>
        </w:rPr>
        <w:t xml:space="preserve">Corrigé :</w:t>
      </w:r>
    </w:p>
    <w:p>
      <w:pPr>
        <w:pStyle w:val="ListParagraph"/>
        <w:numPr>
          <w:ilvl w:val="0"/>
          <w:numId w:val="1"/>
        </w:numPr>
        <w:spacing w:after="60" w:before="60"/>
      </w:pPr>
      <w:r>
        <w:rPr>
          <w:rFonts w:ascii="Times New Roman" w:cs="Times New Roman" w:eastAsia="Times New Roman" w:hAnsi="Times New Roman"/>
          <w:color w:val="1F2937"/>
          <w:sz w:val="22"/>
          <w:szCs w:val="22"/>
        </w:rPr>
        <w:t xml:space="preserve">Modèle économique réel : la vente de formations constitue l'essentiel du revenu. Les résultats Forex personnels des formateurs sont rarement documentés de façon vérifiable.</w:t>
      </w:r>
    </w:p>
    <w:p>
      <w:pPr>
        <w:pStyle w:val="ListParagraph"/>
        <w:numPr>
          <w:ilvl w:val="0"/>
          <w:numId w:val="1"/>
        </w:numPr>
        <w:spacing w:after="60" w:before="60"/>
      </w:pPr>
      <w:r>
        <w:rPr>
          <w:rFonts w:ascii="Times New Roman" w:cs="Times New Roman" w:eastAsia="Times New Roman" w:hAnsi="Times New Roman"/>
          <w:color w:val="1F2937"/>
          <w:sz w:val="22"/>
          <w:szCs w:val="22"/>
        </w:rPr>
        <w:t xml:space="preserve">Signaux d'alerte AMF : (1) promesse de revenu fixe garanti (3 000 €/mois), (2) délai irréaliste (30 jours), (3) coût élevé de la formation (5 000 €) dont le ROI dépend du recrutement d'autres membres.</w:t>
      </w:r>
    </w:p>
    <w:p>
      <w:pPr>
        <w:pStyle w:val="ListParagraph"/>
        <w:numPr>
          <w:ilvl w:val="0"/>
          <w:numId w:val="1"/>
        </w:numPr>
        <w:spacing w:after="60" w:before="60"/>
      </w:pPr>
      <w:r>
        <w:rPr>
          <w:rFonts w:ascii="Times New Roman" w:cs="Times New Roman" w:eastAsia="Times New Roman" w:hAnsi="Times New Roman"/>
          <w:color w:val="1F2937"/>
          <w:sz w:val="22"/>
          <w:szCs w:val="22"/>
        </w:rPr>
        <w:t xml:space="preserve">Calcul ROI : 3 000 €/mois, soit 36 000 €/an pour un investissement de 5 000 €. Rendement annoncé : +720 %. Un tel rendement, s'il était réel, attirerait les hedge funds du monde entier. Ce chiffre est incompatible avec les résultats documentés.</w:t>
      </w:r>
    </w:p>
    <w:p>
      <w:pPr>
        <w:pStyle w:val="ListParagraph"/>
        <w:numPr>
          <w:ilvl w:val="0"/>
          <w:numId w:val="1"/>
        </w:numPr>
        <w:spacing w:after="60" w:before="60"/>
      </w:pPr>
      <w:r>
        <w:rPr>
          <w:rFonts w:ascii="Times New Roman" w:cs="Times New Roman" w:eastAsia="Times New Roman" w:hAnsi="Times New Roman"/>
          <w:color w:val="1F2937"/>
          <w:sz w:val="22"/>
          <w:szCs w:val="22"/>
        </w:rPr>
        <w:t xml:space="preserve">Statut légal : le conseil en investissement financier est une activité réglementée en France. Il requiert le statut de Conseiller en Investissements Financiers (CIF), enregistré à l'ORIAS. Sans ce statut, l'activité est illégale.</w:t>
      </w:r>
    </w:p>
    <w:p>
      <w:pPr>
        <w:pStyle w:val="Heading3"/>
        <w:spacing w:after="80" w:before="200"/>
      </w:pPr>
      <w:r>
        <w:rPr>
          <w:rFonts w:ascii="Times New Roman" w:cs="Times New Roman" w:eastAsia="Times New Roman" w:hAnsi="Times New Roman"/>
          <w:b/>
          <w:bCs/>
          <w:color w:val="1F2937"/>
          <w:sz w:val="26"/>
          <w:szCs w:val="26"/>
        </w:rPr>
        <w:t xml:space="preserve">Exercice 3 — Construire ta propre définition</w:t>
      </w:r>
    </w:p>
    <w:p>
      <w:pPr>
        <w:spacing w:after="80" w:before="80"/>
      </w:pPr>
      <w:r>
        <w:rPr>
          <w:rFonts w:ascii="Times New Roman" w:cs="Times New Roman" w:eastAsia="Times New Roman" w:hAnsi="Times New Roman"/>
          <w:color w:val="1F2937"/>
          <w:sz w:val="22"/>
          <w:szCs w:val="22"/>
        </w:rPr>
        <w:t xml:space="preserve">Objectif : ancrer la compréhension par une reformulation personnelle.</w:t>
      </w:r>
    </w:p>
    <w:p>
      <w:r>
        <w:t xml:space="preserve"/>
      </w:r>
    </w:p>
    <w:p>
      <w:pPr>
        <w:spacing w:after="80" w:before="80"/>
      </w:pPr>
      <w:r>
        <w:rPr>
          <w:rFonts w:ascii="Times New Roman" w:cs="Times New Roman" w:eastAsia="Times New Roman" w:hAnsi="Times New Roman"/>
          <w:color w:val="1F2937"/>
          <w:sz w:val="22"/>
          <w:szCs w:val="22"/>
        </w:rPr>
        <w:t xml:space="preserve">À faire par écrit (10–15 minutes) :</w:t>
      </w:r>
    </w:p>
    <w:p>
      <w:pPr>
        <w:pStyle w:val="ListParagraph"/>
        <w:numPr>
          <w:ilvl w:val="0"/>
          <w:numId w:val="1"/>
        </w:numPr>
        <w:spacing w:after="60" w:before="60"/>
      </w:pPr>
      <w:r>
        <w:rPr>
          <w:rFonts w:ascii="Times New Roman" w:cs="Times New Roman" w:eastAsia="Times New Roman" w:hAnsi="Times New Roman"/>
          <w:color w:val="1F2937"/>
          <w:sz w:val="22"/>
          <w:szCs w:val="22"/>
        </w:rPr>
        <w:t xml:space="preserve">En 3 phrases maximum, définis ce qu'est un revenu passif pour toi, sans utiliser les mots « automatique », « sans effort » ou « facilement ».</w:t>
      </w:r>
    </w:p>
    <w:p>
      <w:pPr>
        <w:pStyle w:val="ListParagraph"/>
        <w:numPr>
          <w:ilvl w:val="0"/>
          <w:numId w:val="1"/>
        </w:numPr>
        <w:spacing w:after="60" w:before="60"/>
      </w:pPr>
      <w:r>
        <w:rPr>
          <w:rFonts w:ascii="Times New Roman" w:cs="Times New Roman" w:eastAsia="Times New Roman" w:hAnsi="Times New Roman"/>
          <w:color w:val="1F2937"/>
          <w:sz w:val="22"/>
          <w:szCs w:val="22"/>
        </w:rPr>
        <w:t xml:space="preserve">Cite deux avantages réels d'un revenu passif et deux contraintes réelles qu'une personne débutante devrait anticiper avant de se lancer.</w:t>
      </w:r>
    </w:p>
    <w:p>
      <w:pPr>
        <w:pStyle w:val="ListParagraph"/>
        <w:numPr>
          <w:ilvl w:val="0"/>
          <w:numId w:val="1"/>
        </w:numPr>
        <w:spacing w:after="60" w:before="60"/>
      </w:pPr>
      <w:r>
        <w:rPr>
          <w:rFonts w:ascii="Times New Roman" w:cs="Times New Roman" w:eastAsia="Times New Roman" w:hAnsi="Times New Roman"/>
          <w:color w:val="1F2937"/>
          <w:sz w:val="22"/>
          <w:szCs w:val="22"/>
        </w:rPr>
        <w:t xml:space="preserve">Sur le continuum actif/passif, où placerais-tu ton propre profil actuel (capital financier disponible, temps libre, compétences monnayables) ? Cet auto-diagnostic orientera les prochaines leçons.</w:t>
      </w:r>
    </w:p>
    <w:p>
      <w:pPr>
        <w:spacing w:after="200" w:before="200"/>
      </w:pPr>
      <w:r>
        <w:rPr>
          <w:rFonts w:ascii="Times New Roman" w:cs="Times New Roman" w:eastAsia="Times New Roman" w:hAnsi="Times New Roman"/>
          <w:color w:val="AAAAAA"/>
          <w:sz w:val="16"/>
          <w:szCs w:val="16"/>
        </w:rPr>
        <w:t xml:space="preserve">─────────────────────────────────────────────────────────────</w:t>
      </w:r>
    </w:p>
    <w:p>
      <w:pPr>
        <w:pStyle w:val="Heading2"/>
        <w:spacing w:after="120" w:before="300"/>
      </w:pPr>
      <w:r>
        <w:rPr>
          <w:rFonts w:ascii="Times New Roman" w:cs="Times New Roman" w:eastAsia="Times New Roman" w:hAnsi="Times New Roman"/>
          <w:b/>
          <w:bCs/>
          <w:color w:val="1B3A6B"/>
          <w:sz w:val="30"/>
          <w:szCs w:val="30"/>
        </w:rPr>
        <w:t xml:space="preserve">🎯 Challenge — Synthèse</w:t>
      </w:r>
    </w:p>
    <w:p>
      <w:pPr>
        <w:spacing w:after="80" w:before="80"/>
      </w:pPr>
      <w:r>
        <w:rPr>
          <w:rFonts w:ascii="Times New Roman" w:cs="Times New Roman" w:eastAsia="Times New Roman" w:hAnsi="Times New Roman"/>
          <w:color w:val="1F2937"/>
          <w:sz w:val="22"/>
          <w:szCs w:val="22"/>
        </w:rPr>
        <w:t xml:space="preserve">Ce challenge mobilise l'ensemble de la leçon. Il est plus exigeant et demande environ 30 minutes.</w:t>
      </w:r>
    </w:p>
    <w:p>
      <w:r>
        <w:t xml:space="preserve"/>
      </w:r>
    </w:p>
    <w:p>
      <w:pPr>
        <w:spacing w:after="80" w:before="80"/>
      </w:pPr>
      <w:r>
        <w:rPr>
          <w:rFonts w:ascii="Times New Roman" w:cs="Times New Roman" w:eastAsia="Times New Roman" w:hAnsi="Times New Roman"/>
          <w:b/>
          <w:bCs/>
          <w:color w:val="1F2937"/>
          <w:sz w:val="22"/>
          <w:szCs w:val="22"/>
        </w:rPr>
        <w:t xml:space="preserve">Mise en situation :</w:t>
      </w:r>
    </w:p>
    <w:p>
      <w:pPr>
        <w:spacing w:after="80" w:before="80"/>
      </w:pPr>
      <w:r>
        <w:rPr>
          <w:rFonts w:ascii="Times New Roman" w:cs="Times New Roman" w:eastAsia="Times New Roman" w:hAnsi="Times New Roman"/>
          <w:color w:val="1F2937"/>
          <w:sz w:val="22"/>
          <w:szCs w:val="22"/>
        </w:rPr>
        <w:t xml:space="preserve">Un ami te contacte. Il vient de voir une publicité pour une « méthode de revenus passifs clé en main » à 2 500 €. Il te demande ton avis avant d'acheter. Il a 2 500 € d'économies, aucune compétence en finance, et 5 heures libres par semaine.</w:t>
      </w:r>
    </w:p>
    <w:p>
      <w:r>
        <w:t xml:space="preserve"/>
      </w:r>
    </w:p>
    <w:p>
      <w:pPr>
        <w:spacing w:after="80" w:before="80"/>
      </w:pPr>
      <w:r>
        <w:rPr>
          <w:rFonts w:ascii="Times New Roman" w:cs="Times New Roman" w:eastAsia="Times New Roman" w:hAnsi="Times New Roman"/>
          <w:color w:val="1F2937"/>
          <w:sz w:val="22"/>
          <w:szCs w:val="22"/>
        </w:rPr>
        <w:t xml:space="preserve">Produis une réponse écrite structurée (une page) comprenant :</w:t>
      </w:r>
    </w:p>
    <w:p>
      <w:pPr>
        <w:pStyle w:val="ListParagraph"/>
        <w:numPr>
          <w:ilvl w:val="0"/>
          <w:numId w:val="1"/>
        </w:numPr>
        <w:spacing w:after="60" w:before="60"/>
      </w:pPr>
      <w:r>
        <w:rPr>
          <w:rFonts w:ascii="Times New Roman" w:cs="Times New Roman" w:eastAsia="Times New Roman" w:hAnsi="Times New Roman"/>
          <w:color w:val="1F2937"/>
          <w:sz w:val="22"/>
          <w:szCs w:val="22"/>
        </w:rPr>
        <w:t xml:space="preserve">Une explication du continuum actif/passif adaptée à son profil (capital, temps, compétence).</w:t>
      </w:r>
    </w:p>
    <w:p>
      <w:pPr>
        <w:pStyle w:val="ListParagraph"/>
        <w:numPr>
          <w:ilvl w:val="0"/>
          <w:numId w:val="1"/>
        </w:numPr>
        <w:spacing w:after="60" w:before="60"/>
      </w:pPr>
      <w:r>
        <w:rPr>
          <w:rFonts w:ascii="Times New Roman" w:cs="Times New Roman" w:eastAsia="Times New Roman" w:hAnsi="Times New Roman"/>
          <w:color w:val="1F2937"/>
          <w:sz w:val="22"/>
          <w:szCs w:val="22"/>
        </w:rPr>
        <w:t xml:space="preserve">Deux questions à poser impérativement au vendeur avant toute décision.</w:t>
      </w:r>
    </w:p>
    <w:p>
      <w:pPr>
        <w:pStyle w:val="ListParagraph"/>
        <w:numPr>
          <w:ilvl w:val="0"/>
          <w:numId w:val="1"/>
        </w:numPr>
        <w:spacing w:after="60" w:before="60"/>
      </w:pPr>
      <w:r>
        <w:rPr>
          <w:rFonts w:ascii="Times New Roman" w:cs="Times New Roman" w:eastAsia="Times New Roman" w:hAnsi="Times New Roman"/>
          <w:color w:val="1F2937"/>
          <w:sz w:val="22"/>
          <w:szCs w:val="22"/>
        </w:rPr>
        <w:t xml:space="preserve">Deux alternatives à 2 500 € qui correspondraient mieux à son profil et ses contraintes réelles — en justifiant le choix sur les trois axes du continuum.</w:t>
      </w:r>
    </w:p>
    <w:p>
      <w:pPr>
        <w:pStyle w:val="ListParagraph"/>
        <w:numPr>
          <w:ilvl w:val="0"/>
          <w:numId w:val="1"/>
        </w:numPr>
        <w:spacing w:after="60" w:before="60"/>
      </w:pPr>
      <w:r>
        <w:rPr>
          <w:rFonts w:ascii="Times New Roman" w:cs="Times New Roman" w:eastAsia="Times New Roman" w:hAnsi="Times New Roman"/>
          <w:color w:val="1F2937"/>
          <w:sz w:val="22"/>
          <w:szCs w:val="22"/>
        </w:rPr>
        <w:t xml:space="preserve">Un rappel du cadre légal applicable (statuts requis pour le vendeur).</w:t>
      </w:r>
    </w:p>
    <w:p>
      <w:r>
        <w:t xml:space="preserve"/>
      </w:r>
    </w:p>
    <w:p>
      <w:pPr>
        <w:spacing w:after="80" w:before="80"/>
      </w:pPr>
      <w:r>
        <w:rPr>
          <w:rFonts w:ascii="Times New Roman" w:cs="Times New Roman" w:eastAsia="Times New Roman" w:hAnsi="Times New Roman"/>
          <w:color w:val="1F2937"/>
          <w:sz w:val="22"/>
          <w:szCs w:val="22"/>
        </w:rPr>
        <w:t xml:space="preserve">Critère de réussite : ton ami comprend qu'aucune décision ne doit être prise sans avoir répondu à ces questions, et qu'il existe des alternatives potentiellement plus adaptées à sa situation.</w:t>
      </w:r>
    </w:p>
    <w:p>
      <w:pPr>
        <w:spacing w:after="200" w:before="200"/>
      </w:pPr>
      <w:r>
        <w:rPr>
          <w:rFonts w:ascii="Times New Roman" w:cs="Times New Roman" w:eastAsia="Times New Roman" w:hAnsi="Times New Roman"/>
          <w:color w:val="AAAAAA"/>
          <w:sz w:val="16"/>
          <w:szCs w:val="16"/>
        </w:rPr>
        <w:t xml:space="preserve">─────────────────────────────────────────────────────────────</w:t>
      </w:r>
    </w:p>
    <w:p>
      <w:pPr>
        <w:pStyle w:val="Heading2"/>
        <w:spacing w:after="120" w:before="300"/>
      </w:pPr>
      <w:r>
        <w:rPr>
          <w:rFonts w:ascii="Times New Roman" w:cs="Times New Roman" w:eastAsia="Times New Roman" w:hAnsi="Times New Roman"/>
          <w:b/>
          <w:bCs/>
          <w:color w:val="1B3A6B"/>
          <w:sz w:val="30"/>
          <w:szCs w:val="30"/>
        </w:rPr>
        <w:t xml:space="preserve">📚 Ressources cliquables</w:t>
      </w:r>
    </w:p>
    <w:p>
      <w:pPr>
        <w:spacing w:after="80" w:before="80"/>
      </w:pPr>
      <w:r>
        <w:rPr>
          <w:rFonts w:ascii="Times New Roman" w:cs="Times New Roman" w:eastAsia="Times New Roman" w:hAnsi="Times New Roman"/>
          <w:color w:val="1F2937"/>
          <w:sz w:val="22"/>
          <w:szCs w:val="22"/>
        </w:rPr>
        <w:t xml:space="preserve">Toutes les ressources ci-dessous ont été consultées pendant cette exécution (26/07/2026) :</w:t>
      </w:r>
    </w:p>
    <w:p>
      <w:r>
        <w:t xml:space="preserve"/>
      </w:r>
    </w:p>
    <w:p>
      <w:pPr>
        <w:spacing w:after="60" w:before="80"/>
      </w:pPr>
      <w:r>
        <w:rPr>
          <w:rFonts w:ascii="Times New Roman" w:cs="Times New Roman" w:eastAsia="Times New Roman" w:hAnsi="Times New Roman"/>
          <w:color w:val="1F2937"/>
          <w:sz w:val="22"/>
          <w:szCs w:val="22"/>
        </w:rPr>
        <w:t xml:space="preserve">1. AMF — Espace Épargnants (mises en garde, liste noire, arnaques) : </w:t>
      </w:r>
      <w:hyperlink w:history="1" r:id="rIdx5l68hfilwpst78wgmsuh">
        <w:r>
          <w:rPr>
            <w:rFonts w:ascii="Times New Roman" w:cs="Times New Roman" w:eastAsia="Times New Roman" w:hAnsi="Times New Roman"/>
            <w:color w:val="1155CC"/>
            <w:sz w:val="22"/>
            <w:szCs w:val="22"/>
            <w:u w:val="single"/>
          </w:rPr>
          <w:t xml:space="preserve">amf-france.org/fr/espace-epargnants</w:t>
        </w:r>
      </w:hyperlink>
    </w:p>
    <w:p>
      <w:pPr>
        <w:spacing w:after="60" w:before="60"/>
      </w:pPr>
      <w:r>
        <w:rPr>
          <w:rFonts w:ascii="Times New Roman" w:cs="Times New Roman" w:eastAsia="Times New Roman" w:hAnsi="Times New Roman"/>
          <w:color w:val="1F2937"/>
          <w:sz w:val="22"/>
          <w:szCs w:val="22"/>
        </w:rPr>
        <w:t xml:space="preserve">2. Impôts.gouv.fr — Fiscalité des particuliers (PFU, revenus du capital) : </w:t>
      </w:r>
      <w:hyperlink w:history="1" r:id="rIddfkibasijshgdz-wzojv6">
        <w:r>
          <w:rPr>
            <w:rFonts w:ascii="Times New Roman" w:cs="Times New Roman" w:eastAsia="Times New Roman" w:hAnsi="Times New Roman"/>
            <w:color w:val="1155CC"/>
            <w:sz w:val="22"/>
            <w:szCs w:val="22"/>
            <w:u w:val="single"/>
          </w:rPr>
          <w:t xml:space="preserve">impots.gouv.fr/particulier</w:t>
        </w:r>
      </w:hyperlink>
    </w:p>
    <w:p>
      <w:pPr>
        <w:spacing w:after="60" w:before="60"/>
      </w:pPr>
      <w:r>
        <w:rPr>
          <w:rFonts w:ascii="Times New Roman" w:cs="Times New Roman" w:eastAsia="Times New Roman" w:hAnsi="Times New Roman"/>
          <w:color w:val="1F2937"/>
          <w:sz w:val="22"/>
          <w:szCs w:val="22"/>
        </w:rPr>
        <w:t xml:space="preserve">3. Wikipédia FR — Revenu passif (définition encyclopédique) : </w:t>
      </w:r>
      <w:hyperlink w:history="1" r:id="rIdnjwa_amnmm1h7lc-sb3b-">
        <w:r>
          <w:rPr>
            <w:rFonts w:ascii="Times New Roman" w:cs="Times New Roman" w:eastAsia="Times New Roman" w:hAnsi="Times New Roman"/>
            <w:color w:val="1155CC"/>
            <w:sz w:val="22"/>
            <w:szCs w:val="22"/>
            <w:u w:val="single"/>
          </w:rPr>
          <w:t xml:space="preserve">fr.wikipedia.org/wiki/Revenu_passif</w:t>
        </w:r>
      </w:hyperlink>
    </w:p>
    <w:p>
      <w:pPr>
        <w:spacing w:after="60" w:before="60"/>
      </w:pPr>
      <w:r>
        <w:rPr>
          <w:rFonts w:ascii="Times New Roman" w:cs="Times New Roman" w:eastAsia="Times New Roman" w:hAnsi="Times New Roman"/>
          <w:color w:val="1F2937"/>
          <w:sz w:val="22"/>
          <w:szCs w:val="22"/>
        </w:rPr>
        <w:t xml:space="preserve">4. AMF — Campagne de sensibilisation arnaques trading/formations : </w:t>
      </w:r>
      <w:hyperlink w:history="1" r:id="rId2w-_y1yj214xdnwkm_8qg">
        <w:r>
          <w:rPr>
            <w:rFonts w:ascii="Times New Roman" w:cs="Times New Roman" w:eastAsia="Times New Roman" w:hAnsi="Times New Roman"/>
            <w:color w:val="1155CC"/>
            <w:sz w:val="22"/>
            <w:szCs w:val="22"/>
            <w:u w:val="single"/>
          </w:rPr>
          <w:t xml:space="preserve">Arnaques formations trading (TradingSat)</w:t>
        </w:r>
      </w:hyperlink>
    </w:p>
    <w:p>
      <w:pPr>
        <w:spacing w:after="60" w:before="60"/>
      </w:pPr>
      <w:r>
        <w:rPr>
          <w:rFonts w:ascii="Times New Roman" w:cs="Times New Roman" w:eastAsia="Times New Roman" w:hAnsi="Times New Roman"/>
          <w:color w:val="1F2937"/>
          <w:sz w:val="22"/>
          <w:szCs w:val="22"/>
        </w:rPr>
        <w:t xml:space="preserve">5. OBSERVALYS — Revenu passif en 2025 : mythe ou réalité ? : </w:t>
      </w:r>
      <w:hyperlink w:history="1" r:id="rIdio7v2d8vnheno8kkidar7">
        <w:r>
          <w:rPr>
            <w:rFonts w:ascii="Times New Roman" w:cs="Times New Roman" w:eastAsia="Times New Roman" w:hAnsi="Times New Roman"/>
            <w:color w:val="1155CC"/>
            <w:sz w:val="22"/>
            <w:szCs w:val="22"/>
            <w:u w:val="single"/>
          </w:rPr>
          <w:t xml:space="preserve">observalys.fr/revenu-passif-en-2025</w:t>
        </w:r>
      </w:hyperlink>
    </w:p>
    <w:p>
      <w:pPr>
        <w:spacing w:after="60" w:before="60"/>
      </w:pPr>
      <w:r>
        <w:rPr>
          <w:rFonts w:ascii="Times New Roman" w:cs="Times New Roman" w:eastAsia="Times New Roman" w:hAnsi="Times New Roman"/>
          <w:color w:val="1F2937"/>
          <w:sz w:val="22"/>
          <w:szCs w:val="22"/>
        </w:rPr>
        <w:t xml:space="preserve">6. CompaBank — Fiscalité des revenus passifs 2026 : </w:t>
      </w:r>
      <w:hyperlink w:history="1" r:id="rIdr6utalfg_faodgc4vckx2">
        <w:r>
          <w:rPr>
            <w:rFonts w:ascii="Times New Roman" w:cs="Times New Roman" w:eastAsia="Times New Roman" w:hAnsi="Times New Roman"/>
            <w:color w:val="1155CC"/>
            <w:sz w:val="22"/>
            <w:szCs w:val="22"/>
            <w:u w:val="single"/>
          </w:rPr>
          <w:t xml:space="preserve">comparabank.com — guide fiscal complet</w:t>
        </w:r>
      </w:hyperlink>
    </w:p>
    <w:p>
      <w:pPr>
        <w:spacing w:after="60" w:before="60"/>
      </w:pPr>
      <w:r>
        <w:rPr>
          <w:rFonts w:ascii="Times New Roman" w:cs="Times New Roman" w:eastAsia="Times New Roman" w:hAnsi="Times New Roman"/>
          <w:color w:val="1F2937"/>
          <w:sz w:val="22"/>
          <w:szCs w:val="22"/>
        </w:rPr>
        <w:t xml:space="preserve">7. Medium / Wealth Syndicate — 10 stratégies testées en 2024 (retours réels) : </w:t>
      </w:r>
      <w:hyperlink w:history="1" r:id="rIdc4cf2b8wdy6w4rl-gtkax">
        <w:r>
          <w:rPr>
            <w:rFonts w:ascii="Times New Roman" w:cs="Times New Roman" w:eastAsia="Times New Roman" w:hAnsi="Times New Roman"/>
            <w:color w:val="1155CC"/>
            <w:sz w:val="22"/>
            <w:szCs w:val="22"/>
            <w:u w:val="single"/>
          </w:rPr>
          <w:t xml:space="preserve">wealthsyndicate.medium.com</w:t>
        </w:r>
      </w:hyperlink>
    </w:p>
    <w:p>
      <w:r>
        <w:t xml:space="preserve"/>
      </w:r>
    </w:p>
    <w:p>
      <w:pPr>
        <w:spacing w:after="80" w:before="80"/>
      </w:pPr>
      <w:r>
        <w:rPr>
          <w:rFonts w:ascii="Times New Roman" w:cs="Times New Roman" w:eastAsia="Times New Roman" w:hAnsi="Times New Roman"/>
          <w:color w:val="1F2937"/>
          <w:sz w:val="22"/>
          <w:szCs w:val="22"/>
        </w:rPr>
        <w:t xml:space="preserve">Sources inaccessibles pendant cette exécution :</w:t>
      </w:r>
    </w:p>
    <w:p>
      <w:pPr>
        <w:pStyle w:val="ListParagraph"/>
        <w:numPr>
          <w:ilvl w:val="0"/>
          <w:numId w:val="1"/>
        </w:numPr>
        <w:spacing w:after="60" w:before="60"/>
      </w:pPr>
      <w:r>
        <w:rPr>
          <w:rFonts w:ascii="Times New Roman" w:cs="Times New Roman" w:eastAsia="Times New Roman" w:hAnsi="Times New Roman"/>
          <w:color w:val="1F2937"/>
          <w:sz w:val="22"/>
          <w:szCs w:val="22"/>
        </w:rPr>
        <w:t xml:space="preserve">⛔ economie.gouv.fr/particuliers — erreur 403 (accès refusé).</w:t>
      </w:r>
    </w:p>
    <w:p>
      <w:pPr>
        <w:pStyle w:val="ListParagraph"/>
        <w:numPr>
          <w:ilvl w:val="0"/>
          <w:numId w:val="1"/>
        </w:numPr>
        <w:spacing w:after="60" w:before="60"/>
      </w:pPr>
      <w:r>
        <w:rPr>
          <w:rFonts w:ascii="Times New Roman" w:cs="Times New Roman" w:eastAsia="Times New Roman" w:hAnsi="Times New Roman"/>
          <w:color w:val="1F2937"/>
          <w:sz w:val="22"/>
          <w:szCs w:val="22"/>
        </w:rPr>
        <w:t xml:space="preserve">⛔ service-public.fr/particuliers/vosdroits/N14265 — redirection 404.</w:t>
      </w:r>
    </w:p>
    <w:p>
      <w:pPr>
        <w:pStyle w:val="ListParagraph"/>
        <w:numPr>
          <w:ilvl w:val="0"/>
          <w:numId w:val="1"/>
        </w:numPr>
        <w:spacing w:after="60" w:before="60"/>
      </w:pPr>
      <w:r>
        <w:rPr>
          <w:rFonts w:ascii="Times New Roman" w:cs="Times New Roman" w:eastAsia="Times New Roman" w:hAnsi="Times New Roman"/>
          <w:color w:val="1F2937"/>
          <w:sz w:val="22"/>
          <w:szCs w:val="22"/>
        </w:rPr>
        <w:t xml:space="preserve">⛔ investopedia.com — accès bloqué (domaine US, non accessible via WebFetch).</w:t>
      </w:r>
    </w:p>
    <w:p>
      <w:pPr>
        <w:spacing w:after="200" w:before="200"/>
      </w:pPr>
      <w:r>
        <w:rPr>
          <w:rFonts w:ascii="Times New Roman" w:cs="Times New Roman" w:eastAsia="Times New Roman" w:hAnsi="Times New Roman"/>
          <w:color w:val="AAAAAA"/>
          <w:sz w:val="16"/>
          <w:szCs w:val="16"/>
        </w:rPr>
        <w:t xml:space="preserve">─────────────────────────────────────────────────────────────</w:t>
      </w:r>
    </w:p>
    <w:p>
      <w:pPr>
        <w:pStyle w:val="Heading2"/>
        <w:spacing w:after="120" w:before="300"/>
      </w:pPr>
      <w:r>
        <w:rPr>
          <w:rFonts w:ascii="Times New Roman" w:cs="Times New Roman" w:eastAsia="Times New Roman" w:hAnsi="Times New Roman"/>
          <w:b/>
          <w:bCs/>
          <w:color w:val="1B3A6B"/>
          <w:sz w:val="30"/>
          <w:szCs w:val="30"/>
        </w:rPr>
        <w:t xml:space="preserve">🔜 Prochaine leçon</w:t>
      </w:r>
    </w:p>
    <w:p>
      <w:pPr>
        <w:spacing w:after="80" w:before="80"/>
      </w:pPr>
      <w:r>
        <w:rPr>
          <w:rFonts w:ascii="Times New Roman" w:cs="Times New Roman" w:eastAsia="Times New Roman" w:hAnsi="Times New Roman"/>
          <w:color w:val="1F2937"/>
          <w:sz w:val="22"/>
          <w:szCs w:val="22"/>
        </w:rPr>
        <w:t xml:space="preserve">Leçon 02 — Les grandes familles de revenus passifs : panorama et critères de classement.</w:t>
      </w:r>
    </w:p>
    <w:p>
      <w:r>
        <w:t xml:space="preserve"/>
      </w:r>
    </w:p>
    <w:p>
      <w:pPr>
        <w:spacing w:after="80" w:before="80"/>
      </w:pPr>
      <w:r>
        <w:rPr>
          <w:rFonts w:ascii="Times New Roman" w:cs="Times New Roman" w:eastAsia="Times New Roman" w:hAnsi="Times New Roman"/>
          <w:color w:val="1F2937"/>
          <w:sz w:val="22"/>
          <w:szCs w:val="22"/>
        </w:rPr>
        <w:t xml:space="preserve">Au programme : capital requis, effort initial, maintenance, risque — pour chaque grande famille. Tu auras les outils pour comparer les modèles entre eux de façon structurée avant de choisir une direction.</w:t>
      </w:r>
    </w:p>
    <w:p>
      <w:pPr>
        <w:spacing w:after="200" w:before="200"/>
      </w:pPr>
      <w:r>
        <w:rPr>
          <w:rFonts w:ascii="Times New Roman" w:cs="Times New Roman" w:eastAsia="Times New Roman" w:hAnsi="Times New Roman"/>
          <w:color w:val="AAAAAA"/>
          <w:sz w:val="16"/>
          <w:szCs w:val="16"/>
        </w:rPr>
        <w:t xml:space="preserve">─────────────────────────────────────────────────────────────</w:t>
      </w:r>
    </w:p>
    <w:p>
      <w:pPr>
        <w:spacing w:after="0" w:before="200"/>
        <w:jc w:val="center"/>
      </w:pPr>
      <w:r>
        <w:rPr>
          <w:rFonts w:ascii="Times New Roman" w:cs="Times New Roman" w:eastAsia="Times New Roman" w:hAnsi="Times New Roman"/>
          <w:i/>
          <w:iCs/>
          <w:color w:val="888888"/>
          <w:sz w:val="18"/>
          <w:szCs w:val="18"/>
        </w:rPr>
        <w:t xml:space="preserve">Parcours Revenus passifs — Usage personnel — Document éducatif généraliste — Pas de conseil en investissement</w:t>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color w:val="1F2937"/>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dgs-28eseub9jibt4pjdr" Type="http://schemas.openxmlformats.org/officeDocument/2006/relationships/hyperlink" Target="https://www.amf-france.org/fr/espace-epargnants" TargetMode="External"/><Relationship Id="rIdx5l68hfilwpst78wgmsuh" Type="http://schemas.openxmlformats.org/officeDocument/2006/relationships/hyperlink" Target="https://www.amf-france.org/fr/espace-epargnants" TargetMode="External"/><Relationship Id="rIddfkibasijshgdz-wzojv6" Type="http://schemas.openxmlformats.org/officeDocument/2006/relationships/hyperlink" Target="https://www.impots.gouv.fr/particulier" TargetMode="External"/><Relationship Id="rIdnjwa_amnmm1h7lc-sb3b-" Type="http://schemas.openxmlformats.org/officeDocument/2006/relationships/hyperlink" Target="https://fr.wikipedia.org/wiki/Revenu_passif" TargetMode="External"/><Relationship Id="rId2w-_y1yj214xdnwkm_8qg" Type="http://schemas.openxmlformats.org/officeDocument/2006/relationships/hyperlink" Target="https://www.tradingsat.com/actualites/investissement/ces-arnaques-aux-formations-de-trading-qui-prennent-les-jeunes-pour-cible-919359.html" TargetMode="External"/><Relationship Id="rIdio7v2d8vnheno8kkidar7" Type="http://schemas.openxmlformats.org/officeDocument/2006/relationships/hyperlink" Target="https://www.observalys.fr/revenu-passif-en-2025-mythe-ou-realite-" TargetMode="External"/><Relationship Id="rIdr6utalfg_faodgc4vckx2" Type="http://schemas.openxmlformats.org/officeDocument/2006/relationships/hyperlink" Target="https://www.comparabank.com/fiscalite-revenus-passifs-2026-guide-complet-des-impositions" TargetMode="External"/><Relationship Id="rIdc4cf2b8wdy6w4rl-gtkax" Type="http://schemas.openxmlformats.org/officeDocument/2006/relationships/hyperlink" Target="https://wealthsyndicate.medium.com/i-tried-10-passive-income-strategies-in-2024-heres-what-actually-made-money-bdcbfb7c2fd8" TargetMode="External"/><Relationship Id="rId15"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2026-07-26T05:07:27.325Z</dcterms:created>
  <dcterms:modified xsi:type="dcterms:W3CDTF">2026-07-26T05:07:27.327Z</dcterms:modified>
</cp:coreProperties>
</file>

<file path=docProps/custom.xml><?xml version="1.0" encoding="utf-8"?>
<Properties xmlns="http://schemas.openxmlformats.org/officeDocument/2006/custom-properties" xmlns:vt="http://schemas.openxmlformats.org/officeDocument/2006/docPropsVTypes"/>
</file>