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Times New Roman" w:cs="Times New Roman" w:eastAsia="Times New Roman" w:hAnsi="Times New Roman"/>
          <w:b/>
          <w:bCs/>
          <w:color w:val="1B3A6B"/>
          <w:sz w:val="52"/>
          <w:szCs w:val="52"/>
        </w:rPr>
        <w:t xml:space="preserve">Leçon Dzogchen n°20 — BILAN</w:t>
      </w:r>
    </w:p>
    <w:p>
      <w:pPr>
        <w:spacing w:after="60"/>
        <w:jc w:val="center"/>
      </w:pPr>
      <w:r>
        <w:rPr>
          <w:rFonts w:ascii="Times New Roman" w:cs="Times New Roman" w:eastAsia="Times New Roman" w:hAnsi="Times New Roman"/>
          <w:color w:val="1B3A6B"/>
          <w:sz w:val="28"/>
          <w:szCs w:val="28"/>
        </w:rPr>
        <w:t xml:space="preserve">Synthèse du parcours : tenir la vue dans la vie ordinaire</w:t>
      </w:r>
    </w:p>
    <w:p>
      <w:pPr>
        <w:spacing w:after="200"/>
        <w:jc w:val="center"/>
      </w:pPr>
      <w:r>
        <w:rPr>
          <w:rFonts w:ascii="Times New Roman" w:cs="Times New Roman" w:eastAsia="Times New Roman" w:hAnsi="Times New Roman"/>
          <w:color w:val="888888"/>
          <w:sz w:val="20"/>
          <w:szCs w:val="20"/>
        </w:rPr>
        <w:t xml:space="preserve">13 octobre 2026  |  Leçon 20 / 20  —  Fin du parcours</w:t>
      </w:r>
    </w:p>
    <w:p>
      <w:pPr>
        <w:spacing w:after="160" w:before="160"/>
        <w:jc w:val="center"/>
      </w:pPr>
      <w:r>
        <w:rPr>
          <w:rFonts w:ascii="Times New Roman" w:cs="Times New Roman" w:eastAsia="Times New Roman" w:hAnsi="Times New Roman"/>
          <w:color w:val="AAAAAA"/>
          <w:sz w:val="18"/>
          <w:szCs w:val="18"/>
        </w:rPr>
        <w:t xml:space="preserve">─────────────────────────────────────────────</w:t>
      </w:r>
    </w:p>
    <w:p>
      <w:pPr>
        <w:pStyle w:val="Heading2"/>
        <w:spacing w:after="100" w:before="28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color w:val="1F2937"/>
          <w:sz w:val="22"/>
          <w:szCs w:val="22"/>
        </w:rPr>
        <w:t xml:space="preserve">À l'issue de cette leçon, tu auras une vue d'ensemble cohérente du parcours : chaque leçon resituée dans le fil qui relie les fondements aux pratiques avancées, les lignées à la transmission contemporaine. Tu identifieras ce que dix-neuf leçons ont pu transmettre, et ce qu'elles n'ont pas pu transmettre — ce qui reste du ressort de l'expérience directe, du maître et de la pratique vivante.</w:t>
      </w:r>
    </w:p>
    <w:p>
      <w:pPr>
        <w:spacing w:after="100"/>
      </w:pPr>
      <w:r>
        <w:rPr>
          <w:rFonts w:ascii="Times New Roman" w:cs="Times New Roman" w:eastAsia="Times New Roman" w:hAnsi="Times New Roman"/>
          <w:color w:val="1F2937"/>
          <w:sz w:val="22"/>
          <w:szCs w:val="22"/>
        </w:rPr>
        <w:t xml:space="preserve">Cette leçon est la fin du parcours. Elle s'appuie sur les dix-neuf précédentes et les tient ensemble comme un tout. Il n'y aura pas de « leçon suivante ».</w:t>
      </w:r>
    </w:p>
    <w:p>
      <w:pPr>
        <w:spacing w:after="160" w:before="160"/>
        <w:jc w:val="center"/>
      </w:pPr>
      <w:r>
        <w:rPr>
          <w:rFonts w:ascii="Times New Roman" w:cs="Times New Roman" w:eastAsia="Times New Roman" w:hAnsi="Times New Roman"/>
          <w:color w:val="AAAAAA"/>
          <w:sz w:val="18"/>
          <w:szCs w:val="18"/>
        </w:rPr>
        <w:t xml:space="preserve">─────────────────────────────────────────────</w:t>
      </w:r>
    </w:p>
    <w:p>
      <w:pPr>
        <w:pStyle w:val="Heading2"/>
        <w:spacing w:after="100" w:before="280"/>
      </w:pPr>
      <w:r>
        <w:rPr>
          <w:rFonts w:ascii="Times New Roman" w:cs="Times New Roman" w:eastAsia="Times New Roman" w:hAnsi="Times New Roman"/>
          <w:b/>
          <w:bCs/>
          <w:color w:val="1B3A6B"/>
          <w:sz w:val="30"/>
          <w:szCs w:val="30"/>
        </w:rPr>
        <w:t xml:space="preserve">🔬 Théorie (20 %) — Tenir les fils ensemble</w:t>
      </w:r>
    </w:p>
    <w:p>
      <w:pPr>
        <w:pStyle w:val="Heading3"/>
        <w:spacing w:after="80" w:before="200"/>
      </w:pPr>
      <w:r>
        <w:rPr>
          <w:rFonts w:ascii="Times New Roman" w:cs="Times New Roman" w:eastAsia="Times New Roman" w:hAnsi="Times New Roman"/>
          <w:b/>
          <w:bCs/>
          <w:color w:val="1F2937"/>
          <w:sz w:val="26"/>
          <w:szCs w:val="26"/>
        </w:rPr>
        <w:t xml:space="preserve">1. L'arc du parcours en quatre temps</w:t>
      </w:r>
    </w:p>
    <w:p>
      <w:pPr>
        <w:spacing w:after="100"/>
      </w:pPr>
      <w:r>
        <w:rPr>
          <w:rFonts w:ascii="Times New Roman" w:cs="Times New Roman" w:eastAsia="Times New Roman" w:hAnsi="Times New Roman"/>
          <w:color w:val="1F2937"/>
          <w:sz w:val="22"/>
          <w:szCs w:val="22"/>
        </w:rPr>
        <w:t xml:space="preserve">Relire les dix-neuf leçons fait apparaître une progression en quatre temps distincts, même si certaines leçons chevauchent plusieurs registres.</w:t>
      </w:r>
    </w:p>
    <w:p>
      <w:pPr>
        <w:spacing w:after="60"/>
      </w:pPr>
      <w:r>
        <w:rPr>
          <w:rFonts w:ascii="Times New Roman" w:cs="Times New Roman" w:eastAsia="Times New Roman" w:hAnsi="Times New Roman"/>
          <w:b/>
          <w:bCs/>
          <w:color w:val="1B3A6B"/>
          <w:sz w:val="22"/>
          <w:szCs w:val="22"/>
        </w:rPr>
        <w:t xml:space="preserve">Temps 1 — Fondements (leçons 1 à 5)</w:t>
      </w:r>
    </w:p>
    <w:p>
      <w:pPr>
        <w:spacing w:after="100"/>
      </w:pPr>
      <w:r>
        <w:rPr>
          <w:rFonts w:ascii="Times New Roman" w:cs="Times New Roman" w:eastAsia="Times New Roman" w:hAnsi="Times New Roman"/>
          <w:color w:val="1F2937"/>
          <w:sz w:val="22"/>
          <w:szCs w:val="22"/>
        </w:rPr>
        <w:t xml:space="preserve">Les cinq premières leçons posent ce sans quoi rien d'autre ne tient : la reconnaissance du rigpa (L1), son inscription dans la tradition bouddhiste tibétaine (L2), la structure ontologique de la base — le gzhi (L3), les trois préceptes de Garab Dorje comme colonne vertébrale de toute la voie (L4), et la triade vue-méditation-conduite comme cadre pratique quotidien (L5).</w:t>
      </w:r>
    </w:p>
    <w:p>
      <w:pPr>
        <w:spacing w:after="60"/>
      </w:pPr>
      <w:r>
        <w:rPr>
          <w:rFonts w:ascii="Times New Roman" w:cs="Times New Roman" w:eastAsia="Times New Roman" w:hAnsi="Times New Roman"/>
          <w:b/>
          <w:bCs/>
          <w:color w:val="1B3A6B"/>
          <w:sz w:val="22"/>
          <w:szCs w:val="22"/>
        </w:rPr>
        <w:t xml:space="preserve">Temps 2 — Méthodes et pratiques (leçons 6 à 12)</w:t>
      </w:r>
    </w:p>
    <w:p>
      <w:pPr>
        <w:spacing w:after="100"/>
      </w:pPr>
      <w:r>
        <w:rPr>
          <w:rFonts w:ascii="Times New Roman" w:cs="Times New Roman" w:eastAsia="Times New Roman" w:hAnsi="Times New Roman"/>
          <w:color w:val="1F2937"/>
          <w:sz w:val="22"/>
          <w:szCs w:val="22"/>
        </w:rPr>
        <w:t xml:space="preserve">Le cœur pratique s'ouvre avec les deux grandes méthodes : trekchö (L6) et tögal (L7), puis s'élargit à la cartographie doctrinale des trois séries (L8), aux pratiques préliminaires du ngöndro (L9), à la relation au maître et au samaya (L10), à la pratique du rushen (L11), et aux quatre visions du tögal (L12).</w:t>
      </w:r>
    </w:p>
    <w:p>
      <w:pPr>
        <w:spacing w:after="60"/>
      </w:pPr>
      <w:r>
        <w:rPr>
          <w:rFonts w:ascii="Times New Roman" w:cs="Times New Roman" w:eastAsia="Times New Roman" w:hAnsi="Times New Roman"/>
          <w:b/>
          <w:bCs/>
          <w:color w:val="1B3A6B"/>
          <w:sz w:val="22"/>
          <w:szCs w:val="22"/>
        </w:rPr>
        <w:t xml:space="preserve">Temps 3 — Fruits et lignées (leçons 13 à 16)</w:t>
      </w:r>
    </w:p>
    <w:p>
      <w:pPr>
        <w:spacing w:after="100"/>
      </w:pPr>
      <w:r>
        <w:rPr>
          <w:rFonts w:ascii="Times New Roman" w:cs="Times New Roman" w:eastAsia="Times New Roman" w:hAnsi="Times New Roman"/>
          <w:color w:val="1F2937"/>
          <w:sz w:val="22"/>
          <w:szCs w:val="22"/>
        </w:rPr>
        <w:t xml:space="preserve">La progression touche ses fruits avec les bardos (L13), le corps d'arc-en-ciel et ses sources textuelles (L14), puis remonte aux grandes lignées : Longchenpa et les Sept Trésors (L15), Jigme Lingpa et la révélation du Longchen Nyingtik (L16).</w:t>
      </w:r>
    </w:p>
    <w:p>
      <w:pPr>
        <w:spacing w:after="60"/>
      </w:pPr>
      <w:r>
        <w:rPr>
          <w:rFonts w:ascii="Times New Roman" w:cs="Times New Roman" w:eastAsia="Times New Roman" w:hAnsi="Times New Roman"/>
          <w:b/>
          <w:bCs/>
          <w:color w:val="1B3A6B"/>
          <w:sz w:val="22"/>
          <w:szCs w:val="22"/>
        </w:rPr>
        <w:t xml:space="preserve">Temps 4 — Confrontations et contexte (leçons 17 à 19)</w:t>
      </w:r>
    </w:p>
    <w:p>
      <w:pPr>
        <w:spacing w:after="100"/>
      </w:pPr>
      <w:r>
        <w:rPr>
          <w:rFonts w:ascii="Times New Roman" w:cs="Times New Roman" w:eastAsia="Times New Roman" w:hAnsi="Times New Roman"/>
          <w:color w:val="1F2937"/>
          <w:sz w:val="22"/>
          <w:szCs w:val="22"/>
        </w:rPr>
        <w:t xml:space="preserve">Les trois dernières leçons placent le dzogchen en dialogue avec d'autres traditions (mahamudra, L17 ; tradition bön, L18) et mesurent les enjeux de sa transmission contemporaine en Occident (L19). Ce positionnement comparatif n'est pas un hors-sujet : il précise ce qui est propre au dzogchen et ce qu'il partage avec d'autres voies.</w:t>
      </w:r>
    </w:p>
    <w:p>
      <w:pPr>
        <w:spacing w:after="160" w:before="160"/>
        <w:jc w:val="center"/>
      </w:pPr>
      <w:r>
        <w:rPr>
          <w:rFonts w:ascii="Times New Roman" w:cs="Times New Roman" w:eastAsia="Times New Roman" w:hAnsi="Times New Roman"/>
          <w:color w:val="AAAAAA"/>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2. Ce que l'écrit peut transmettre — et ce qu'il ne peut pas</w:t>
      </w:r>
    </w:p>
    <w:p>
      <w:pPr>
        <w:spacing w:after="100"/>
      </w:pPr>
      <w:r>
        <w:rPr>
          <w:rFonts w:ascii="Times New Roman" w:cs="Times New Roman" w:eastAsia="Times New Roman" w:hAnsi="Times New Roman"/>
          <w:color w:val="1F2937"/>
          <w:sz w:val="22"/>
          <w:szCs w:val="22"/>
        </w:rPr>
        <w:t xml:space="preserve">Vingt leçons textuelles permettent plusieurs choses réelles : construire un vocabulaire précis (rigpa, gzhi, trekchö, tögal, rushen, bardos), se repérer dans la tradition et ses divisions (trois séries, écoles, lignées), comprendre la logique interne de la voie, identifier les textes canoniques de référence, reconnaître les écueils classiques de la pratique et de la transmission.</w:t>
      </w:r>
    </w:p>
    <w:p>
      <w:pPr>
        <w:spacing w:after="100"/>
      </w:pPr>
      <w:r>
        <w:rPr>
          <w:rFonts w:ascii="Times New Roman" w:cs="Times New Roman" w:eastAsia="Times New Roman" w:hAnsi="Times New Roman"/>
          <w:color w:val="1F2937"/>
          <w:sz w:val="22"/>
          <w:szCs w:val="22"/>
        </w:rPr>
        <w:t xml:space="preserve">Mais il existe une limite que ce parcours ne peut pas franchir. Wikipedia formule ainsi le rôle de la transmission directe dans le dzogchen :</w:t>
      </w:r>
    </w:p>
    <w:p>
      <w:pPr>
        <w:spacing w:after="100"/>
      </w:pPr>
      <w:r>
        <w:rPr>
          <w:rFonts w:ascii="Times New Roman" w:cs="Times New Roman" w:eastAsia="Times New Roman" w:hAnsi="Times New Roman"/>
          <w:color w:val="1F2937"/>
          <w:sz w:val="22"/>
          <w:szCs w:val="22"/>
        </w:rPr>
        <w:t xml:space="preserve">Cette transmission porte le nom de ngo sprod — l'instruction de pointage direct. Le terme n'est pas propre au dzogchen : Wikipedia le donne pour « an introduction to the nature of mind in the Tibetan Buddhist lineages of Mahāmudrā and Dzogchen », et rattache sa forme développée, ngo sprod kyi gdams pa, à la tradition Mahāmudrā. Dans ces deux lignées : « a lama gives the pointing-out instruction in such a way that the disciple successfully recognizes the nature of mind. » (Wikipedia, « Pointing-out instruction »)</w:t>
      </w:r>
      <w:r>
        <w:rPr>
          <w:rFonts w:ascii="Times New Roman" w:cs="Times New Roman" w:eastAsia="Times New Roman" w:hAnsi="Times New Roman"/>
          <w:i/>
          <w:iCs/>
          <w:color w:val="6B7280"/>
          <w:sz w:val="18"/>
          <w:szCs w:val="18"/>
        </w:rPr>
        <w:t xml:space="preserve">   [Corrigé le 13/10/2026 : la version du 13/10/2026 écrivait « La tradition dzogchen désigne cette transmission par le terme ngo sprod ». La page, rouverte le 13/10/2026 (HTTP 200, 30 489 caractères utiles), attribue le terme aux lignées de Mahāmudrā ET de Dzogchen, et sa section « Terminology » rattache la forme développée au Mahāmudrā seul. Un terme partagé était donné pour propre — et c'est la distinction que la leçon 17 de ce parcours traite.]</w:t>
      </w:r>
    </w:p>
    <w:p>
      <w:pPr>
        <w:spacing w:after="100"/>
      </w:pPr>
      <w:r>
        <w:rPr>
          <w:rFonts w:ascii="Times New Roman" w:cs="Times New Roman" w:eastAsia="Times New Roman" w:hAnsi="Times New Roman"/>
          <w:color w:val="1F2937"/>
          <w:sz w:val="22"/>
          <w:szCs w:val="22"/>
        </w:rPr>
        <w:t xml:space="preserve">Cette transmission directe — ngo sprod, l'introduction à la nature de l'esprit — ne peut pas passer par l'écrit. Elle exige la présence d'un maître qualifié, appartenant à la lignée, et d'un disciple préparé. Les textes de la tradition le soulignent eux-mêmes avec insistance. Yukhok Chatralwa Chöying Rangdrol, dans son enseignement sur la pratique du chemin du dzogchen (traduit par Lotsawa House), rappelle que les investigations préliminaires doivent être conduites avec rigueur et précision : la page écrit qu'il « expresses his disapproval of any version of the preliminary investigations that lacks thoroughness or precision ». Elle ne dit pas que la reconnaissance ne viendrait que de la rencontre directe ; citant Dodrupchen Jigme Tenpe Nyima, elle pose que l'introduction à la pure conscience « can come only after an introduction to emptiness », et laisse ouverte la question du maître — « Or does it suffice to be introduced to the nature of mind by a qualified guru? ».</w:t>
      </w:r>
      <w:r>
        <w:rPr>
          <w:rFonts w:ascii="Times New Roman" w:cs="Times New Roman" w:eastAsia="Times New Roman" w:hAnsi="Times New Roman"/>
          <w:i/>
          <w:iCs/>
          <w:color w:val="6B7280"/>
          <w:sz w:val="18"/>
          <w:szCs w:val="18"/>
        </w:rPr>
        <w:t xml:space="preserve">   [Corrigé le 13/10/2026 : la version du 13/10/2026 prêtait à Yukhok Chatralwa que la reconnaissance « ne peut venir que de la rencontre directe ». Le « seulement » de la page porte ailleurs — « only after an introduction to emptiness » — et la page pose la question du maître comme une question ouverte. La thèse est défendable dans la tradition ; elle n'est pas celle de la page citée.]</w:t>
      </w:r>
    </w:p>
    <w:p>
      <w:pPr>
        <w:spacing w:after="100"/>
      </w:pPr>
      <w:r>
        <w:rPr>
          <w:rFonts w:ascii="Times New Roman" w:cs="Times New Roman" w:eastAsia="Times New Roman" w:hAnsi="Times New Roman"/>
          <w:color w:val="1F2937"/>
          <w:sz w:val="22"/>
          <w:szCs w:val="22"/>
        </w:rPr>
        <w:t xml:space="preserve">Ce que ce parcours t'a donné, c'est la capacité de comprendre ce dont il s'agit quand cette rencontre se produit. C'est déjà considérable.</w:t>
      </w:r>
    </w:p>
    <w:p>
      <w:pPr>
        <w:spacing w:after="160" w:before="160"/>
        <w:jc w:val="center"/>
      </w:pPr>
      <w:r>
        <w:rPr>
          <w:rFonts w:ascii="Times New Roman" w:cs="Times New Roman" w:eastAsia="Times New Roman" w:hAnsi="Times New Roman"/>
          <w:color w:val="AAAAAA"/>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3. Tenir la vue dans la vie ordinaire</w:t>
      </w:r>
    </w:p>
    <w:p>
      <w:pPr>
        <w:spacing w:after="100"/>
      </w:pPr>
      <w:r>
        <w:rPr>
          <w:rFonts w:ascii="Times New Roman" w:cs="Times New Roman" w:eastAsia="Times New Roman" w:hAnsi="Times New Roman"/>
          <w:color w:val="1F2937"/>
          <w:sz w:val="22"/>
          <w:szCs w:val="22"/>
        </w:rPr>
        <w:t xml:space="preserve">La question qui clôt logiquement ce parcours est aussi la plus concrète : comment ce que l'on a étudié prend-il place dans une vie ordinaire ?</w:t>
      </w:r>
    </w:p>
    <w:p>
      <w:pPr>
        <w:spacing w:after="100"/>
      </w:pPr>
      <w:r>
        <w:rPr>
          <w:rFonts w:ascii="Times New Roman" w:cs="Times New Roman" w:eastAsia="Times New Roman" w:hAnsi="Times New Roman"/>
          <w:color w:val="1F2937"/>
          <w:sz w:val="22"/>
          <w:szCs w:val="22"/>
        </w:rPr>
        <w:t xml:space="preserve">Dilgo Khyentse Rinpoche répond directement dans son enseignement sur la pratique dzogchen au quotidien :</w:t>
      </w:r>
    </w:p>
    <w:p>
      <w:pPr>
        <w:shd w:fill="F3F4F6" w:val="clear"/>
        <w:spacing w:after="100" w:before="100"/>
        <w:ind w:left="720" w:right="720"/>
      </w:pPr>
      <w:r>
        <w:rPr>
          <w:rFonts w:ascii="Times New Roman" w:cs="Times New Roman" w:eastAsia="Times New Roman" w:hAnsi="Times New Roman"/>
          <w:color w:val="1B3A6B"/>
          <w:sz w:val="22"/>
          <w:szCs w:val="22"/>
        </w:rPr>
        <w:t xml:space="preserve">« The everyday practice is just ordinary life itself. Since the underdeveloped state does not exist there is no need to behave in any special way or try to attain or practice anything. » (Dilgo Khyentse Rinpoche, « Dzogchen Practice in Everyday Life »)</w:t>
      </w:r>
    </w:p>
    <w:p>
      <w:pPr>
        <w:spacing w:after="100"/>
      </w:pPr>
      <w:r>
        <w:rPr>
          <w:rFonts w:ascii="Times New Roman" w:cs="Times New Roman" w:eastAsia="Times New Roman" w:hAnsi="Times New Roman"/>
          <w:color w:val="1F2937"/>
          <w:sz w:val="22"/>
          <w:szCs w:val="22"/>
        </w:rPr>
        <w:t xml:space="preserve">Et le texte s'ouvre, plus haut, sur cette formulation :</w:t>
      </w:r>
      <w:r>
        <w:rPr>
          <w:rFonts w:ascii="Times New Roman" w:cs="Times New Roman" w:eastAsia="Times New Roman" w:hAnsi="Times New Roman"/>
          <w:i/>
          <w:iCs/>
          <w:color w:val="6B7280"/>
          <w:sz w:val="18"/>
          <w:szCs w:val="18"/>
        </w:rPr>
        <w:t xml:space="preserve">   [Corrigé le 13/10/2026 : « Et il précise ailleurs dans le même texte » présentait comme une précision latérale ce qui est la PREMIÈRE phrase du texte. Positions mesurées sur la page : « The everyday practice is simply to develop… » au caractère 2 035, juste après le nom de l'auteur ; « The everyday practice is just ordinary life itself… » au caractère 4 704. Les deux citations sont exactes ; c'est leur hiérarchie qui était inversée.]</w:t>
      </w:r>
    </w:p>
    <w:p>
      <w:pPr>
        <w:shd w:fill="F3F4F6" w:val="clear"/>
        <w:spacing w:after="100" w:before="100"/>
        <w:ind w:left="720" w:right="720"/>
      </w:pPr>
      <w:r>
        <w:rPr>
          <w:rFonts w:ascii="Times New Roman" w:cs="Times New Roman" w:eastAsia="Times New Roman" w:hAnsi="Times New Roman"/>
          <w:color w:val="1B3A6B"/>
          <w:sz w:val="22"/>
          <w:szCs w:val="22"/>
        </w:rPr>
        <w:t xml:space="preserve">« The everyday practice is simply to develop a complete acceptance and openness to all situations and emotions, and to all people, experiencing everything totally without mental reservations and blockages, so that one never withdraws or centralizes into oneself. » (Dilgo Khyentse Rinpoche, op. cit.)</w:t>
      </w:r>
    </w:p>
    <w:p>
      <w:pPr>
        <w:spacing w:after="100"/>
      </w:pPr>
      <w:r>
        <w:rPr>
          <w:rFonts w:ascii="Times New Roman" w:cs="Times New Roman" w:eastAsia="Times New Roman" w:hAnsi="Times New Roman"/>
          <w:color w:val="1F2937"/>
          <w:sz w:val="22"/>
          <w:szCs w:val="22"/>
        </w:rPr>
        <w:t xml:space="preserve">Ces deux formulations condensent ce que les leçons ont décrit de différentes façons : la vue dzogchen (L1, L5) n'est pas une posture séparée de la vie, c'est la reconnaissance que la nature de l'esprit est déjà là — dans chaque perception, chaque émotion, chaque situation. Le trekchö (L6) consiste précisément à ne pas rigidifier ce flux. Le rushen (L11) travaille la même articulation dans les deux sens, depuis la confusion et depuis l'éveil. Les pratiques quotidiennes ne sont pas des additions à la vie ordinaire ; elles sont des façons de reconnaître que la vie ordinaire est déjà le terrain de la pratique.</w:t>
      </w:r>
    </w:p>
    <w:p>
      <w:pPr>
        <w:spacing w:after="100"/>
      </w:pPr>
      <w:r>
        <w:rPr>
          <w:rFonts w:ascii="Times New Roman" w:cs="Times New Roman" w:eastAsia="Times New Roman" w:hAnsi="Times New Roman"/>
          <w:color w:val="1F2937"/>
          <w:sz w:val="22"/>
          <w:szCs w:val="22"/>
        </w:rPr>
        <w:t xml:space="preserve">Trois points d'application ressortent de l'ensemble du parcours :</w:t>
      </w:r>
    </w:p>
    <w:p>
      <w:pPr>
        <w:spacing w:after="8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Reconnaître sans fixer. Chaque fois que l'attention se pose sur une perception — son, pensée, émotion —, la question n'est pas comment l'éliminer, mais quelle est la nature de ce qui perçoit. C'est la leçon 1 revue depuis la leçon 20.</w:t>
      </w:r>
    </w:p>
    <w:p>
      <w:pPr>
        <w:spacing w:after="8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Ne pas séparer méditation et post-méditation. Les leçons 5, 6 et 7 montrent que la distinction entre temps formel de pratique et reste de la journée est une convention utile pour commencer, non une coupure définitive. L'intégration — la capacité à tenir le fil de l'éveil naturel dans l'activité — est l'objectif de tout le parcours.</w:t>
      </w:r>
    </w:p>
    <w:p>
      <w:pPr>
        <w:spacing w:after="8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Garder la mémoire de la transmission. Les leçons 10, 15, 16 et 19 ont insisté sur le fait que la lignée n'est pas un ornement culturel. Elle est la garantie que ce qui est transmis n'est pas une fabrication de l'esprit ordinaire. Rester connecté à la lignée — même par la lecture, même par la méditation sur le maître racine — nourrit la continuité de la vue.</w:t>
      </w:r>
    </w:p>
    <w:p>
      <w:pPr>
        <w:spacing w:after="160" w:before="160"/>
        <w:jc w:val="center"/>
      </w:pPr>
      <w:r>
        <w:rPr>
          <w:rFonts w:ascii="Times New Roman" w:cs="Times New Roman" w:eastAsia="Times New Roman" w:hAnsi="Times New Roman"/>
          <w:color w:val="AAAAAA"/>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4. Ce que ce parcours n'a pas pu traiter</w:t>
      </w:r>
    </w:p>
    <w:p>
      <w:pPr>
        <w:spacing w:after="100"/>
      </w:pPr>
      <w:r>
        <w:rPr>
          <w:rFonts w:ascii="Times New Roman" w:cs="Times New Roman" w:eastAsia="Times New Roman" w:hAnsi="Times New Roman"/>
          <w:color w:val="1F2937"/>
          <w:sz w:val="22"/>
          <w:szCs w:val="22"/>
        </w:rPr>
        <w:t xml:space="preserve">Pour être honnête avec ce que dix-neuf leçons ne peuvent pas faire, il faut nommer les zones restées dans l'ombre.</w:t>
      </w:r>
    </w:p>
    <w:p>
      <w:pPr>
        <w:pStyle w:val="ListParagraph"/>
        <w:numPr>
          <w:ilvl w:val="0"/>
          <w:numId w:val="1"/>
        </w:numPr>
        <w:spacing w:after="60"/>
      </w:pPr>
      <w:r>
        <w:rPr>
          <w:rFonts w:ascii="Times New Roman" w:cs="Times New Roman" w:eastAsia="Times New Roman" w:hAnsi="Times New Roman"/>
          <w:color w:val="1F2937"/>
          <w:sz w:val="22"/>
          <w:szCs w:val="22"/>
        </w:rPr>
        <w:t xml:space="preserve">Les instructions détaillées du tögal sont transmises de manière restreinte dans la tradition. La leçon 7 a posé le cadre général et la leçon 12 les quatre visions, mais l'enseignement effectif de ces pratiques exige une transmission directe que l'écrit ne peut pas remplacer.</w:t>
      </w:r>
    </w:p>
    <w:p>
      <w:pPr>
        <w:pStyle w:val="ListParagraph"/>
        <w:numPr>
          <w:ilvl w:val="0"/>
          <w:numId w:val="1"/>
        </w:numPr>
        <w:spacing w:after="60"/>
      </w:pPr>
      <w:r>
        <w:rPr>
          <w:rFonts w:ascii="Times New Roman" w:cs="Times New Roman" w:eastAsia="Times New Roman" w:hAnsi="Times New Roman"/>
          <w:color w:val="1F2937"/>
          <w:sz w:val="22"/>
          <w:szCs w:val="22"/>
        </w:rPr>
        <w:t xml:space="preserve">Le corpus de Longchenpa est immense : les Sept Trésors (L15) n'ont été qu'effleurés. Une exploration sérieuse de la Trilogie du Repos (Ngalso Korsum) ou du Trésor du Dharmadhatu (Chöying Dzö) demanderait plusieurs années.</w:t>
      </w:r>
    </w:p>
    <w:p>
      <w:pPr>
        <w:pStyle w:val="ListParagraph"/>
        <w:numPr>
          <w:ilvl w:val="0"/>
          <w:numId w:val="1"/>
        </w:numPr>
        <w:spacing w:after="60"/>
      </w:pPr>
      <w:r>
        <w:rPr>
          <w:rFonts w:ascii="Times New Roman" w:cs="Times New Roman" w:eastAsia="Times New Roman" w:hAnsi="Times New Roman"/>
          <w:color w:val="1F2937"/>
          <w:sz w:val="22"/>
          <w:szCs w:val="22"/>
        </w:rPr>
        <w:t xml:space="preserve">Le ngöndro (L9) a été présenté dans sa structure et sa logique, mais la pratique effective de ses accumulations — la leçon 9 en compte 100 000 pour chacune de quatre des cinq pratiques extraordinaires, soit 400 000 — est une expérience qui ne se résume pas.</w:t>
      </w:r>
      <w:r>
        <w:rPr>
          <w:rFonts w:ascii="Times New Roman" w:cs="Times New Roman" w:eastAsia="Times New Roman" w:hAnsi="Times New Roman"/>
          <w:i/>
          <w:iCs/>
          <w:color w:val="6B7280"/>
          <w:sz w:val="18"/>
          <w:szCs w:val="18"/>
        </w:rPr>
        <w:t xml:space="preserve">   [Corrigé le 13/10/2026 : la version du 13/10/2026 écrivait « ses cinq cent mille répétitions ». Ce chiffre ne figure sur aucune des cinq pages listées — recherche faite sur les cinq dans cinq graphies (« 500,000 », « 500 000 », « five hundred thousand », « 100,000 », « 100 000 ») : zéro occurrence partout. Et la leçon 9 de ce parcours, celle qui traite le ngöndro, écrit 100 000 deux fois et intitule une section « La logique des 100 000 répétitions », en l'appliquant à quatre de ses cinq préliminaires extraordinaires — la bodhicitta ne portant aucun décompte. Le total établi par le parcours est donc 400 000. Un bilan ne doit pas contredire la leçon qu'il résume.]</w:t>
      </w:r>
    </w:p>
    <w:p>
      <w:pPr>
        <w:pStyle w:val="ListParagraph"/>
        <w:numPr>
          <w:ilvl w:val="0"/>
          <w:numId w:val="1"/>
        </w:numPr>
        <w:spacing w:after="60"/>
      </w:pPr>
      <w:r>
        <w:rPr>
          <w:rFonts w:ascii="Times New Roman" w:cs="Times New Roman" w:eastAsia="Times New Roman" w:hAnsi="Times New Roman"/>
          <w:color w:val="1F2937"/>
          <w:sz w:val="22"/>
          <w:szCs w:val="22"/>
        </w:rPr>
        <w:t xml:space="preserve">La dimension du samaya (L10) reste abstraite sans la relation effective à un maître. Ce rapport est central dans le dzogchen ; le parcours peut l'éclairer, non le créer.</w:t>
      </w:r>
    </w:p>
    <w:p>
      <w:pPr>
        <w:pStyle w:val="ListParagraph"/>
        <w:numPr>
          <w:ilvl w:val="0"/>
          <w:numId w:val="1"/>
        </w:numPr>
        <w:spacing w:after="60"/>
      </w:pPr>
      <w:r>
        <w:rPr>
          <w:rFonts w:ascii="Times New Roman" w:cs="Times New Roman" w:eastAsia="Times New Roman" w:hAnsi="Times New Roman"/>
          <w:color w:val="1F2937"/>
          <w:sz w:val="22"/>
          <w:szCs w:val="22"/>
        </w:rPr>
        <w:t xml:space="preserve">Les liens entre dzogchen et les sciences contemporaines de la conscience (notamment les recherches en neurosciences contemplatives) constituent une frontière vivante, rapidement mentionnée en L19 mais non développée.</w:t>
      </w:r>
    </w:p>
    <w:p>
      <w:pPr>
        <w:spacing w:after="160" w:before="160"/>
        <w:jc w:val="center"/>
      </w:pPr>
      <w:r>
        <w:rPr>
          <w:rFonts w:ascii="Times New Roman" w:cs="Times New Roman" w:eastAsia="Times New Roman" w:hAnsi="Times New Roman"/>
          <w:color w:val="AAAAAA"/>
          <w:sz w:val="18"/>
          <w:szCs w:val="18"/>
        </w:rPr>
        <w:t xml:space="preserve">─────────────────────────────────────────────</w:t>
      </w:r>
    </w:p>
    <w:p>
      <w:pPr>
        <w:pStyle w:val="Heading2"/>
        <w:spacing w:after="100" w:before="280"/>
      </w:pPr>
      <w:r>
        <w:rPr>
          <w:rFonts w:ascii="Times New Roman" w:cs="Times New Roman" w:eastAsia="Times New Roman" w:hAnsi="Times New Roman"/>
          <w:b/>
          <w:bCs/>
          <w:color w:val="1B3A6B"/>
          <w:sz w:val="30"/>
          <w:szCs w:val="30"/>
        </w:rPr>
        <w:t xml:space="preserve">🛠️ Pratique (80 %) — Exercices de synthèse</w:t>
      </w:r>
    </w:p>
    <w:p>
      <w:pPr>
        <w:pStyle w:val="Heading3"/>
        <w:spacing w:after="80" w:before="200"/>
      </w:pPr>
      <w:r>
        <w:rPr>
          <w:rFonts w:ascii="Times New Roman" w:cs="Times New Roman" w:eastAsia="Times New Roman" w:hAnsi="Times New Roman"/>
          <w:b/>
          <w:bCs/>
          <w:color w:val="1F2937"/>
          <w:sz w:val="26"/>
          <w:szCs w:val="26"/>
        </w:rPr>
        <w:t xml:space="preserve">Exercice 1 — Cartographie : les connexions entre leçons</w:t>
      </w:r>
    </w:p>
    <w:p>
      <w:pPr>
        <w:spacing w:after="100"/>
      </w:pPr>
      <w:r>
        <w:rPr>
          <w:rFonts w:ascii="Times New Roman" w:cs="Times New Roman" w:eastAsia="Times New Roman" w:hAnsi="Times New Roman"/>
          <w:color w:val="1F2937"/>
          <w:sz w:val="22"/>
          <w:szCs w:val="22"/>
        </w:rPr>
        <w:t xml:space="preserve">Durée : 30 à 45 minutes. Matériel : une feuille A3 ou un outil de carte mentale.</w:t>
      </w:r>
    </w:p>
    <w:p>
      <w:pPr>
        <w:spacing w:after="100"/>
      </w:pPr>
      <w:r>
        <w:rPr>
          <w:rFonts w:ascii="Times New Roman" w:cs="Times New Roman" w:eastAsia="Times New Roman" w:hAnsi="Times New Roman"/>
          <w:color w:val="1F2937"/>
          <w:sz w:val="22"/>
          <w:szCs w:val="22"/>
        </w:rPr>
        <w:t xml:space="preserve">Dans le tableau ci-dessous, les dix-neuf leçons qui précèdent ce bilan ont été résumées. Maintenant, travaille à identifier les connexions transversales.</w:t>
      </w:r>
      <w:r>
        <w:rPr>
          <w:rFonts w:ascii="Times New Roman" w:cs="Times New Roman" w:eastAsia="Times New Roman" w:hAnsi="Times New Roman"/>
          <w:i/>
          <w:iCs/>
          <w:color w:val="6B7280"/>
          <w:sz w:val="18"/>
          <w:szCs w:val="18"/>
        </w:rPr>
        <w:t xml:space="preserve">   [Corrigé le 13/10/2026 : le texte annonçait « vingt thèmes » et le tableau en porte dix-neuf — 20 lignes dont une d'en-tête, de « 01 Rigpa » à « 19 Transmission en Occident ». Ce bilan s'était omis lui-même.]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B3A6B" w:val="clear"/>
          </w:tcPr>
          <w:p>
            <w:pPr>
              <w:spacing w:after="0"/>
            </w:pPr>
            <w:r>
              <w:rPr>
                <w:rFonts w:ascii="Times New Roman" w:cs="Times New Roman" w:eastAsia="Times New Roman" w:hAnsi="Times New Roman"/>
                <w:b/>
                <w:bCs/>
                <w:color w:val="FFFFFF"/>
                <w:sz w:val="20"/>
                <w:szCs w:val="20"/>
              </w:rPr>
              <w:t xml:space="preserve">Leçon</w:t>
            </w:r>
          </w:p>
        </w:tc>
        <w:tc>
          <w:tcPr>
            <w:shd w:fill="1B3A6B" w:val="clear"/>
          </w:tcPr>
          <w:p>
            <w:pPr>
              <w:spacing w:after="0"/>
            </w:pPr>
            <w:r>
              <w:rPr>
                <w:rFonts w:ascii="Times New Roman" w:cs="Times New Roman" w:eastAsia="Times New Roman" w:hAnsi="Times New Roman"/>
                <w:b/>
                <w:bCs/>
                <w:color w:val="FFFFFF"/>
                <w:sz w:val="20"/>
                <w:szCs w:val="20"/>
              </w:rPr>
              <w:t xml:space="preserve">Thème</w:t>
            </w:r>
          </w:p>
        </w:tc>
        <w:tc>
          <w:tcPr>
            <w:shd w:fill="1B3A6B" w:val="clear"/>
          </w:tcPr>
          <w:p>
            <w:pPr>
              <w:spacing w:after="0"/>
            </w:pPr>
            <w:r>
              <w:rPr>
                <w:rFonts w:ascii="Times New Roman" w:cs="Times New Roman" w:eastAsia="Times New Roman" w:hAnsi="Times New Roman"/>
                <w:b/>
                <w:bCs/>
                <w:color w:val="FFFFFF"/>
                <w:sz w:val="20"/>
                <w:szCs w:val="20"/>
              </w:rPr>
              <w:t xml:space="preserve">Axe</w:t>
            </w:r>
          </w:p>
        </w:tc>
        <w:tc>
          <w:tcPr>
            <w:shd w:fill="1B3A6B" w:val="clear"/>
          </w:tcPr>
          <w:p>
            <w:pPr>
              <w:spacing w:after="0"/>
            </w:pPr>
            <w:r>
              <w:rPr>
                <w:rFonts w:ascii="Times New Roman" w:cs="Times New Roman" w:eastAsia="Times New Roman" w:hAnsi="Times New Roman"/>
                <w:b/>
                <w:bCs/>
                <w:color w:val="FFFFFF"/>
                <w:sz w:val="20"/>
                <w:szCs w:val="20"/>
              </w:rPr>
              <w:t xml:space="preserve">Pratique centrale</w:t>
            </w:r>
          </w:p>
        </w:tc>
      </w:tr>
      <w:tr>
        <w:tc>
          <w:tcPr>
            <w:shd w:fill="EEF2F7" w:val="clear"/>
          </w:tcPr>
          <w:p>
            <w:pPr>
              <w:spacing w:after="0"/>
            </w:pPr>
            <w:r>
              <w:rPr>
                <w:rFonts w:ascii="Times New Roman" w:cs="Times New Roman" w:eastAsia="Times New Roman" w:hAnsi="Times New Roman"/>
                <w:color w:val="1F2937"/>
                <w:sz w:val="18"/>
                <w:szCs w:val="18"/>
              </w:rPr>
              <w:t xml:space="preserve">01</w:t>
            </w:r>
          </w:p>
        </w:tc>
        <w:tc>
          <w:tcPr>
            <w:shd w:fill="EEF2F7" w:val="clear"/>
          </w:tcPr>
          <w:p>
            <w:pPr>
              <w:spacing w:after="0"/>
            </w:pPr>
            <w:r>
              <w:rPr>
                <w:rFonts w:ascii="Times New Roman" w:cs="Times New Roman" w:eastAsia="Times New Roman" w:hAnsi="Times New Roman"/>
                <w:color w:val="1F2937"/>
                <w:sz w:val="18"/>
                <w:szCs w:val="18"/>
              </w:rPr>
              <w:t xml:space="preserve">Rigpa</w:t>
            </w:r>
          </w:p>
        </w:tc>
        <w:tc>
          <w:tcPr>
            <w:shd w:fill="EEF2F7" w:val="clear"/>
          </w:tcPr>
          <w:p>
            <w:pPr>
              <w:spacing w:after="0"/>
            </w:pPr>
            <w:r>
              <w:rPr>
                <w:rFonts w:ascii="Times New Roman" w:cs="Times New Roman" w:eastAsia="Times New Roman" w:hAnsi="Times New Roman"/>
                <w:color w:val="1F2937"/>
                <w:sz w:val="18"/>
                <w:szCs w:val="18"/>
              </w:rPr>
              <w:t xml:space="preserve">Fondements</w:t>
            </w:r>
          </w:p>
        </w:tc>
        <w:tc>
          <w:tcPr>
            <w:shd w:fill="EEF2F7" w:val="clear"/>
          </w:tcPr>
          <w:p>
            <w:pPr>
              <w:spacing w:after="0"/>
            </w:pPr>
            <w:r>
              <w:rPr>
                <w:rFonts w:ascii="Times New Roman" w:cs="Times New Roman" w:eastAsia="Times New Roman" w:hAnsi="Times New Roman"/>
                <w:color w:val="1F2937"/>
                <w:sz w:val="18"/>
                <w:szCs w:val="18"/>
              </w:rPr>
              <w:t xml:space="preserve">Reconnaissance de l'éveil naturel</w:t>
            </w:r>
          </w:p>
        </w:tc>
      </w:tr>
      <w:tr>
        <w:tc>
          <w:p>
            <w:pPr>
              <w:spacing w:after="0"/>
            </w:pPr>
            <w:r>
              <w:rPr>
                <w:rFonts w:ascii="Times New Roman" w:cs="Times New Roman" w:eastAsia="Times New Roman" w:hAnsi="Times New Roman"/>
                <w:color w:val="1F2937"/>
                <w:sz w:val="18"/>
                <w:szCs w:val="18"/>
              </w:rPr>
              <w:t xml:space="preserve">02</w:t>
            </w:r>
          </w:p>
        </w:tc>
        <w:tc>
          <w:p>
            <w:pPr>
              <w:spacing w:after="0"/>
            </w:pPr>
            <w:r>
              <w:rPr>
                <w:rFonts w:ascii="Times New Roman" w:cs="Times New Roman" w:eastAsia="Times New Roman" w:hAnsi="Times New Roman"/>
                <w:color w:val="1F2937"/>
                <w:sz w:val="18"/>
                <w:szCs w:val="18"/>
              </w:rPr>
              <w:t xml:space="preserve">Cadre tibétain</w:t>
            </w:r>
          </w:p>
        </w:tc>
        <w:tc>
          <w:p>
            <w:pPr>
              <w:spacing w:after="0"/>
            </w:pPr>
            <w:r>
              <w:rPr>
                <w:rFonts w:ascii="Times New Roman" w:cs="Times New Roman" w:eastAsia="Times New Roman" w:hAnsi="Times New Roman"/>
                <w:color w:val="1F2937"/>
                <w:sz w:val="18"/>
                <w:szCs w:val="18"/>
              </w:rPr>
              <w:t xml:space="preserve">Fondements</w:t>
            </w:r>
          </w:p>
        </w:tc>
        <w:tc>
          <w:p>
            <w:pPr>
              <w:spacing w:after="0"/>
            </w:pPr>
            <w:r>
              <w:rPr>
                <w:rFonts w:ascii="Times New Roman" w:cs="Times New Roman" w:eastAsia="Times New Roman" w:hAnsi="Times New Roman"/>
                <w:color w:val="1F2937"/>
                <w:sz w:val="18"/>
                <w:szCs w:val="18"/>
              </w:rPr>
              <w:t xml:space="preserve">Situer le dzogchen dans la voie</w:t>
            </w:r>
          </w:p>
        </w:tc>
      </w:tr>
      <w:tr>
        <w:tc>
          <w:tcPr>
            <w:shd w:fill="EEF2F7" w:val="clear"/>
          </w:tcPr>
          <w:p>
            <w:pPr>
              <w:spacing w:after="0"/>
            </w:pPr>
            <w:r>
              <w:rPr>
                <w:rFonts w:ascii="Times New Roman" w:cs="Times New Roman" w:eastAsia="Times New Roman" w:hAnsi="Times New Roman"/>
                <w:color w:val="1F2937"/>
                <w:sz w:val="18"/>
                <w:szCs w:val="18"/>
              </w:rPr>
              <w:t xml:space="preserve">03</w:t>
            </w:r>
          </w:p>
        </w:tc>
        <w:tc>
          <w:tcPr>
            <w:shd w:fill="EEF2F7" w:val="clear"/>
          </w:tcPr>
          <w:p>
            <w:pPr>
              <w:spacing w:after="0"/>
            </w:pPr>
            <w:r>
              <w:rPr>
                <w:rFonts w:ascii="Times New Roman" w:cs="Times New Roman" w:eastAsia="Times New Roman" w:hAnsi="Times New Roman"/>
                <w:color w:val="1F2937"/>
                <w:sz w:val="18"/>
                <w:szCs w:val="18"/>
              </w:rPr>
              <w:t xml:space="preserve">La base (gzhi)</w:t>
            </w:r>
          </w:p>
        </w:tc>
        <w:tc>
          <w:tcPr>
            <w:shd w:fill="EEF2F7" w:val="clear"/>
          </w:tcPr>
          <w:p>
            <w:pPr>
              <w:spacing w:after="0"/>
            </w:pPr>
            <w:r>
              <w:rPr>
                <w:rFonts w:ascii="Times New Roman" w:cs="Times New Roman" w:eastAsia="Times New Roman" w:hAnsi="Times New Roman"/>
                <w:color w:val="1F2937"/>
                <w:sz w:val="18"/>
                <w:szCs w:val="18"/>
              </w:rPr>
              <w:t xml:space="preserve">Fondements</w:t>
            </w:r>
          </w:p>
        </w:tc>
        <w:tc>
          <w:tcPr>
            <w:shd w:fill="EEF2F7" w:val="clear"/>
          </w:tcPr>
          <w:p>
            <w:pPr>
              <w:spacing w:after="0"/>
            </w:pPr>
            <w:r>
              <w:rPr>
                <w:rFonts w:ascii="Times New Roman" w:cs="Times New Roman" w:eastAsia="Times New Roman" w:hAnsi="Times New Roman"/>
                <w:color w:val="1F2937"/>
                <w:sz w:val="18"/>
                <w:szCs w:val="18"/>
              </w:rPr>
              <w:t xml:space="preserve">Pureté primordiale &amp; spontanéité</w:t>
            </w:r>
          </w:p>
        </w:tc>
      </w:tr>
      <w:tr>
        <w:tc>
          <w:p>
            <w:pPr>
              <w:spacing w:after="0"/>
            </w:pPr>
            <w:r>
              <w:rPr>
                <w:rFonts w:ascii="Times New Roman" w:cs="Times New Roman" w:eastAsia="Times New Roman" w:hAnsi="Times New Roman"/>
                <w:color w:val="1F2937"/>
                <w:sz w:val="18"/>
                <w:szCs w:val="18"/>
              </w:rPr>
              <w:t xml:space="preserve">04</w:t>
            </w:r>
          </w:p>
        </w:tc>
        <w:tc>
          <w:p>
            <w:pPr>
              <w:spacing w:after="0"/>
            </w:pPr>
            <w:r>
              <w:rPr>
                <w:rFonts w:ascii="Times New Roman" w:cs="Times New Roman" w:eastAsia="Times New Roman" w:hAnsi="Times New Roman"/>
                <w:color w:val="1F2937"/>
                <w:sz w:val="18"/>
                <w:szCs w:val="18"/>
              </w:rPr>
              <w:t xml:space="preserve">Garab Dorje</w:t>
            </w:r>
          </w:p>
        </w:tc>
        <w:tc>
          <w:p>
            <w:pPr>
              <w:spacing w:after="0"/>
            </w:pPr>
            <w:r>
              <w:rPr>
                <w:rFonts w:ascii="Times New Roman" w:cs="Times New Roman" w:eastAsia="Times New Roman" w:hAnsi="Times New Roman"/>
                <w:color w:val="1F2937"/>
                <w:sz w:val="18"/>
                <w:szCs w:val="18"/>
              </w:rPr>
              <w:t xml:space="preserve">Fondements</w:t>
            </w:r>
          </w:p>
        </w:tc>
        <w:tc>
          <w:p>
            <w:pPr>
              <w:spacing w:after="0"/>
            </w:pPr>
            <w:r>
              <w:rPr>
                <w:rFonts w:ascii="Times New Roman" w:cs="Times New Roman" w:eastAsia="Times New Roman" w:hAnsi="Times New Roman"/>
                <w:color w:val="1F2937"/>
                <w:sz w:val="18"/>
                <w:szCs w:val="18"/>
              </w:rPr>
              <w:t xml:space="preserve">Les trois préceptes essentiels</w:t>
            </w:r>
          </w:p>
        </w:tc>
      </w:tr>
      <w:tr>
        <w:tc>
          <w:tcPr>
            <w:shd w:fill="EEF2F7" w:val="clear"/>
          </w:tcPr>
          <w:p>
            <w:pPr>
              <w:spacing w:after="0"/>
            </w:pPr>
            <w:r>
              <w:rPr>
                <w:rFonts w:ascii="Times New Roman" w:cs="Times New Roman" w:eastAsia="Times New Roman" w:hAnsi="Times New Roman"/>
                <w:color w:val="1F2937"/>
                <w:sz w:val="18"/>
                <w:szCs w:val="18"/>
              </w:rPr>
              <w:t xml:space="preserve">05</w:t>
            </w:r>
          </w:p>
        </w:tc>
        <w:tc>
          <w:tcPr>
            <w:shd w:fill="EEF2F7" w:val="clear"/>
          </w:tcPr>
          <w:p>
            <w:pPr>
              <w:spacing w:after="0"/>
            </w:pPr>
            <w:r>
              <w:rPr>
                <w:rFonts w:ascii="Times New Roman" w:cs="Times New Roman" w:eastAsia="Times New Roman" w:hAnsi="Times New Roman"/>
                <w:color w:val="1F2937"/>
                <w:sz w:val="18"/>
                <w:szCs w:val="18"/>
              </w:rPr>
              <w:t xml:space="preserve">Vue, méditation, conduite</w:t>
            </w:r>
          </w:p>
        </w:tc>
        <w:tc>
          <w:tcPr>
            <w:shd w:fill="EEF2F7" w:val="clear"/>
          </w:tcPr>
          <w:p>
            <w:pPr>
              <w:spacing w:after="0"/>
            </w:pPr>
            <w:r>
              <w:rPr>
                <w:rFonts w:ascii="Times New Roman" w:cs="Times New Roman" w:eastAsia="Times New Roman" w:hAnsi="Times New Roman"/>
                <w:color w:val="1F2937"/>
                <w:sz w:val="18"/>
                <w:szCs w:val="18"/>
              </w:rPr>
              <w:t xml:space="preserve">Méthode</w:t>
            </w:r>
          </w:p>
        </w:tc>
        <w:tc>
          <w:tcPr>
            <w:shd w:fill="EEF2F7" w:val="clear"/>
          </w:tcPr>
          <w:p>
            <w:pPr>
              <w:spacing w:after="0"/>
            </w:pPr>
            <w:r>
              <w:rPr>
                <w:rFonts w:ascii="Times New Roman" w:cs="Times New Roman" w:eastAsia="Times New Roman" w:hAnsi="Times New Roman"/>
                <w:color w:val="1F2937"/>
                <w:sz w:val="18"/>
                <w:szCs w:val="18"/>
              </w:rPr>
              <w:t xml:space="preserve">Tenir les trois en un</w:t>
            </w:r>
          </w:p>
        </w:tc>
      </w:tr>
      <w:tr>
        <w:tc>
          <w:p>
            <w:pPr>
              <w:spacing w:after="0"/>
            </w:pPr>
            <w:r>
              <w:rPr>
                <w:rFonts w:ascii="Times New Roman" w:cs="Times New Roman" w:eastAsia="Times New Roman" w:hAnsi="Times New Roman"/>
                <w:color w:val="1F2937"/>
                <w:sz w:val="18"/>
                <w:szCs w:val="18"/>
              </w:rPr>
              <w:t xml:space="preserve">06</w:t>
            </w:r>
          </w:p>
        </w:tc>
        <w:tc>
          <w:p>
            <w:pPr>
              <w:spacing w:after="0"/>
            </w:pPr>
            <w:r>
              <w:rPr>
                <w:rFonts w:ascii="Times New Roman" w:cs="Times New Roman" w:eastAsia="Times New Roman" w:hAnsi="Times New Roman"/>
                <w:color w:val="1F2937"/>
                <w:sz w:val="18"/>
                <w:szCs w:val="18"/>
              </w:rPr>
              <w:t xml:space="preserve">Trekchö</w:t>
            </w:r>
          </w:p>
        </w:tc>
        <w:tc>
          <w:p>
            <w:pPr>
              <w:spacing w:after="0"/>
            </w:pPr>
            <w:r>
              <w:rPr>
                <w:rFonts w:ascii="Times New Roman" w:cs="Times New Roman" w:eastAsia="Times New Roman" w:hAnsi="Times New Roman"/>
                <w:color w:val="1F2937"/>
                <w:sz w:val="18"/>
                <w:szCs w:val="18"/>
              </w:rPr>
              <w:t xml:space="preserve">Méthode</w:t>
            </w:r>
          </w:p>
        </w:tc>
        <w:tc>
          <w:p>
            <w:pPr>
              <w:spacing w:after="0"/>
            </w:pPr>
            <w:r>
              <w:rPr>
                <w:rFonts w:ascii="Times New Roman" w:cs="Times New Roman" w:eastAsia="Times New Roman" w:hAnsi="Times New Roman"/>
                <w:color w:val="1F2937"/>
                <w:sz w:val="18"/>
                <w:szCs w:val="18"/>
              </w:rPr>
              <w:t xml:space="preserve">Laisser s'effondrer la rigidité</w:t>
            </w:r>
          </w:p>
        </w:tc>
      </w:tr>
      <w:tr>
        <w:tc>
          <w:tcPr>
            <w:shd w:fill="EEF2F7" w:val="clear"/>
          </w:tcPr>
          <w:p>
            <w:pPr>
              <w:spacing w:after="0"/>
            </w:pPr>
            <w:r>
              <w:rPr>
                <w:rFonts w:ascii="Times New Roman" w:cs="Times New Roman" w:eastAsia="Times New Roman" w:hAnsi="Times New Roman"/>
                <w:color w:val="1F2937"/>
                <w:sz w:val="18"/>
                <w:szCs w:val="18"/>
              </w:rPr>
              <w:t xml:space="preserve">07</w:t>
            </w:r>
          </w:p>
        </w:tc>
        <w:tc>
          <w:tcPr>
            <w:shd w:fill="EEF2F7" w:val="clear"/>
          </w:tcPr>
          <w:p>
            <w:pPr>
              <w:spacing w:after="0"/>
            </w:pPr>
            <w:r>
              <w:rPr>
                <w:rFonts w:ascii="Times New Roman" w:cs="Times New Roman" w:eastAsia="Times New Roman" w:hAnsi="Times New Roman"/>
                <w:color w:val="1F2937"/>
                <w:sz w:val="18"/>
                <w:szCs w:val="18"/>
              </w:rPr>
              <w:t xml:space="preserve">Tögal</w:t>
            </w:r>
          </w:p>
        </w:tc>
        <w:tc>
          <w:tcPr>
            <w:shd w:fill="EEF2F7" w:val="clear"/>
          </w:tcPr>
          <w:p>
            <w:pPr>
              <w:spacing w:after="0"/>
            </w:pPr>
            <w:r>
              <w:rPr>
                <w:rFonts w:ascii="Times New Roman" w:cs="Times New Roman" w:eastAsia="Times New Roman" w:hAnsi="Times New Roman"/>
                <w:color w:val="1F2937"/>
                <w:sz w:val="18"/>
                <w:szCs w:val="18"/>
              </w:rPr>
              <w:t xml:space="preserve">Méthode</w:t>
            </w:r>
          </w:p>
        </w:tc>
        <w:tc>
          <w:tcPr>
            <w:shd w:fill="EEF2F7" w:val="clear"/>
          </w:tcPr>
          <w:p>
            <w:pPr>
              <w:spacing w:after="0"/>
            </w:pPr>
            <w:r>
              <w:rPr>
                <w:rFonts w:ascii="Times New Roman" w:cs="Times New Roman" w:eastAsia="Times New Roman" w:hAnsi="Times New Roman"/>
                <w:color w:val="1F2937"/>
                <w:sz w:val="18"/>
                <w:szCs w:val="18"/>
              </w:rPr>
              <w:t xml:space="preserve">Visions de lumière naturelle</w:t>
            </w:r>
          </w:p>
        </w:tc>
      </w:tr>
      <w:tr>
        <w:tc>
          <w:p>
            <w:pPr>
              <w:spacing w:after="0"/>
            </w:pPr>
            <w:r>
              <w:rPr>
                <w:rFonts w:ascii="Times New Roman" w:cs="Times New Roman" w:eastAsia="Times New Roman" w:hAnsi="Times New Roman"/>
                <w:color w:val="1F2937"/>
                <w:sz w:val="18"/>
                <w:szCs w:val="18"/>
              </w:rPr>
              <w:t xml:space="preserve">08</w:t>
            </w:r>
          </w:p>
        </w:tc>
        <w:tc>
          <w:p>
            <w:pPr>
              <w:spacing w:after="0"/>
            </w:pPr>
            <w:r>
              <w:rPr>
                <w:rFonts w:ascii="Times New Roman" w:cs="Times New Roman" w:eastAsia="Times New Roman" w:hAnsi="Times New Roman"/>
                <w:color w:val="1F2937"/>
                <w:sz w:val="18"/>
                <w:szCs w:val="18"/>
              </w:rPr>
              <w:t xml:space="preserve">Trois séries</w:t>
            </w:r>
          </w:p>
        </w:tc>
        <w:tc>
          <w:p>
            <w:pPr>
              <w:spacing w:after="0"/>
            </w:pPr>
            <w:r>
              <w:rPr>
                <w:rFonts w:ascii="Times New Roman" w:cs="Times New Roman" w:eastAsia="Times New Roman" w:hAnsi="Times New Roman"/>
                <w:color w:val="1F2937"/>
                <w:sz w:val="18"/>
                <w:szCs w:val="18"/>
              </w:rPr>
              <w:t xml:space="preserve">Doctrine</w:t>
            </w:r>
          </w:p>
        </w:tc>
        <w:tc>
          <w:p>
            <w:pPr>
              <w:spacing w:after="0"/>
            </w:pPr>
            <w:r>
              <w:rPr>
                <w:rFonts w:ascii="Times New Roman" w:cs="Times New Roman" w:eastAsia="Times New Roman" w:hAnsi="Times New Roman"/>
                <w:color w:val="1F2937"/>
                <w:sz w:val="18"/>
                <w:szCs w:val="18"/>
              </w:rPr>
              <w:t xml:space="preserve">Semdé, Longdé, Mengagdé</w:t>
            </w:r>
          </w:p>
        </w:tc>
      </w:tr>
      <w:tr>
        <w:tc>
          <w:tcPr>
            <w:shd w:fill="EEF2F7" w:val="clear"/>
          </w:tcPr>
          <w:p>
            <w:pPr>
              <w:spacing w:after="0"/>
            </w:pPr>
            <w:r>
              <w:rPr>
                <w:rFonts w:ascii="Times New Roman" w:cs="Times New Roman" w:eastAsia="Times New Roman" w:hAnsi="Times New Roman"/>
                <w:color w:val="1F2937"/>
                <w:sz w:val="18"/>
                <w:szCs w:val="18"/>
              </w:rPr>
              <w:t xml:space="preserve">09</w:t>
            </w:r>
          </w:p>
        </w:tc>
        <w:tc>
          <w:tcPr>
            <w:shd w:fill="EEF2F7" w:val="clear"/>
          </w:tcPr>
          <w:p>
            <w:pPr>
              <w:spacing w:after="0"/>
            </w:pPr>
            <w:r>
              <w:rPr>
                <w:rFonts w:ascii="Times New Roman" w:cs="Times New Roman" w:eastAsia="Times New Roman" w:hAnsi="Times New Roman"/>
                <w:color w:val="1F2937"/>
                <w:sz w:val="18"/>
                <w:szCs w:val="18"/>
              </w:rPr>
              <w:t xml:space="preserve">Ngöndro</w:t>
            </w:r>
          </w:p>
        </w:tc>
        <w:tc>
          <w:tcPr>
            <w:shd w:fill="EEF2F7" w:val="clear"/>
          </w:tcPr>
          <w:p>
            <w:pPr>
              <w:spacing w:after="0"/>
            </w:pPr>
            <w:r>
              <w:rPr>
                <w:rFonts w:ascii="Times New Roman" w:cs="Times New Roman" w:eastAsia="Times New Roman" w:hAnsi="Times New Roman"/>
                <w:color w:val="1F2937"/>
                <w:sz w:val="18"/>
                <w:szCs w:val="18"/>
              </w:rPr>
              <w:t xml:space="preserve">Préparation</w:t>
            </w:r>
          </w:p>
        </w:tc>
        <w:tc>
          <w:tcPr>
            <w:shd w:fill="EEF2F7" w:val="clear"/>
          </w:tcPr>
          <w:p>
            <w:pPr>
              <w:spacing w:after="0"/>
            </w:pPr>
            <w:r>
              <w:rPr>
                <w:rFonts w:ascii="Times New Roman" w:cs="Times New Roman" w:eastAsia="Times New Roman" w:hAnsi="Times New Roman"/>
                <w:color w:val="1F2937"/>
                <w:sz w:val="18"/>
                <w:szCs w:val="18"/>
              </w:rPr>
              <w:t xml:space="preserve">Les pratiques préliminaires</w:t>
            </w:r>
          </w:p>
        </w:tc>
      </w:tr>
      <w:tr>
        <w:tc>
          <w:p>
            <w:pPr>
              <w:spacing w:after="0"/>
            </w:pPr>
            <w:r>
              <w:rPr>
                <w:rFonts w:ascii="Times New Roman" w:cs="Times New Roman" w:eastAsia="Times New Roman" w:hAnsi="Times New Roman"/>
                <w:color w:val="1F2937"/>
                <w:sz w:val="18"/>
                <w:szCs w:val="18"/>
              </w:rPr>
              <w:t xml:space="preserve">10</w:t>
            </w:r>
          </w:p>
        </w:tc>
        <w:tc>
          <w:p>
            <w:pPr>
              <w:spacing w:after="0"/>
            </w:pPr>
            <w:r>
              <w:rPr>
                <w:rFonts w:ascii="Times New Roman" w:cs="Times New Roman" w:eastAsia="Times New Roman" w:hAnsi="Times New Roman"/>
                <w:color w:val="1F2937"/>
                <w:sz w:val="18"/>
                <w:szCs w:val="18"/>
              </w:rPr>
              <w:t xml:space="preserve">Maître &amp; lignée</w:t>
            </w:r>
          </w:p>
        </w:tc>
        <w:tc>
          <w:p>
            <w:pPr>
              <w:spacing w:after="0"/>
            </w:pPr>
            <w:r>
              <w:rPr>
                <w:rFonts w:ascii="Times New Roman" w:cs="Times New Roman" w:eastAsia="Times New Roman" w:hAnsi="Times New Roman"/>
                <w:color w:val="1F2937"/>
                <w:sz w:val="18"/>
                <w:szCs w:val="18"/>
              </w:rPr>
              <w:t xml:space="preserve">Transmission</w:t>
            </w:r>
          </w:p>
        </w:tc>
        <w:tc>
          <w:p>
            <w:pPr>
              <w:spacing w:after="0"/>
            </w:pPr>
            <w:r>
              <w:rPr>
                <w:rFonts w:ascii="Times New Roman" w:cs="Times New Roman" w:eastAsia="Times New Roman" w:hAnsi="Times New Roman"/>
                <w:color w:val="1F2937"/>
                <w:sz w:val="18"/>
                <w:szCs w:val="18"/>
              </w:rPr>
              <w:t xml:space="preserve">Samaya et relation au maître</w:t>
            </w:r>
          </w:p>
        </w:tc>
      </w:tr>
      <w:tr>
        <w:tc>
          <w:tcPr>
            <w:shd w:fill="EEF2F7" w:val="clear"/>
          </w:tcPr>
          <w:p>
            <w:pPr>
              <w:spacing w:after="0"/>
            </w:pPr>
            <w:r>
              <w:rPr>
                <w:rFonts w:ascii="Times New Roman" w:cs="Times New Roman" w:eastAsia="Times New Roman" w:hAnsi="Times New Roman"/>
                <w:color w:val="1F2937"/>
                <w:sz w:val="18"/>
                <w:szCs w:val="18"/>
              </w:rPr>
              <w:t xml:space="preserve">11</w:t>
            </w:r>
          </w:p>
        </w:tc>
        <w:tc>
          <w:tcPr>
            <w:shd w:fill="EEF2F7" w:val="clear"/>
          </w:tcPr>
          <w:p>
            <w:pPr>
              <w:spacing w:after="0"/>
            </w:pPr>
            <w:r>
              <w:rPr>
                <w:rFonts w:ascii="Times New Roman" w:cs="Times New Roman" w:eastAsia="Times New Roman" w:hAnsi="Times New Roman"/>
                <w:color w:val="1F2937"/>
                <w:sz w:val="18"/>
                <w:szCs w:val="18"/>
              </w:rPr>
              <w:t xml:space="preserve">Rushen</w:t>
            </w:r>
          </w:p>
        </w:tc>
        <w:tc>
          <w:tcPr>
            <w:shd w:fill="EEF2F7" w:val="clear"/>
          </w:tcPr>
          <w:p>
            <w:pPr>
              <w:spacing w:after="0"/>
            </w:pPr>
            <w:r>
              <w:rPr>
                <w:rFonts w:ascii="Times New Roman" w:cs="Times New Roman" w:eastAsia="Times New Roman" w:hAnsi="Times New Roman"/>
                <w:color w:val="1F2937"/>
                <w:sz w:val="18"/>
                <w:szCs w:val="18"/>
              </w:rPr>
              <w:t xml:space="preserve">Méthode</w:t>
            </w:r>
          </w:p>
        </w:tc>
        <w:tc>
          <w:tcPr>
            <w:shd w:fill="EEF2F7" w:val="clear"/>
          </w:tcPr>
          <w:p>
            <w:pPr>
              <w:spacing w:after="0"/>
            </w:pPr>
            <w:r>
              <w:rPr>
                <w:rFonts w:ascii="Times New Roman" w:cs="Times New Roman" w:eastAsia="Times New Roman" w:hAnsi="Times New Roman"/>
                <w:color w:val="1F2937"/>
                <w:sz w:val="18"/>
                <w:szCs w:val="18"/>
              </w:rPr>
              <w:t xml:space="preserve">Séparer saṃsāra et nirvāṇa</w:t>
            </w:r>
          </w:p>
        </w:tc>
      </w:tr>
      <w:tr>
        <w:tc>
          <w:p>
            <w:pPr>
              <w:spacing w:after="0"/>
            </w:pPr>
            <w:r>
              <w:rPr>
                <w:rFonts w:ascii="Times New Roman" w:cs="Times New Roman" w:eastAsia="Times New Roman" w:hAnsi="Times New Roman"/>
                <w:color w:val="1F2937"/>
                <w:sz w:val="18"/>
                <w:szCs w:val="18"/>
              </w:rPr>
              <w:t xml:space="preserve">12</w:t>
            </w:r>
          </w:p>
        </w:tc>
        <w:tc>
          <w:p>
            <w:pPr>
              <w:spacing w:after="0"/>
            </w:pPr>
            <w:r>
              <w:rPr>
                <w:rFonts w:ascii="Times New Roman" w:cs="Times New Roman" w:eastAsia="Times New Roman" w:hAnsi="Times New Roman"/>
                <w:color w:val="1F2937"/>
                <w:sz w:val="18"/>
                <w:szCs w:val="18"/>
              </w:rPr>
              <w:t xml:space="preserve">Quatre visions du tögal</w:t>
            </w:r>
          </w:p>
        </w:tc>
        <w:tc>
          <w:p>
            <w:pPr>
              <w:spacing w:after="0"/>
            </w:pPr>
            <w:r>
              <w:rPr>
                <w:rFonts w:ascii="Times New Roman" w:cs="Times New Roman" w:eastAsia="Times New Roman" w:hAnsi="Times New Roman"/>
                <w:color w:val="1F2937"/>
                <w:sz w:val="18"/>
                <w:szCs w:val="18"/>
              </w:rPr>
              <w:t xml:space="preserve">Méthode</w:t>
            </w:r>
          </w:p>
        </w:tc>
        <w:tc>
          <w:p>
            <w:pPr>
              <w:spacing w:after="0"/>
            </w:pPr>
            <w:r>
              <w:rPr>
                <w:rFonts w:ascii="Times New Roman" w:cs="Times New Roman" w:eastAsia="Times New Roman" w:hAnsi="Times New Roman"/>
                <w:color w:val="1F2937"/>
                <w:sz w:val="18"/>
                <w:szCs w:val="18"/>
              </w:rPr>
              <w:t xml:space="preserve">Du dharmakāya au corps d'arc-en-ciel</w:t>
            </w:r>
          </w:p>
        </w:tc>
      </w:tr>
      <w:tr>
        <w:tc>
          <w:tcPr>
            <w:shd w:fill="EEF2F7" w:val="clear"/>
          </w:tcPr>
          <w:p>
            <w:pPr>
              <w:spacing w:after="0"/>
            </w:pPr>
            <w:r>
              <w:rPr>
                <w:rFonts w:ascii="Times New Roman" w:cs="Times New Roman" w:eastAsia="Times New Roman" w:hAnsi="Times New Roman"/>
                <w:color w:val="1F2937"/>
                <w:sz w:val="18"/>
                <w:szCs w:val="18"/>
              </w:rPr>
              <w:t xml:space="preserve">13</w:t>
            </w:r>
          </w:p>
        </w:tc>
        <w:tc>
          <w:tcPr>
            <w:shd w:fill="EEF2F7" w:val="clear"/>
          </w:tcPr>
          <w:p>
            <w:pPr>
              <w:spacing w:after="0"/>
            </w:pPr>
            <w:r>
              <w:rPr>
                <w:rFonts w:ascii="Times New Roman" w:cs="Times New Roman" w:eastAsia="Times New Roman" w:hAnsi="Times New Roman"/>
                <w:color w:val="1F2937"/>
                <w:sz w:val="18"/>
                <w:szCs w:val="18"/>
              </w:rPr>
              <w:t xml:space="preserve">Bardos</w:t>
            </w:r>
          </w:p>
        </w:tc>
        <w:tc>
          <w:tcPr>
            <w:shd w:fill="EEF2F7" w:val="clear"/>
          </w:tcPr>
          <w:p>
            <w:pPr>
              <w:spacing w:after="0"/>
            </w:pPr>
            <w:r>
              <w:rPr>
                <w:rFonts w:ascii="Times New Roman" w:cs="Times New Roman" w:eastAsia="Times New Roman" w:hAnsi="Times New Roman"/>
                <w:color w:val="1F2937"/>
                <w:sz w:val="18"/>
                <w:szCs w:val="18"/>
              </w:rPr>
              <w:t xml:space="preserve">Mort</w:t>
            </w:r>
          </w:p>
        </w:tc>
        <w:tc>
          <w:tcPr>
            <w:shd w:fill="EEF2F7" w:val="clear"/>
          </w:tcPr>
          <w:p>
            <w:pPr>
              <w:spacing w:after="0"/>
            </w:pPr>
            <w:r>
              <w:rPr>
                <w:rFonts w:ascii="Times New Roman" w:cs="Times New Roman" w:eastAsia="Times New Roman" w:hAnsi="Times New Roman"/>
                <w:color w:val="1F2937"/>
                <w:sz w:val="18"/>
                <w:szCs w:val="18"/>
              </w:rPr>
              <w:t xml:space="preserve">Naviguer l'après-mort en rigpa</w:t>
            </w:r>
          </w:p>
        </w:tc>
      </w:tr>
      <w:tr>
        <w:tc>
          <w:p>
            <w:pPr>
              <w:spacing w:after="0"/>
            </w:pPr>
            <w:r>
              <w:rPr>
                <w:rFonts w:ascii="Times New Roman" w:cs="Times New Roman" w:eastAsia="Times New Roman" w:hAnsi="Times New Roman"/>
                <w:color w:val="1F2937"/>
                <w:sz w:val="18"/>
                <w:szCs w:val="18"/>
              </w:rPr>
              <w:t xml:space="preserve">14</w:t>
            </w:r>
          </w:p>
        </w:tc>
        <w:tc>
          <w:p>
            <w:pPr>
              <w:spacing w:after="0"/>
            </w:pPr>
            <w:r>
              <w:rPr>
                <w:rFonts w:ascii="Times New Roman" w:cs="Times New Roman" w:eastAsia="Times New Roman" w:hAnsi="Times New Roman"/>
                <w:color w:val="1F2937"/>
                <w:sz w:val="18"/>
                <w:szCs w:val="18"/>
              </w:rPr>
              <w:t xml:space="preserve">Corps d'arc-en-ciel</w:t>
            </w:r>
          </w:p>
        </w:tc>
        <w:tc>
          <w:p>
            <w:pPr>
              <w:spacing w:after="0"/>
            </w:pPr>
            <w:r>
              <w:rPr>
                <w:rFonts w:ascii="Times New Roman" w:cs="Times New Roman" w:eastAsia="Times New Roman" w:hAnsi="Times New Roman"/>
                <w:color w:val="1F2937"/>
                <w:sz w:val="18"/>
                <w:szCs w:val="18"/>
              </w:rPr>
              <w:t xml:space="preserve">Fruit</w:t>
            </w:r>
          </w:p>
        </w:tc>
        <w:tc>
          <w:p>
            <w:pPr>
              <w:spacing w:after="0"/>
            </w:pPr>
            <w:r>
              <w:rPr>
                <w:rFonts w:ascii="Times New Roman" w:cs="Times New Roman" w:eastAsia="Times New Roman" w:hAnsi="Times New Roman"/>
                <w:color w:val="1F2937"/>
                <w:sz w:val="18"/>
                <w:szCs w:val="18"/>
              </w:rPr>
              <w:t xml:space="preserve">Sources textuelles &amp; récits</w:t>
            </w:r>
          </w:p>
        </w:tc>
      </w:tr>
      <w:tr>
        <w:tc>
          <w:tcPr>
            <w:shd w:fill="EEF2F7" w:val="clear"/>
          </w:tcPr>
          <w:p>
            <w:pPr>
              <w:spacing w:after="0"/>
            </w:pPr>
            <w:r>
              <w:rPr>
                <w:rFonts w:ascii="Times New Roman" w:cs="Times New Roman" w:eastAsia="Times New Roman" w:hAnsi="Times New Roman"/>
                <w:color w:val="1F2937"/>
                <w:sz w:val="18"/>
                <w:szCs w:val="18"/>
              </w:rPr>
              <w:t xml:space="preserve">15</w:t>
            </w:r>
          </w:p>
        </w:tc>
        <w:tc>
          <w:tcPr>
            <w:shd w:fill="EEF2F7" w:val="clear"/>
          </w:tcPr>
          <w:p>
            <w:pPr>
              <w:spacing w:after="0"/>
            </w:pPr>
            <w:r>
              <w:rPr>
                <w:rFonts w:ascii="Times New Roman" w:cs="Times New Roman" w:eastAsia="Times New Roman" w:hAnsi="Times New Roman"/>
                <w:color w:val="1F2937"/>
                <w:sz w:val="18"/>
                <w:szCs w:val="18"/>
              </w:rPr>
              <w:t xml:space="preserve">Longchenpa</w:t>
            </w:r>
          </w:p>
        </w:tc>
        <w:tc>
          <w:tcPr>
            <w:shd w:fill="EEF2F7" w:val="clear"/>
          </w:tcPr>
          <w:p>
            <w:pPr>
              <w:spacing w:after="0"/>
            </w:pPr>
            <w:r>
              <w:rPr>
                <w:rFonts w:ascii="Times New Roman" w:cs="Times New Roman" w:eastAsia="Times New Roman" w:hAnsi="Times New Roman"/>
                <w:color w:val="1F2937"/>
                <w:sz w:val="18"/>
                <w:szCs w:val="18"/>
              </w:rPr>
              <w:t xml:space="preserve">Lignée</w:t>
            </w:r>
          </w:p>
        </w:tc>
        <w:tc>
          <w:tcPr>
            <w:shd w:fill="EEF2F7" w:val="clear"/>
          </w:tcPr>
          <w:p>
            <w:pPr>
              <w:spacing w:after="0"/>
            </w:pPr>
            <w:r>
              <w:rPr>
                <w:rFonts w:ascii="Times New Roman" w:cs="Times New Roman" w:eastAsia="Times New Roman" w:hAnsi="Times New Roman"/>
                <w:color w:val="1F2937"/>
                <w:sz w:val="18"/>
                <w:szCs w:val="18"/>
              </w:rPr>
              <w:t xml:space="preserve">Les Sept Trésors</w:t>
            </w:r>
          </w:p>
        </w:tc>
      </w:tr>
      <w:tr>
        <w:tc>
          <w:p>
            <w:pPr>
              <w:spacing w:after="0"/>
            </w:pPr>
            <w:r>
              <w:rPr>
                <w:rFonts w:ascii="Times New Roman" w:cs="Times New Roman" w:eastAsia="Times New Roman" w:hAnsi="Times New Roman"/>
                <w:color w:val="1F2937"/>
                <w:sz w:val="18"/>
                <w:szCs w:val="18"/>
              </w:rPr>
              <w:t xml:space="preserve">16</w:t>
            </w:r>
          </w:p>
        </w:tc>
        <w:tc>
          <w:p>
            <w:pPr>
              <w:spacing w:after="0"/>
            </w:pPr>
            <w:r>
              <w:rPr>
                <w:rFonts w:ascii="Times New Roman" w:cs="Times New Roman" w:eastAsia="Times New Roman" w:hAnsi="Times New Roman"/>
                <w:color w:val="1F2937"/>
                <w:sz w:val="18"/>
                <w:szCs w:val="18"/>
              </w:rPr>
              <w:t xml:space="preserve">Jigme Lingpa</w:t>
            </w:r>
          </w:p>
        </w:tc>
        <w:tc>
          <w:p>
            <w:pPr>
              <w:spacing w:after="0"/>
            </w:pPr>
            <w:r>
              <w:rPr>
                <w:rFonts w:ascii="Times New Roman" w:cs="Times New Roman" w:eastAsia="Times New Roman" w:hAnsi="Times New Roman"/>
                <w:color w:val="1F2937"/>
                <w:sz w:val="18"/>
                <w:szCs w:val="18"/>
              </w:rPr>
              <w:t xml:space="preserve">Lignée</w:t>
            </w:r>
          </w:p>
        </w:tc>
        <w:tc>
          <w:p>
            <w:pPr>
              <w:spacing w:after="0"/>
            </w:pPr>
            <w:r>
              <w:rPr>
                <w:rFonts w:ascii="Times New Roman" w:cs="Times New Roman" w:eastAsia="Times New Roman" w:hAnsi="Times New Roman"/>
                <w:color w:val="1F2937"/>
                <w:sz w:val="18"/>
                <w:szCs w:val="18"/>
              </w:rPr>
              <w:t xml:space="preserve">Longchen Nyingtik &amp; termas</w:t>
            </w:r>
          </w:p>
        </w:tc>
      </w:tr>
      <w:tr>
        <w:tc>
          <w:tcPr>
            <w:shd w:fill="EEF2F7" w:val="clear"/>
          </w:tcPr>
          <w:p>
            <w:pPr>
              <w:spacing w:after="0"/>
            </w:pPr>
            <w:r>
              <w:rPr>
                <w:rFonts w:ascii="Times New Roman" w:cs="Times New Roman" w:eastAsia="Times New Roman" w:hAnsi="Times New Roman"/>
                <w:color w:val="1F2937"/>
                <w:sz w:val="18"/>
                <w:szCs w:val="18"/>
              </w:rPr>
              <w:t xml:space="preserve">17</w:t>
            </w:r>
          </w:p>
        </w:tc>
        <w:tc>
          <w:tcPr>
            <w:shd w:fill="EEF2F7" w:val="clear"/>
          </w:tcPr>
          <w:p>
            <w:pPr>
              <w:spacing w:after="0"/>
            </w:pPr>
            <w:r>
              <w:rPr>
                <w:rFonts w:ascii="Times New Roman" w:cs="Times New Roman" w:eastAsia="Times New Roman" w:hAnsi="Times New Roman"/>
                <w:color w:val="1F2937"/>
                <w:sz w:val="18"/>
                <w:szCs w:val="18"/>
              </w:rPr>
              <w:t xml:space="preserve">Dzogchen &amp; Mahamudra</w:t>
            </w:r>
          </w:p>
        </w:tc>
        <w:tc>
          <w:tcPr>
            <w:shd w:fill="EEF2F7" w:val="clear"/>
          </w:tcPr>
          <w:p>
            <w:pPr>
              <w:spacing w:after="0"/>
            </w:pPr>
            <w:r>
              <w:rPr>
                <w:rFonts w:ascii="Times New Roman" w:cs="Times New Roman" w:eastAsia="Times New Roman" w:hAnsi="Times New Roman"/>
                <w:color w:val="1F2937"/>
                <w:sz w:val="18"/>
                <w:szCs w:val="18"/>
              </w:rPr>
              <w:t xml:space="preserve">Comparaison</w:t>
            </w:r>
          </w:p>
        </w:tc>
        <w:tc>
          <w:tcPr>
            <w:shd w:fill="EEF2F7" w:val="clear"/>
          </w:tcPr>
          <w:p>
            <w:pPr>
              <w:spacing w:after="0"/>
            </w:pPr>
            <w:r>
              <w:rPr>
                <w:rFonts w:ascii="Times New Roman" w:cs="Times New Roman" w:eastAsia="Times New Roman" w:hAnsi="Times New Roman"/>
                <w:color w:val="1F2937"/>
                <w:sz w:val="18"/>
                <w:szCs w:val="18"/>
              </w:rPr>
              <w:t xml:space="preserve">Convergences et différences</w:t>
            </w:r>
          </w:p>
        </w:tc>
      </w:tr>
      <w:tr>
        <w:tc>
          <w:p>
            <w:pPr>
              <w:spacing w:after="0"/>
            </w:pPr>
            <w:r>
              <w:rPr>
                <w:rFonts w:ascii="Times New Roman" w:cs="Times New Roman" w:eastAsia="Times New Roman" w:hAnsi="Times New Roman"/>
                <w:color w:val="1F2937"/>
                <w:sz w:val="18"/>
                <w:szCs w:val="18"/>
              </w:rPr>
              <w:t xml:space="preserve">18</w:t>
            </w:r>
          </w:p>
        </w:tc>
        <w:tc>
          <w:p>
            <w:pPr>
              <w:spacing w:after="0"/>
            </w:pPr>
            <w:r>
              <w:rPr>
                <w:rFonts w:ascii="Times New Roman" w:cs="Times New Roman" w:eastAsia="Times New Roman" w:hAnsi="Times New Roman"/>
                <w:color w:val="1F2937"/>
                <w:sz w:val="18"/>
                <w:szCs w:val="18"/>
              </w:rPr>
              <w:t xml:space="preserve">Dzogchen &amp; Bön</w:t>
            </w:r>
          </w:p>
        </w:tc>
        <w:tc>
          <w:p>
            <w:pPr>
              <w:spacing w:after="0"/>
            </w:pPr>
            <w:r>
              <w:rPr>
                <w:rFonts w:ascii="Times New Roman" w:cs="Times New Roman" w:eastAsia="Times New Roman" w:hAnsi="Times New Roman"/>
                <w:color w:val="1F2937"/>
                <w:sz w:val="18"/>
                <w:szCs w:val="18"/>
              </w:rPr>
              <w:t xml:space="preserve">Comparaison</w:t>
            </w:r>
          </w:p>
        </w:tc>
        <w:tc>
          <w:p>
            <w:pPr>
              <w:spacing w:after="0"/>
            </w:pPr>
            <w:r>
              <w:rPr>
                <w:rFonts w:ascii="Times New Roman" w:cs="Times New Roman" w:eastAsia="Times New Roman" w:hAnsi="Times New Roman"/>
                <w:color w:val="1F2937"/>
                <w:sz w:val="18"/>
                <w:szCs w:val="18"/>
              </w:rPr>
              <w:t xml:space="preserve">Tradition Yungdrung Bön</w:t>
            </w:r>
          </w:p>
        </w:tc>
      </w:tr>
      <w:tr>
        <w:tc>
          <w:tcPr>
            <w:shd w:fill="EEF2F7" w:val="clear"/>
          </w:tcPr>
          <w:p>
            <w:pPr>
              <w:spacing w:after="0"/>
            </w:pPr>
            <w:r>
              <w:rPr>
                <w:rFonts w:ascii="Times New Roman" w:cs="Times New Roman" w:eastAsia="Times New Roman" w:hAnsi="Times New Roman"/>
                <w:color w:val="1F2937"/>
                <w:sz w:val="18"/>
                <w:szCs w:val="18"/>
              </w:rPr>
              <w:t xml:space="preserve">19</w:t>
            </w:r>
          </w:p>
        </w:tc>
        <w:tc>
          <w:tcPr>
            <w:shd w:fill="EEF2F7" w:val="clear"/>
          </w:tcPr>
          <w:p>
            <w:pPr>
              <w:spacing w:after="0"/>
            </w:pPr>
            <w:r>
              <w:rPr>
                <w:rFonts w:ascii="Times New Roman" w:cs="Times New Roman" w:eastAsia="Times New Roman" w:hAnsi="Times New Roman"/>
                <w:color w:val="1F2937"/>
                <w:sz w:val="18"/>
                <w:szCs w:val="18"/>
              </w:rPr>
              <w:t xml:space="preserve">Transmission en Occident</w:t>
            </w:r>
          </w:p>
        </w:tc>
        <w:tc>
          <w:tcPr>
            <w:shd w:fill="EEF2F7" w:val="clear"/>
          </w:tcPr>
          <w:p>
            <w:pPr>
              <w:spacing w:after="0"/>
            </w:pPr>
            <w:r>
              <w:rPr>
                <w:rFonts w:ascii="Times New Roman" w:cs="Times New Roman" w:eastAsia="Times New Roman" w:hAnsi="Times New Roman"/>
                <w:color w:val="1F2937"/>
                <w:sz w:val="18"/>
                <w:szCs w:val="18"/>
              </w:rPr>
              <w:t xml:space="preserve">Contexte contemporain</w:t>
            </w:r>
          </w:p>
        </w:tc>
        <w:tc>
          <w:tcPr>
            <w:shd w:fill="EEF2F7" w:val="clear"/>
          </w:tcPr>
          <w:p>
            <w:pPr>
              <w:spacing w:after="0"/>
            </w:pPr>
            <w:r>
              <w:rPr>
                <w:rFonts w:ascii="Times New Roman" w:cs="Times New Roman" w:eastAsia="Times New Roman" w:hAnsi="Times New Roman"/>
                <w:color w:val="1F2937"/>
                <w:sz w:val="18"/>
                <w:szCs w:val="18"/>
              </w:rPr>
              <w:t xml:space="preserve">Adaptations et écueils</w:t>
            </w:r>
          </w:p>
        </w:tc>
      </w:tr>
    </w:tbl>
    <w:p>
      <w:pPr>
        <w:spacing w:after="120"/>
      </w:pPr>
    </w:p>
    <w:p>
      <w:pPr>
        <w:spacing w:after="100"/>
      </w:pPr>
      <w:r>
        <w:rPr>
          <w:rFonts w:ascii="Times New Roman" w:cs="Times New Roman" w:eastAsia="Times New Roman" w:hAnsi="Times New Roman"/>
          <w:color w:val="1F2937"/>
          <w:sz w:val="22"/>
          <w:szCs w:val="22"/>
        </w:rPr>
        <w:t xml:space="preserve">Instructions :</w:t>
      </w:r>
    </w:p>
    <w:p>
      <w:pPr>
        <w:spacing w:after="8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Dessine une carte avec les dix-neuf leçons du tableau comme nœuds, et ajoute ce bilan comme vingtième.</w:t>
      </w:r>
    </w:p>
    <w:p>
      <w:pPr>
        <w:spacing w:after="8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Relie par un trait les leçons qui partagent un concept central (ex. : L1 ↔ L3 : rigpa et base ; L6 ↔ L11 : lâcher-prise ; L12 ↔ L13 : tögal et bardos).</w:t>
      </w:r>
    </w:p>
    <w:p>
      <w:pPr>
        <w:spacing w:after="8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Identifie les nœuds les plus connectés — ce sont les concepts structurants du parcours.</w:t>
      </w:r>
    </w:p>
    <w:p>
      <w:pPr>
        <w:spacing w:after="80"/>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Note une question qui reste ouverte pour toi sur chaque nœud le plus dense.</w:t>
      </w:r>
    </w:p>
    <w:p>
      <w:pPr>
        <w:spacing w:after="100"/>
      </w:pPr>
      <w:r>
        <w:rPr>
          <w:rFonts w:ascii="Times New Roman" w:cs="Times New Roman" w:eastAsia="Times New Roman" w:hAnsi="Times New Roman"/>
          <w:color w:val="1F2937"/>
          <w:sz w:val="22"/>
          <w:szCs w:val="22"/>
        </w:rPr>
        <w:t xml:space="preserve">Ce que cet exercice développe : la capacité à tenir une vue d'ensemble du chemin, et à voir comment chaque élément s'appuie sur les autres. Le dzogchen n'est pas une collection de techniques ; c'est un système cohérent.</w:t>
      </w:r>
    </w:p>
    <w:p>
      <w:pPr>
        <w:spacing w:after="160" w:before="160"/>
        <w:jc w:val="center"/>
      </w:pPr>
      <w:r>
        <w:rPr>
          <w:rFonts w:ascii="Times New Roman" w:cs="Times New Roman" w:eastAsia="Times New Roman" w:hAnsi="Times New Roman"/>
          <w:color w:val="AAAAAA"/>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2 — Auto-évaluation en trois dimensions</w:t>
      </w:r>
    </w:p>
    <w:p>
      <w:pPr>
        <w:spacing w:after="100"/>
      </w:pPr>
      <w:r>
        <w:rPr>
          <w:rFonts w:ascii="Times New Roman" w:cs="Times New Roman" w:eastAsia="Times New Roman" w:hAnsi="Times New Roman"/>
          <w:color w:val="1F2937"/>
          <w:sz w:val="22"/>
          <w:szCs w:val="22"/>
        </w:rPr>
        <w:t xml:space="preserve">Durée : 20 à 30 minutes. Format : texte libre dans un carnet.</w:t>
      </w:r>
    </w:p>
    <w:p>
      <w:pPr>
        <w:spacing w:after="100"/>
      </w:pPr>
      <w:r>
        <w:rPr>
          <w:rFonts w:ascii="Times New Roman" w:cs="Times New Roman" w:eastAsia="Times New Roman" w:hAnsi="Times New Roman"/>
          <w:color w:val="1F2937"/>
          <w:sz w:val="22"/>
          <w:szCs w:val="22"/>
        </w:rPr>
        <w:t xml:space="preserve">Réponds honnêtement à ces trois questions. Il n'y a pas de bonne réponse : c'est un état des lieux personnel, non un examen.</w:t>
      </w:r>
    </w:p>
    <w:p>
      <w:pPr>
        <w:spacing w:after="60" w:before="120"/>
      </w:pPr>
      <w:r>
        <w:rPr>
          <w:rFonts w:ascii="Times New Roman" w:cs="Times New Roman" w:eastAsia="Times New Roman" w:hAnsi="Times New Roman"/>
          <w:b/>
          <w:bCs/>
          <w:color w:val="1B3A6B"/>
          <w:sz w:val="22"/>
          <w:szCs w:val="22"/>
        </w:rPr>
        <w:t xml:space="preserve">Question A — Ce que je comprends maintenant</w:t>
      </w:r>
    </w:p>
    <w:p>
      <w:pPr>
        <w:spacing w:after="100"/>
      </w:pPr>
      <w:r>
        <w:rPr>
          <w:rFonts w:ascii="Times New Roman" w:cs="Times New Roman" w:eastAsia="Times New Roman" w:hAnsi="Times New Roman"/>
          <w:color w:val="1F2937"/>
          <w:sz w:val="22"/>
          <w:szCs w:val="22"/>
        </w:rPr>
        <w:t xml:space="preserve">Décris en trois à cinq phrases ce que le terme « rigpa » signifie pour toi aujourd'hui, comparé à ce qu'il évoquait avant de commencer ce parcours. Qu'est-ce qui a changé dans ta façon de comprendre la nature de l'esprit ?</w:t>
      </w:r>
    </w:p>
    <w:p>
      <w:pPr>
        <w:spacing w:after="60" w:before="120"/>
      </w:pPr>
      <w:r>
        <w:rPr>
          <w:rFonts w:ascii="Times New Roman" w:cs="Times New Roman" w:eastAsia="Times New Roman" w:hAnsi="Times New Roman"/>
          <w:b/>
          <w:bCs/>
          <w:color w:val="1B3A6B"/>
          <w:sz w:val="22"/>
          <w:szCs w:val="22"/>
        </w:rPr>
        <w:t xml:space="preserve">Question B — Ce que j'ai pratiqué</w:t>
      </w:r>
    </w:p>
    <w:p>
      <w:pPr>
        <w:spacing w:after="100"/>
      </w:pPr>
      <w:r>
        <w:rPr>
          <w:rFonts w:ascii="Times New Roman" w:cs="Times New Roman" w:eastAsia="Times New Roman" w:hAnsi="Times New Roman"/>
          <w:color w:val="1F2937"/>
          <w:sz w:val="22"/>
          <w:szCs w:val="22"/>
        </w:rPr>
        <w:t xml:space="preserve">Parmi les exercices proposés dans les dix-neuf leçons, lesquels as-tu réellement pratiqués, même brièvement ? Lequel t'a le plus marqué, et pourquoi ? Si tu n'en as pratiqué aucun, qu'est-ce qui a empêché le passage à la pratique effective ?</w:t>
      </w:r>
    </w:p>
    <w:p>
      <w:pPr>
        <w:spacing w:after="60" w:before="120"/>
      </w:pPr>
      <w:r>
        <w:rPr>
          <w:rFonts w:ascii="Times New Roman" w:cs="Times New Roman" w:eastAsia="Times New Roman" w:hAnsi="Times New Roman"/>
          <w:b/>
          <w:bCs/>
          <w:color w:val="1B3A6B"/>
          <w:sz w:val="22"/>
          <w:szCs w:val="22"/>
        </w:rPr>
        <w:t xml:space="preserve">Question C — Ce que je veux approfondir</w:t>
      </w:r>
    </w:p>
    <w:p>
      <w:pPr>
        <w:spacing w:after="100"/>
      </w:pPr>
      <w:r>
        <w:rPr>
          <w:rFonts w:ascii="Times New Roman" w:cs="Times New Roman" w:eastAsia="Times New Roman" w:hAnsi="Times New Roman"/>
          <w:color w:val="1F2937"/>
          <w:sz w:val="22"/>
          <w:szCs w:val="22"/>
        </w:rPr>
        <w:t xml:space="preserve">Identifie le thème ou la pratique qui t'appelle le plus pour la suite. Formule une intention concrète : « Au cours des trois prochains mois, je vais... ». Cette intention peut concerner la lecture, la méditation, la recherche d'un enseignant, ou autre chose.</w:t>
      </w:r>
    </w:p>
    <w:p>
      <w:pPr>
        <w:spacing w:after="160" w:before="160"/>
        <w:jc w:val="center"/>
      </w:pPr>
      <w:r>
        <w:rPr>
          <w:rFonts w:ascii="Times New Roman" w:cs="Times New Roman" w:eastAsia="Times New Roman" w:hAnsi="Times New Roman"/>
          <w:color w:val="AAAAAA"/>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3 — Méditation de synthèse : vingt minutes dans la vue</w:t>
      </w:r>
    </w:p>
    <w:p>
      <w:pPr>
        <w:spacing w:after="100"/>
      </w:pPr>
      <w:r>
        <w:rPr>
          <w:rFonts w:ascii="Times New Roman" w:cs="Times New Roman" w:eastAsia="Times New Roman" w:hAnsi="Times New Roman"/>
          <w:color w:val="1F2937"/>
          <w:sz w:val="22"/>
          <w:szCs w:val="22"/>
        </w:rPr>
        <w:t xml:space="preserve">Durée : 20 minutes. Lieu : un endroit calme où tu ne seras pas dérangé.</w:t>
      </w:r>
    </w:p>
    <w:p>
      <w:pPr>
        <w:spacing w:after="100"/>
      </w:pPr>
      <w:r>
        <w:rPr>
          <w:rFonts w:ascii="Times New Roman" w:cs="Times New Roman" w:eastAsia="Times New Roman" w:hAnsi="Times New Roman"/>
          <w:color w:val="1F2937"/>
          <w:sz w:val="22"/>
          <w:szCs w:val="22"/>
        </w:rPr>
        <w:t xml:space="preserve">Cette méditation ne demande aucune technique nouvelle. Elle demande de revisiter, dans la pratique, ce que les vingt leçons ont décrit.</w:t>
      </w:r>
    </w:p>
    <w:p>
      <w:pPr>
        <w:spacing w:after="8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Assieds-toi dans une posture stable. Laisse le regard naturellement ouvert (yeux mi-clos ou ouverts, sans fixer).</w:t>
      </w:r>
    </w:p>
    <w:p>
      <w:pPr>
        <w:spacing w:after="8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Pendant les cinq premières minutes : laisse les pensées venir et partir sans les suivre ni les repousser. Observe simplement qu'elles se lèvent et s'effondrent. C'est la reconnaissance de base de la leçon 1.</w:t>
      </w:r>
    </w:p>
    <w:p>
      <w:pPr>
        <w:spacing w:after="8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Pendant les dix minutes suivantes : dans chaque perception qui se présente — son, sensation corporelle, pensée — pose mentalement cette question sans y répondre : quelle est la nature de ce qui perçoit ? Ne cherche pas de réponse conceptuelle. Reste dans la question.</w:t>
      </w:r>
    </w:p>
    <w:p>
      <w:pPr>
        <w:spacing w:after="80"/>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Pendant les cinq dernières minutes : lâche aussi la question. Reste simplement présent, sans objet, sans effort. Si une pensée arrive, elle arrive. Si le silence est là, il est là. Rien à faire.</w:t>
      </w:r>
    </w:p>
    <w:p>
      <w:pPr>
        <w:spacing w:after="100"/>
      </w:pPr>
      <w:r>
        <w:rPr>
          <w:rFonts w:ascii="Times New Roman" w:cs="Times New Roman" w:eastAsia="Times New Roman" w:hAnsi="Times New Roman"/>
          <w:color w:val="1F2937"/>
          <w:sz w:val="22"/>
          <w:szCs w:val="22"/>
        </w:rPr>
        <w:t xml:space="preserve">Après la méditation, note brièvement ce que tu as observé : pas de jugement, pas d'évaluation. Juste une trace.</w:t>
      </w:r>
    </w:p>
    <w:p>
      <w:pPr>
        <w:spacing w:after="100"/>
      </w:pPr>
      <w:r>
        <w:rPr>
          <w:rFonts w:ascii="Times New Roman" w:cs="Times New Roman" w:eastAsia="Times New Roman" w:hAnsi="Times New Roman"/>
          <w:color w:val="1F2937"/>
          <w:sz w:val="22"/>
          <w:szCs w:val="22"/>
        </w:rPr>
        <w:t xml:space="preserve">Ce que cet exercice développe : l'articulation entre compréhension intellectuelle et reconnaissance directe — le pont que tout le parcours s'est efforcé de construire.</w:t>
      </w:r>
    </w:p>
    <w:p>
      <w:pPr>
        <w:spacing w:after="160" w:before="160"/>
        <w:jc w:val="center"/>
      </w:pPr>
      <w:r>
        <w:rPr>
          <w:rFonts w:ascii="Times New Roman" w:cs="Times New Roman" w:eastAsia="Times New Roman" w:hAnsi="Times New Roman"/>
          <w:color w:val="AAAAAA"/>
          <w:sz w:val="18"/>
          <w:szCs w:val="18"/>
        </w:rPr>
        <w:t xml:space="preserve">─────────────────────────────────────────────</w:t>
      </w:r>
    </w:p>
    <w:p>
      <w:pPr>
        <w:pStyle w:val="Heading2"/>
        <w:spacing w:after="100" w:before="280"/>
      </w:pPr>
      <w:r>
        <w:rPr>
          <w:rFonts w:ascii="Times New Roman" w:cs="Times New Roman" w:eastAsia="Times New Roman" w:hAnsi="Times New Roman"/>
          <w:b/>
          <w:bCs/>
          <w:color w:val="1B3A6B"/>
          <w:sz w:val="30"/>
          <w:szCs w:val="30"/>
        </w:rPr>
        <w:t xml:space="preserve">🎯 Challenge — Écrire sa propre déclaration de compréhension</w:t>
      </w:r>
    </w:p>
    <w:p>
      <w:pPr>
        <w:spacing w:after="100"/>
      </w:pPr>
      <w:r>
        <w:rPr>
          <w:rFonts w:ascii="Times New Roman" w:cs="Times New Roman" w:eastAsia="Times New Roman" w:hAnsi="Times New Roman"/>
          <w:color w:val="1F2937"/>
          <w:sz w:val="22"/>
          <w:szCs w:val="22"/>
        </w:rPr>
        <w:t xml:space="preserve">Durée : 45 à 60 minutes.</w:t>
      </w:r>
    </w:p>
    <w:p>
      <w:pPr>
        <w:spacing w:after="100"/>
      </w:pPr>
      <w:r>
        <w:rPr>
          <w:rFonts w:ascii="Times New Roman" w:cs="Times New Roman" w:eastAsia="Times New Roman" w:hAnsi="Times New Roman"/>
          <w:color w:val="1F2937"/>
          <w:sz w:val="22"/>
          <w:szCs w:val="22"/>
        </w:rPr>
        <w:t xml:space="preserve">Rédige un texte personnel de 300 à 500 mots intitulé : « Ce que j'ai compris du dzogchen ». Conditions :</w:t>
      </w:r>
    </w:p>
    <w:p>
      <w:pPr>
        <w:pStyle w:val="ListParagraph"/>
        <w:numPr>
          <w:ilvl w:val="0"/>
          <w:numId w:val="1"/>
        </w:numPr>
        <w:spacing w:after="60"/>
      </w:pPr>
      <w:r>
        <w:rPr>
          <w:rFonts w:ascii="Times New Roman" w:cs="Times New Roman" w:eastAsia="Times New Roman" w:hAnsi="Times New Roman"/>
          <w:color w:val="1F2937"/>
          <w:sz w:val="22"/>
          <w:szCs w:val="22"/>
        </w:rPr>
        <w:t xml:space="preserve">Écris à la première personne, sans notes. Ce que tu peux formuler de tête est ce que tu as réellement assimilé.</w:t>
      </w:r>
    </w:p>
    <w:p>
      <w:pPr>
        <w:pStyle w:val="ListParagraph"/>
        <w:numPr>
          <w:ilvl w:val="0"/>
          <w:numId w:val="1"/>
        </w:numPr>
        <w:spacing w:after="60"/>
      </w:pPr>
      <w:r>
        <w:rPr>
          <w:rFonts w:ascii="Times New Roman" w:cs="Times New Roman" w:eastAsia="Times New Roman" w:hAnsi="Times New Roman"/>
          <w:color w:val="1F2937"/>
          <w:sz w:val="22"/>
          <w:szCs w:val="22"/>
        </w:rPr>
        <w:t xml:space="preserve">Tu peux mentionner des concepts, des maîtres, des textes — mais uniquement ceux dont tu peux expliquer l'essentiel sans chercher.</w:t>
      </w:r>
    </w:p>
    <w:p>
      <w:pPr>
        <w:pStyle w:val="ListParagraph"/>
        <w:numPr>
          <w:ilvl w:val="0"/>
          <w:numId w:val="1"/>
        </w:numPr>
        <w:spacing w:after="60"/>
      </w:pPr>
      <w:r>
        <w:rPr>
          <w:rFonts w:ascii="Times New Roman" w:cs="Times New Roman" w:eastAsia="Times New Roman" w:hAnsi="Times New Roman"/>
          <w:color w:val="1F2937"/>
          <w:sz w:val="22"/>
          <w:szCs w:val="22"/>
        </w:rPr>
        <w:t xml:space="preserve">Dis honnêtement ce que tu ne comprends pas encore, ou ce qui reste obscur. Un bilan honnête vaut plus qu'un bilan lisse.</w:t>
      </w:r>
    </w:p>
    <w:p>
      <w:pPr>
        <w:pStyle w:val="ListParagraph"/>
        <w:numPr>
          <w:ilvl w:val="0"/>
          <w:numId w:val="1"/>
        </w:numPr>
        <w:spacing w:after="60"/>
      </w:pPr>
      <w:r>
        <w:rPr>
          <w:rFonts w:ascii="Times New Roman" w:cs="Times New Roman" w:eastAsia="Times New Roman" w:hAnsi="Times New Roman"/>
          <w:color w:val="1F2937"/>
          <w:sz w:val="22"/>
          <w:szCs w:val="22"/>
        </w:rPr>
        <w:t xml:space="preserve">Termine par une phrase sur ce que tu comptes faire maintenant : lire, pratiquer, chercher un enseignant, rien pour l'instant.</w:t>
      </w:r>
    </w:p>
    <w:p>
      <w:pPr>
        <w:spacing w:after="100"/>
      </w:pPr>
      <w:r>
        <w:rPr>
          <w:rFonts w:ascii="Times New Roman" w:cs="Times New Roman" w:eastAsia="Times New Roman" w:hAnsi="Times New Roman"/>
          <w:color w:val="1F2937"/>
          <w:sz w:val="22"/>
          <w:szCs w:val="22"/>
        </w:rPr>
        <w:t xml:space="preserve">Ce texte n'est pas pour un lecteur extérieur. C'est un miroir. Relis-le dans six mois : tu verras ce qui a changé.</w:t>
      </w:r>
    </w:p>
    <w:p>
      <w:pPr>
        <w:spacing w:after="160" w:before="160"/>
        <w:jc w:val="center"/>
      </w:pPr>
      <w:r>
        <w:rPr>
          <w:rFonts w:ascii="Times New Roman" w:cs="Times New Roman" w:eastAsia="Times New Roman" w:hAnsi="Times New Roman"/>
          <w:color w:val="AAAAAA"/>
          <w:sz w:val="18"/>
          <w:szCs w:val="18"/>
        </w:rPr>
        <w:t xml:space="preserve">─────────────────────────────────────────────</w:t>
      </w:r>
    </w:p>
    <w:p>
      <w:pPr>
        <w:pStyle w:val="Heading2"/>
        <w:spacing w:after="100" w:before="280"/>
      </w:pPr>
      <w:r>
        <w:rPr>
          <w:rFonts w:ascii="Times New Roman" w:cs="Times New Roman" w:eastAsia="Times New Roman" w:hAnsi="Times New Roman"/>
          <w:b/>
          <w:bCs/>
          <w:color w:val="1B3A6B"/>
          <w:sz w:val="30"/>
          <w:szCs w:val="30"/>
        </w:rPr>
        <w:t xml:space="preserve">🌉 Pont pro</w:t>
      </w:r>
    </w:p>
    <w:p>
      <w:pPr>
        <w:spacing w:after="100"/>
      </w:pPr>
      <w:r>
        <w:rPr>
          <w:rFonts w:ascii="Times New Roman" w:cs="Times New Roman" w:eastAsia="Times New Roman" w:hAnsi="Times New Roman"/>
          <w:color w:val="1F2937"/>
          <w:sz w:val="22"/>
          <w:szCs w:val="22"/>
        </w:rPr>
        <w:t xml:space="preserve">Un chef de service en ESSMS est régulièrement dans des situations où il ne peut pas « réparer » immédiatement ce qui se présente : une équipe en tension, une personne accompagnée en crise, une décision incertaine. La capacité à rester présent sans fuir ni figer — sans « centraliser dans soi » comme le formule Dilgo Khyentse Rinpoche — est une posture professionnelle, distincte de toute doctrine. Ce que ce parcours a pu développer, c'est cette disponibilité intérieure. Elle n'est pas un contenu à transmettre en équipe ni une justification institutionnelle : c'est une ressource personnelle, au même titre que l'expérience ou la formation.</w:t>
      </w:r>
    </w:p>
    <w:p>
      <w:pPr>
        <w:spacing w:after="160" w:before="160"/>
        <w:jc w:val="center"/>
      </w:pPr>
      <w:r>
        <w:rPr>
          <w:rFonts w:ascii="Times New Roman" w:cs="Times New Roman" w:eastAsia="Times New Roman" w:hAnsi="Times New Roman"/>
          <w:color w:val="AAAAAA"/>
          <w:sz w:val="18"/>
          <w:szCs w:val="18"/>
        </w:rPr>
        <w:t xml:space="preserve">─────────────────────────────────────────────</w:t>
      </w:r>
    </w:p>
    <w:p>
      <w:pPr>
        <w:pStyle w:val="Heading2"/>
        <w:spacing w:after="100" w:before="280"/>
      </w:pPr>
      <w:r>
        <w:rPr>
          <w:rFonts w:ascii="Times New Roman" w:cs="Times New Roman" w:eastAsia="Times New Roman" w:hAnsi="Times New Roman"/>
          <w:b/>
          <w:bCs/>
          <w:color w:val="1B3A6B"/>
          <w:sz w:val="30"/>
          <w:szCs w:val="30"/>
        </w:rPr>
        <w:t xml:space="preserve">📚 Ressources</w:t>
      </w:r>
    </w:p>
    <w:p>
      <w:pPr>
        <w:spacing w:after="100"/>
      </w:pPr>
      <w:r>
        <w:rPr>
          <w:rFonts w:ascii="Times New Roman" w:cs="Times New Roman" w:eastAsia="Times New Roman" w:hAnsi="Times New Roman"/>
          <w:color w:val="1F2937"/>
          <w:sz w:val="22"/>
          <w:szCs w:val="22"/>
        </w:rPr>
        <w:t xml:space="preserve">Pour aller plus loin après ce parcours :</w:t>
      </w:r>
    </w:p>
    <w:p>
      <w:pPr>
        <w:spacing w:after="80"/>
      </w:pPr>
      <w:r>
        <w:rPr>
          <w:rFonts w:ascii="Times New Roman" w:cs="Times New Roman" w:eastAsia="Times New Roman" w:hAnsi="Times New Roman"/>
          <w:color w:val="1F2937"/>
          <w:sz w:val="22"/>
          <w:szCs w:val="22"/>
        </w:rPr>
        <w:t xml:space="preserve">• </w:t>
      </w:r>
      <w:hyperlink w:history="1" r:id="rIdigljlguir7dty9j1cwee-">
        <w:r>
          <w:rPr>
            <w:rFonts w:ascii="Times New Roman" w:cs="Times New Roman" w:eastAsia="Times New Roman" w:hAnsi="Times New Roman"/>
            <w:color w:val="1155CC"/>
            <w:sz w:val="22"/>
            <w:szCs w:val="22"/>
            <w:u w:val="single"/>
          </w:rPr>
          <w:t xml:space="preserve">Dzogchen — Vue d'ensemble (Wikipedia)</w:t>
        </w:r>
      </w:hyperlink>
    </w:p>
    <w:p>
      <w:pPr>
        <w:spacing w:after="80"/>
      </w:pPr>
      <w:r>
        <w:rPr>
          <w:rFonts w:ascii="Times New Roman" w:cs="Times New Roman" w:eastAsia="Times New Roman" w:hAnsi="Times New Roman"/>
          <w:color w:val="1F2937"/>
          <w:sz w:val="22"/>
          <w:szCs w:val="22"/>
        </w:rPr>
        <w:t xml:space="preserve">• </w:t>
      </w:r>
      <w:hyperlink w:history="1" r:id="rIdvdzkp5_qriwsawyobzsnz">
        <w:r>
          <w:rPr>
            <w:rFonts w:ascii="Times New Roman" w:cs="Times New Roman" w:eastAsia="Times New Roman" w:hAnsi="Times New Roman"/>
            <w:color w:val="1155CC"/>
            <w:sz w:val="22"/>
            <w:szCs w:val="22"/>
            <w:u w:val="single"/>
          </w:rPr>
          <w:t xml:space="preserve">Pointing-out instruction — La transmission directe (Wikipedia)</w:t>
        </w:r>
      </w:hyperlink>
    </w:p>
    <w:p>
      <w:pPr>
        <w:spacing w:after="80"/>
      </w:pPr>
      <w:r>
        <w:rPr>
          <w:rFonts w:ascii="Times New Roman" w:cs="Times New Roman" w:eastAsia="Times New Roman" w:hAnsi="Times New Roman"/>
          <w:color w:val="1F2937"/>
          <w:sz w:val="22"/>
          <w:szCs w:val="22"/>
        </w:rPr>
        <w:t xml:space="preserve">• </w:t>
      </w:r>
      <w:hyperlink w:history="1" r:id="rIdx3nok_z5x7ph-4lyckm6u">
        <w:r>
          <w:rPr>
            <w:rFonts w:ascii="Times New Roman" w:cs="Times New Roman" w:eastAsia="Times New Roman" w:hAnsi="Times New Roman"/>
            <w:color w:val="1155CC"/>
            <w:sz w:val="22"/>
            <w:szCs w:val="22"/>
            <w:u w:val="single"/>
          </w:rPr>
          <w:t xml:space="preserve">Série Dzogchen complète — Lotsawa House (textes traduits, accès libre)</w:t>
        </w:r>
      </w:hyperlink>
    </w:p>
    <w:p>
      <w:pPr>
        <w:spacing w:after="80"/>
      </w:pPr>
      <w:r>
        <w:rPr>
          <w:rFonts w:ascii="Times New Roman" w:cs="Times New Roman" w:eastAsia="Times New Roman" w:hAnsi="Times New Roman"/>
          <w:color w:val="1F2937"/>
          <w:sz w:val="22"/>
          <w:szCs w:val="22"/>
        </w:rPr>
        <w:t xml:space="preserve">• </w:t>
      </w:r>
      <w:hyperlink w:history="1" r:id="rIddvvyiw4iscno2gh4gwl0h">
        <w:r>
          <w:rPr>
            <w:rFonts w:ascii="Times New Roman" w:cs="Times New Roman" w:eastAsia="Times New Roman" w:hAnsi="Times New Roman"/>
            <w:color w:val="1155CC"/>
            <w:sz w:val="22"/>
            <w:szCs w:val="22"/>
            <w:u w:val="single"/>
          </w:rPr>
          <w:t xml:space="preserve">Yukhok Chatralwa — How to Practice the Dzogchen Path (Lotsawa House)</w:t>
        </w:r>
      </w:hyperlink>
    </w:p>
    <w:p>
      <w:pPr>
        <w:spacing w:after="80"/>
      </w:pPr>
      <w:r>
        <w:rPr>
          <w:rFonts w:ascii="Times New Roman" w:cs="Times New Roman" w:eastAsia="Times New Roman" w:hAnsi="Times New Roman"/>
          <w:color w:val="1F2937"/>
          <w:sz w:val="22"/>
          <w:szCs w:val="22"/>
        </w:rPr>
        <w:t xml:space="preserve">• </w:t>
      </w:r>
      <w:hyperlink w:history="1" r:id="rIdjpb5vmw_kmoeiubumttbn">
        <w:r>
          <w:rPr>
            <w:rFonts w:ascii="Times New Roman" w:cs="Times New Roman" w:eastAsia="Times New Roman" w:hAnsi="Times New Roman"/>
            <w:color w:val="1155CC"/>
            <w:sz w:val="22"/>
            <w:szCs w:val="22"/>
            <w:u w:val="single"/>
          </w:rPr>
          <w:t xml:space="preserve">Dilgo Khyentse Rinpoche — Dzogchen Practice in Everyday Life (Peter Russell)</w:t>
        </w:r>
      </w:hyperlink>
    </w:p>
    <w:p>
      <w:pPr>
        <w:spacing w:after="160" w:before="160"/>
        <w:jc w:val="center"/>
      </w:pPr>
      <w:r>
        <w:rPr>
          <w:rFonts w:ascii="Times New Roman" w:cs="Times New Roman" w:eastAsia="Times New Roman" w:hAnsi="Times New Roman"/>
          <w:color w:val="AAAAAA"/>
          <w:sz w:val="18"/>
          <w:szCs w:val="18"/>
        </w:rPr>
        <w:t xml:space="preserve">─────────────────────────────────────────────</w:t>
      </w:r>
    </w:p>
    <w:p>
      <w:pPr>
        <w:pStyle w:val="Heading2"/>
        <w:spacing w:after="100" w:before="280"/>
      </w:pPr>
      <w:r>
        <w:rPr>
          <w:rFonts w:ascii="Times New Roman" w:cs="Times New Roman" w:eastAsia="Times New Roman" w:hAnsi="Times New Roman"/>
          <w:b/>
          <w:bCs/>
          <w:color w:val="1B3A6B"/>
          <w:sz w:val="30"/>
          <w:szCs w:val="30"/>
        </w:rPr>
        <w:t xml:space="preserve">✅ Fin du parcours</w:t>
      </w:r>
    </w:p>
    <w:p>
      <w:pPr>
        <w:spacing w:after="100"/>
      </w:pPr>
      <w:r>
        <w:rPr>
          <w:rFonts w:ascii="Times New Roman" w:cs="Times New Roman" w:eastAsia="Times New Roman" w:hAnsi="Times New Roman"/>
          <w:b/>
          <w:bCs/>
          <w:color w:val="1B3A6B"/>
          <w:sz w:val="22"/>
          <w:szCs w:val="22"/>
        </w:rPr>
        <w:t xml:space="preserve">Ce parcours est achevé.</w:t>
      </w:r>
    </w:p>
    <w:p>
      <w:pPr>
        <w:spacing w:after="100"/>
      </w:pPr>
      <w:r>
        <w:rPr>
          <w:rFonts w:ascii="Times New Roman" w:cs="Times New Roman" w:eastAsia="Times New Roman" w:hAnsi="Times New Roman"/>
          <w:color w:val="1F2937"/>
          <w:sz w:val="22"/>
          <w:szCs w:val="22"/>
        </w:rPr>
        <w:t xml:space="preserve">Vingt leçons ont couvert le dzogchen depuis ses fondements (rigpa, base, Garab Dorje) jusqu'à sa transmission contemporaine, en passant par ses méthodes (trekchö, tögal, rushen), ses lignées (Longchenpa, Jigme Lingpa) et ses dialogues avec d'autres traditions (mahamudra, bön).</w:t>
      </w:r>
    </w:p>
    <w:p>
      <w:pPr>
        <w:spacing w:after="100"/>
      </w:pPr>
      <w:r>
        <w:rPr>
          <w:rFonts w:ascii="Times New Roman" w:cs="Times New Roman" w:eastAsia="Times New Roman" w:hAnsi="Times New Roman"/>
          <w:color w:val="1F2937"/>
          <w:sz w:val="22"/>
          <w:szCs w:val="22"/>
        </w:rPr>
        <w:t xml:space="preserve">Ce qui reste devant toi est de l'ordre de la pratique et de la transmission vivante. Les pistes les plus solides pour continuer :</w:t>
      </w:r>
    </w:p>
    <w:p>
      <w:pPr>
        <w:pStyle w:val="ListParagraph"/>
        <w:numPr>
          <w:ilvl w:val="0"/>
          <w:numId w:val="1"/>
        </w:numPr>
        <w:spacing w:after="60"/>
      </w:pPr>
      <w:r>
        <w:rPr>
          <w:rFonts w:ascii="Times New Roman" w:cs="Times New Roman" w:eastAsia="Times New Roman" w:hAnsi="Times New Roman"/>
          <w:color w:val="1F2937"/>
          <w:sz w:val="22"/>
          <w:szCs w:val="22"/>
        </w:rPr>
        <w:t xml:space="preserve">Approfondir une lignée : le Longchen Nyingtik reste la source la plus accessible dans la tradition Nyingma contemporaine.</w:t>
      </w:r>
    </w:p>
    <w:p>
      <w:pPr>
        <w:pStyle w:val="ListParagraph"/>
        <w:numPr>
          <w:ilvl w:val="0"/>
          <w:numId w:val="1"/>
        </w:numPr>
        <w:spacing w:after="60"/>
      </w:pPr>
      <w:r>
        <w:rPr>
          <w:rFonts w:ascii="Times New Roman" w:cs="Times New Roman" w:eastAsia="Times New Roman" w:hAnsi="Times New Roman"/>
          <w:color w:val="1F2937"/>
          <w:sz w:val="22"/>
          <w:szCs w:val="22"/>
        </w:rPr>
        <w:t xml:space="preserve">Lire Longchenpa directement, dans les traductions disponibles chez Lotsawa House ou chez Shambhala Publications.</w:t>
      </w:r>
    </w:p>
    <w:p>
      <w:pPr>
        <w:pStyle w:val="ListParagraph"/>
        <w:numPr>
          <w:ilvl w:val="0"/>
          <w:numId w:val="1"/>
        </w:numPr>
        <w:spacing w:after="60"/>
      </w:pPr>
      <w:r>
        <w:rPr>
          <w:rFonts w:ascii="Times New Roman" w:cs="Times New Roman" w:eastAsia="Times New Roman" w:hAnsi="Times New Roman"/>
          <w:color w:val="1F2937"/>
          <w:sz w:val="22"/>
          <w:szCs w:val="22"/>
        </w:rPr>
        <w:t xml:space="preserve">Chercher un enseignant de la tradition et, si possible, recevoir la transmission directe (ngo sprod) dans un contexte authentique.</w:t>
      </w:r>
    </w:p>
    <w:p>
      <w:pPr>
        <w:pStyle w:val="ListParagraph"/>
        <w:numPr>
          <w:ilvl w:val="0"/>
          <w:numId w:val="1"/>
        </w:numPr>
        <w:spacing w:after="60"/>
      </w:pPr>
      <w:r>
        <w:rPr>
          <w:rFonts w:ascii="Times New Roman" w:cs="Times New Roman" w:eastAsia="Times New Roman" w:hAnsi="Times New Roman"/>
          <w:color w:val="1F2937"/>
          <w:sz w:val="22"/>
          <w:szCs w:val="22"/>
        </w:rPr>
        <w:t xml:space="preserve">Revenir régulièrement à la pratique de l'exercice 3 de cette leçon : vingt minutes dans la vue, sans technique supplémentaire.</w:t>
      </w:r>
    </w:p>
    <w:p>
      <w:pPr>
        <w:spacing w:after="80"/>
      </w:pPr>
    </w:p>
    <w:p>
      <w:pPr>
        <w:spacing w:after="200" w:before="160"/>
        <w:jc w:val="center"/>
      </w:pPr>
      <w:r>
        <w:rPr>
          <w:rFonts w:ascii="Times New Roman" w:cs="Times New Roman" w:eastAsia="Times New Roman" w:hAnsi="Times New Roman"/>
          <w:color w:val="888888"/>
          <w:sz w:val="22"/>
          <w:szCs w:val="22"/>
        </w:rPr>
        <w:t xml:space="preserve">— Fin du parcours Dzogchen — 20 leçons —</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Corrections apportées le 13/10/2026 après réouverture des cinq pages listées avec un agent de navigateur et relecture de la leçon 9 du parcours. Les libellés d'origine sont conservés ci-dessous.</w:t>
      </w:r>
    </w:p>
    <w:p>
      <w:pPr>
        <w:spacing w:after="80"/>
      </w:pPr>
      <w:r>
        <w:rPr>
          <w:rFonts w:ascii="Times New Roman" w:cs="Times New Roman" w:eastAsia="Times New Roman" w:hAnsi="Times New Roman"/>
          <w:color w:val="1F2937"/>
          <w:sz w:val="20"/>
          <w:szCs w:val="20"/>
        </w:rPr>
        <w:t xml:space="preserve">• § Ce que ce parcours n'a pas pu traiter — « ses cinq cent mille répétitions » : chiffre absent des cinq pages listées, et contredisant la leçon 9, qui compte 100 000 sur quatre pratiques, soit 400 000.</w:t>
      </w:r>
    </w:p>
    <w:p>
      <w:pPr>
        <w:spacing w:after="80"/>
      </w:pPr>
      <w:r>
        <w:rPr>
          <w:rFonts w:ascii="Times New Roman" w:cs="Times New Roman" w:eastAsia="Times New Roman" w:hAnsi="Times New Roman"/>
          <w:color w:val="1F2937"/>
          <w:sz w:val="20"/>
          <w:szCs w:val="20"/>
        </w:rPr>
        <w:t xml:space="preserve">• Exercice 1 — « vingt thèmes ont été résumés » et « les vingt leçons comme nœuds » : le tableau en porte dix-neuf, ce bilan s'étant omis lui-même.</w:t>
      </w:r>
    </w:p>
    <w:p>
      <w:pPr>
        <w:spacing w:after="80"/>
      </w:pPr>
      <w:r>
        <w:rPr>
          <w:rFonts w:ascii="Times New Roman" w:cs="Times New Roman" w:eastAsia="Times New Roman" w:hAnsi="Times New Roman"/>
          <w:color w:val="1F2937"/>
          <w:sz w:val="20"/>
          <w:szCs w:val="20"/>
        </w:rPr>
        <w:t xml:space="preserve">• Théorie § 2 — « La tradition dzogchen désigne cette transmission par le terme ngo sprod » : la page attribue le terme aux lignées Mahāmudrā ET Dzogchen, et sa forme développée au Mahāmudrā seul.</w:t>
      </w:r>
    </w:p>
    <w:p>
      <w:pPr>
        <w:spacing w:after="80"/>
      </w:pPr>
      <w:r>
        <w:rPr>
          <w:rFonts w:ascii="Times New Roman" w:cs="Times New Roman" w:eastAsia="Times New Roman" w:hAnsi="Times New Roman"/>
          <w:color w:val="1F2937"/>
          <w:sz w:val="20"/>
          <w:szCs w:val="20"/>
        </w:rPr>
        <w:t xml:space="preserve">• Théorie § 2 — « cette reconnaissance ne peut venir que de la rencontre directe » prêté à Yukhok Chatralwa : la page écrit « only after an introduction to emptiness » et laisse la question du maître ouverte.</w:t>
      </w:r>
    </w:p>
    <w:p>
      <w:pPr>
        <w:spacing w:after="80"/>
      </w:pPr>
      <w:r>
        <w:rPr>
          <w:rFonts w:ascii="Times New Roman" w:cs="Times New Roman" w:eastAsia="Times New Roman" w:hAnsi="Times New Roman"/>
          <w:color w:val="1F2937"/>
          <w:sz w:val="20"/>
          <w:szCs w:val="20"/>
        </w:rPr>
        <w:t xml:space="preserve">• Théorie § 3 — « Et il précise ailleurs dans le même texte » introduisait la première phrase du texte cité (caractère 2 035 contre 4 704).</w:t>
      </w:r>
    </w:p>
    <w:p>
      <w:pPr>
        <w:spacing w:after="80"/>
      </w:pPr>
      <w:r>
        <w:rPr>
          <w:rFonts w:ascii="Times New Roman" w:cs="Times New Roman" w:eastAsia="Times New Roman" w:hAnsi="Times New Roman"/>
          <w:color w:val="1F2937"/>
          <w:sz w:val="20"/>
          <w:szCs w:val="20"/>
        </w:rPr>
        <w:t xml:space="preserve">• 📌 Pour mémoire : les trois citations anglaises du document sont littérales et appariées, le titre et l'auteur sont ceux que la page donne, et les 33 renvois « LN » plus les 19 lignes du tableau ont été recoupés avec les noms de fichiers du parcours — zéro renvoi faux.</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gljlguir7dty9j1cwee-" Type="http://schemas.openxmlformats.org/officeDocument/2006/relationships/hyperlink" Target="https://en.wikipedia.org/wiki/Dzogchen" TargetMode="External"/><Relationship Id="rIdvdzkp5_qriwsawyobzsnz" Type="http://schemas.openxmlformats.org/officeDocument/2006/relationships/hyperlink" Target="https://en.wikipedia.org/wiki/Pointing-out_instruction" TargetMode="External"/><Relationship Id="rIdx3nok_z5x7ph-4lyckm6u" Type="http://schemas.openxmlformats.org/officeDocument/2006/relationships/hyperlink" Target="https://www.lotsawahouse.org/topics/dzogchen/" TargetMode="External"/><Relationship Id="rIddvvyiw4iscno2gh4gwl0h" Type="http://schemas.openxmlformats.org/officeDocument/2006/relationships/hyperlink" Target="https://www.lotsawahouse.org/tibetan-masters/yukhok-chatralwa/how-to-practice-dzogchen" TargetMode="External"/><Relationship Id="rIdjpb5vmw_kmoeiubumttbn" Type="http://schemas.openxmlformats.org/officeDocument/2006/relationships/hyperlink" Target="https://www.peterrussell.com/Odds/Khyentse.ph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2026-10-13T06:09:29.624Z</dcterms:created>
  <dcterms:modified xsi:type="dcterms:W3CDTF">2026-10-13T06:09:29.625Z</dcterms:modified>
</cp:coreProperties>
</file>

<file path=docProps/custom.xml><?xml version="1.0" encoding="utf-8"?>
<Properties xmlns="http://schemas.openxmlformats.org/officeDocument/2006/custom-properties" xmlns:vt="http://schemas.openxmlformats.org/officeDocument/2006/docPropsVTypes"/>
</file>