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Times New Roman" w:cs="Times New Roman" w:eastAsia="Times New Roman" w:hAnsi="Times New Roman"/>
          <w:b/>
          <w:bCs/>
          <w:color w:val="1B3A6B"/>
          <w:sz w:val="52"/>
          <w:szCs w:val="52"/>
        </w:rPr>
        <w:t xml:space="preserve">Leçon Hypnose &amp; auto-hypnose n°18</w:t>
      </w:r>
    </w:p>
    <w:p>
      <w:pPr>
        <w:spacing w:after="200" w:before="200"/>
        <w:jc w:val="center"/>
      </w:pPr>
      <w:r>
        <w:rPr>
          <w:rFonts w:ascii="Times New Roman" w:cs="Times New Roman" w:eastAsia="Times New Roman" w:hAnsi="Times New Roman"/>
          <w:b/>
          <w:bCs/>
          <w:color w:val="1B3A6B"/>
          <w:sz w:val="52"/>
          <w:szCs w:val="52"/>
        </w:rPr>
        <w:t xml:space="preserve">Ce que les neurosciences établissent — et ce qu'elles n'établissent pas</w:t>
      </w:r>
    </w:p>
    <w:p>
      <w:pPr>
        <w:spacing w:after="40" w:before="60"/>
        <w:jc w:val="center"/>
      </w:pPr>
      <w:r>
        <w:rPr>
          <w:rFonts w:ascii="Times New Roman" w:cs="Times New Roman" w:eastAsia="Times New Roman" w:hAnsi="Times New Roman"/>
          <w:color w:val="1F2937"/>
          <w:sz w:val="22"/>
          <w:szCs w:val="22"/>
        </w:rPr>
        <w:t xml:space="preserve">Date : 13 octobre 2026</w:t>
      </w:r>
    </w:p>
    <w:p>
      <w:pPr>
        <w:spacing w:after="200" w:before="40"/>
        <w:jc w:val="center"/>
      </w:pPr>
      <w:r>
        <w:rPr>
          <w:rFonts w:ascii="Times New Roman" w:cs="Times New Roman" w:eastAsia="Times New Roman" w:hAnsi="Times New Roman"/>
          <w:b/>
          <w:bCs/>
          <w:color w:val="1B3A6B"/>
          <w:sz w:val="22"/>
          <w:szCs w:val="22"/>
        </w:rPr>
        <w:t xml:space="preserve">Leçon 18 / 20</w:t>
      </w:r>
    </w:p>
    <w:p>
      <w:pPr>
        <w:spacing w:after="120" w:before="300"/>
      </w:pPr>
      <w:r>
        <w:rPr>
          <w:rFonts w:ascii="Times New Roman" w:cs="Times New Roman" w:eastAsia="Times New Roman" w:hAnsi="Times New Roman"/>
          <w:b/>
          <w:bCs/>
          <w:color w:val="1B3A6B"/>
          <w:sz w:val="30"/>
          <w:szCs w:val="30"/>
        </w:rPr>
        <w:t xml:space="preserve">🎯 Objectif &amp; continuité</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À l'issue de cette leçon, tu sauras distinguer ce que les neurosciences ont réellement mesuré à propos de l'hypnose de ce qu'elles laissent encore ouvert ou débattu. Tu pourras ainsi ancrer ta pratique d'auto-hypnose sur une lecture lucide de la littérature scientifique, sans illusions excessives ni scepticisme injustifié.</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Continuité : la leçon 17 t'a alerté sur les contre-indications et les publics à risque. Cette leçon 18 prolonge cette rigueur en t'offrant la carte du territoire neuroscientifique — une ressource essentielle pour évaluer avec discernement les affirmations que tu rencontreras sur l'hypnose.</w:t>
      </w:r>
    </w:p>
    <w:p>
      <w:pPr>
        <w:pBdr>
          <w:bottom w:val="single" w:color="CCCCCC" w:sz="4"/>
        </w:pBdr>
        <w:spacing w:after="160" w:before="160"/>
      </w:pPr>
      <w:r>
        <w:t xml:space="preserve"/>
      </w:r>
    </w:p>
    <w:p>
      <w:pPr>
        <w:spacing w:after="120" w:before="300"/>
      </w:pPr>
      <w:r>
        <w:rPr>
          <w:rFonts w:ascii="Times New Roman" w:cs="Times New Roman" w:eastAsia="Times New Roman" w:hAnsi="Times New Roman"/>
          <w:b/>
          <w:bCs/>
          <w:color w:val="1B3A6B"/>
          <w:sz w:val="30"/>
          <w:szCs w:val="30"/>
        </w:rPr>
        <w:t xml:space="preserve">⚠️ Cadre &amp; sécurité</w:t>
      </w:r>
    </w:p>
    <w:p>
      <w:pPr>
        <w:pBdr>
          <w:top w:val="single" w:color="1B3A6B" w:sz="4"/>
          <w:left w:val="single" w:color="1B3A6B" w:sz="6"/>
          <w:bottom w:val="single" w:color="1B3A6B" w:sz="4"/>
          <w:right w:val="single" w:color="1B3A6B" w:sz="4"/>
        </w:pBdr>
        <w:shd w:fill="F3F4F6" w:val="clear"/>
        <w:spacing w:after="120" w:before="120"/>
        <w:ind w:left="288" w:right="288"/>
      </w:pPr>
      <w:r>
        <w:rPr>
          <w:rFonts w:ascii="Times New Roman" w:cs="Times New Roman" w:eastAsia="Times New Roman" w:hAnsi="Times New Roman"/>
          <w:color w:val="1F2937"/>
          <w:sz w:val="22"/>
          <w:szCs w:val="22"/>
        </w:rPr>
        <w:t xml:space="preserve">Ces leçons visent ton développement personnel par l'auto-hypnose — pas une formation thérapeutique.</w:t>
      </w:r>
      <w:r>
        <w:br/>
      </w:r>
      <w:r>
        <w:rPr>
          <w:rFonts w:ascii="Times New Roman" w:cs="Times New Roman" w:eastAsia="Times New Roman" w:hAnsi="Times New Roman"/>
          <w:color w:val="1F2937"/>
          <w:sz w:val="22"/>
          <w:szCs w:val="22"/>
        </w:rPr>
        <w:t xml:space="preserve">La compréhension des mécanismes neuroscientifiques ne confère aucune qualification pour pratiquer</w:t>
      </w:r>
      <w:r>
        <w:br/>
      </w:r>
      <w:r>
        <w:rPr>
          <w:rFonts w:ascii="Times New Roman" w:cs="Times New Roman" w:eastAsia="Times New Roman" w:hAnsi="Times New Roman"/>
          <w:color w:val="1F2937"/>
          <w:sz w:val="22"/>
          <w:szCs w:val="22"/>
        </w:rPr>
        <w:t xml:space="preserve">l'hypnose sur autrui, en particulier sur des personnes vulnérables ou en situation de handicap.</w:t>
      </w:r>
      <w:r>
        <w:br/>
      </w:r>
      <w:r>
        <w:rPr>
          <w:rFonts w:ascii="Times New Roman" w:cs="Times New Roman" w:eastAsia="Times New Roman" w:hAnsi="Times New Roman"/>
          <w:color w:val="1F2937"/>
          <w:sz w:val="22"/>
          <w:szCs w:val="22"/>
        </w:rPr>
        <w:t xml:space="preserve">Contre-indication spécifique à ce thème : les techniques d'imagerie cérébrale évoquées sont des outils</w:t>
      </w:r>
      <w:r>
        <w:br/>
      </w:r>
      <w:r>
        <w:rPr>
          <w:rFonts w:ascii="Times New Roman" w:cs="Times New Roman" w:eastAsia="Times New Roman" w:hAnsi="Times New Roman"/>
          <w:color w:val="1F2937"/>
          <w:sz w:val="22"/>
          <w:szCs w:val="22"/>
        </w:rPr>
        <w:t xml:space="preserve">de recherche — elles n'ont pas de lien avec la pratique de l'hypnose en séance individuelle.</w:t>
      </w:r>
    </w:p>
    <w:p>
      <w:pPr>
        <w:pBdr>
          <w:bottom w:val="single" w:color="CCCCCC" w:sz="4"/>
        </w:pBdr>
        <w:spacing w:after="160" w:before="160"/>
      </w:pPr>
      <w:r>
        <w:t xml:space="preserve"/>
      </w:r>
    </w:p>
    <w:p>
      <w:pPr>
        <w:spacing w:after="120" w:before="300"/>
      </w:pPr>
      <w:r>
        <w:rPr>
          <w:rFonts w:ascii="Times New Roman" w:cs="Times New Roman" w:eastAsia="Times New Roman" w:hAnsi="Times New Roman"/>
          <w:b/>
          <w:bCs/>
          <w:color w:val="1B3A6B"/>
          <w:sz w:val="30"/>
          <w:szCs w:val="30"/>
        </w:rPr>
        <w:t xml:space="preserve">🔬 Théorie (20 %) — Cartographier ce que l'on sait et ce qu'on ignore</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Le rapport entre neurosciences et hypnose est un exemple particulièrement instructif de ce que signifie « être evidence-based » dans un domaine en plein développement. La recherche avance vite, mais les résultats restent souvent fragmentaires, difficiles à reproduire ou réservés à des populations spécifiques.</w:t>
      </w:r>
    </w:p>
    <w:p>
      <w:pPr>
        <w:spacing w:after="80" w:before="200"/>
      </w:pPr>
      <w:r>
        <w:rPr>
          <w:rFonts w:ascii="Times New Roman" w:cs="Times New Roman" w:eastAsia="Times New Roman" w:hAnsi="Times New Roman"/>
          <w:b/>
          <w:bCs/>
          <w:color w:val="1F2937"/>
          <w:sz w:val="26"/>
          <w:szCs w:val="26"/>
        </w:rPr>
        <w:t xml:space="preserve">1. Ce que les neurosciences établissent</w:t>
      </w:r>
    </w:p>
    <w:p>
      <w:pPr>
        <w:spacing w:after="80" w:before="80"/>
      </w:pPr>
      <w:r>
        <w:rPr>
          <w:rFonts w:ascii="Times New Roman" w:cs="Times New Roman" w:eastAsia="Times New Roman" w:hAnsi="Times New Roman"/>
          <w:b/>
          <w:bCs/>
          <w:color w:val="1F2937"/>
          <w:sz w:val="22"/>
          <w:szCs w:val="22"/>
        </w:rPr>
        <w:t xml:space="preserve">a) Des modifications cérébrales mesurables. </w:t>
      </w:r>
      <w:r>
        <w:rPr>
          <w:rFonts w:ascii="Times New Roman" w:cs="Times New Roman" w:eastAsia="Times New Roman" w:hAnsi="Times New Roman"/>
          <w:color w:val="1F2937"/>
          <w:sz w:val="22"/>
          <w:szCs w:val="22"/>
        </w:rPr>
        <w:t xml:space="preserve">L'imagerie fonctionnelle (IRMf) et l'électroencéphalographie (EEG) ont montré que l'état hypnotique produit des changements cérébraux qui dépassent le simple effet de la relaxation ou de la concentration ordinaire.</w:t>
      </w:r>
    </w:p>
    <w:p>
      <w:pPr>
        <w:pStyle w:val="ListParagraph"/>
        <w:numPr>
          <w:ilvl w:val="0"/>
          <w:numId w:val="1"/>
        </w:numPr>
        <w:spacing w:after="60" w:before="60"/>
        <w:ind w:left="431" w:hanging="215"/>
      </w:pPr>
      <w:r>
        <w:rPr>
          <w:rFonts w:ascii="Times New Roman" w:cs="Times New Roman" w:eastAsia="Times New Roman" w:hAnsi="Times New Roman"/>
          <w:color w:val="1F2937"/>
          <w:sz w:val="22"/>
          <w:szCs w:val="22"/>
        </w:rPr>
        <w:t xml:space="preserve">EEG : l'hypnose légère à modérée s'accompagne d'une activité alpha accrue, associée à un état de vigilance détendue. ⚠️ À ranger du côté débattu plutôt qu'établi : la page qui porte ce constat le marque elle-même « better source needed » et ajoute aussitôt « However, what these results indicate is unclear ». Les protocoles d'hypnose focalisée (centrés sur une tâche) génèrent une activité thêta, caractéristique de l'absorption mentale profonde.</w:t>
      </w:r>
      <w:r>
        <w:rPr>
          <w:rFonts w:ascii="Times New Roman" w:cs="Times New Roman" w:eastAsia="Times New Roman" w:hAnsi="Times New Roman"/>
          <w:i/>
          <w:iCs/>
          <w:color w:val="6B7280"/>
          <w:sz w:val="18"/>
          <w:szCs w:val="18"/>
        </w:rPr>
        <w:t xml:space="preserve">   [Corrigé le 13/10/2026 : ce constat était énoncé platement, dans la section « Ce que les neurosciences établissent ». La page, rouverte le 13/10/2026 (HTTP 200, 91 682 caractères utiles), porte sur cette phrase même la marque « [better source needed] » et la suit de « However, what these results indicate is unclear ». Une leçon qui trie l'établi du débattu avait rangé dans l'établi un énoncé que sa source signale comme mal étayé.]</w:t>
      </w:r>
    </w:p>
    <w:p>
      <w:pPr>
        <w:pStyle w:val="ListParagraph"/>
        <w:numPr>
          <w:ilvl w:val="0"/>
          <w:numId w:val="1"/>
        </w:numPr>
        <w:spacing w:after="60" w:before="60"/>
        <w:ind w:left="431" w:hanging="215"/>
      </w:pPr>
      <w:r>
        <w:rPr>
          <w:rFonts w:ascii="Times New Roman" w:cs="Times New Roman" w:eastAsia="Times New Roman" w:hAnsi="Times New Roman"/>
          <w:color w:val="1F2937"/>
          <w:sz w:val="22"/>
          <w:szCs w:val="22"/>
        </w:rPr>
        <w:t xml:space="preserve">IRMf : les personnes à haute hypnotisabilité présentent une activation plus forte du cortex cingulaire antérieur (impliqué dans l'attention, la régulation émotionnelle et la détection d'erreurs) et du cortex préfrontal gauche lors de tâches effectuées sous hypnose, comparées aux faibles répondeurs.</w:t>
      </w:r>
    </w:p>
    <w:p>
      <w:pPr>
        <w:pStyle w:val="ListParagraph"/>
        <w:numPr>
          <w:ilvl w:val="0"/>
          <w:numId w:val="1"/>
        </w:numPr>
        <w:spacing w:after="60" w:before="60"/>
        <w:ind w:left="431" w:hanging="215"/>
      </w:pPr>
      <w:r>
        <w:rPr>
          <w:rFonts w:ascii="Times New Roman" w:cs="Times New Roman" w:eastAsia="Times New Roman" w:hAnsi="Times New Roman"/>
          <w:color w:val="1F2937"/>
          <w:sz w:val="22"/>
          <w:szCs w:val="22"/>
        </w:rPr>
        <w:t xml:space="preserve">Hallucinations visuelles induites par suggestion : les suggestions d'hallucination de couleur activent les régions occipitales de traitement des couleurs — les mêmes régions recrutées lors de la perception visuelle réelle — en distinguant les hauts hypnotisables des faibles.</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Une étude récente menée sur 26 participants a utilisé la spectroscopie dans le proche infrarouge (fNIRS) pour évaluer la connectivité fonctionnelle dans le cortex préfrontal sous hypnose. Zhang et al. (2025, Frontiers in Psychology) rapportent des modifications de la connectivité au repos entre état éveillé ordinaire et état hypnotique, bien que ces résultats soient à confirmer sur des effectifs plus larges.</w:t>
      </w:r>
    </w:p>
    <w:p>
      <w:pPr>
        <w:spacing w:after="80" w:before="80"/>
      </w:pPr>
      <w:r>
        <w:rPr>
          <w:rFonts w:ascii="Times New Roman" w:cs="Times New Roman" w:eastAsia="Times New Roman" w:hAnsi="Times New Roman"/>
          <w:b/>
          <w:bCs/>
          <w:color w:val="1F2937"/>
          <w:sz w:val="22"/>
          <w:szCs w:val="22"/>
        </w:rPr>
        <w:t xml:space="preserve">b) L'hypnotisabilité a des corrélats cérébraux. </w:t>
      </w:r>
      <w:r>
        <w:rPr>
          <w:rFonts w:ascii="Times New Roman" w:cs="Times New Roman" w:eastAsia="Times New Roman" w:hAnsi="Times New Roman"/>
          <w:color w:val="1F2937"/>
          <w:sz w:val="22"/>
          <w:szCs w:val="22"/>
        </w:rPr>
        <w:t xml:space="preserve">L'hypnotisabilité n'est pas qu'une disposition psychologique : des différences neurologiques structurelles et fonctionnelles ont été identifiées entre les forts et les faibles répondeurs.</w:t>
      </w:r>
    </w:p>
    <w:p>
      <w:pPr>
        <w:pStyle w:val="ListParagraph"/>
        <w:numPr>
          <w:ilvl w:val="0"/>
          <w:numId w:val="1"/>
        </w:numPr>
        <w:spacing w:after="60" w:before="60"/>
        <w:ind w:left="431" w:hanging="215"/>
      </w:pPr>
      <w:r>
        <w:rPr>
          <w:rFonts w:ascii="Times New Roman" w:cs="Times New Roman" w:eastAsia="Times New Roman" w:hAnsi="Times New Roman"/>
          <w:color w:val="1F2937"/>
          <w:sz w:val="22"/>
          <w:szCs w:val="22"/>
        </w:rPr>
        <w:t xml:space="preserve">Des recherches indiquent une co-activation accrue entre la région du cortex préfrontal impliquée dans le contrôle exécutif et des zones impliquées dans la détection de la saillance, chez les personnes à haute hypnotisabilité — une connectivité qui permettrait à l'attention de se concentrer facilement et aux suggestions d'atteindre le niveau perceptif.</w:t>
      </w:r>
    </w:p>
    <w:p>
      <w:pPr>
        <w:pStyle w:val="ListParagraph"/>
        <w:numPr>
          <w:ilvl w:val="0"/>
          <w:numId w:val="1"/>
        </w:numPr>
        <w:spacing w:after="60" w:before="60"/>
        <w:ind w:left="431" w:hanging="215"/>
      </w:pPr>
      <w:r>
        <w:rPr>
          <w:rFonts w:ascii="Times New Roman" w:cs="Times New Roman" w:eastAsia="Times New Roman" w:hAnsi="Times New Roman"/>
          <w:color w:val="1F2937"/>
          <w:sz w:val="22"/>
          <w:szCs w:val="22"/>
        </w:rPr>
        <w:t xml:space="preserve">Chen et al. (2026, Psychoradiology) rapportent que les niveaux de suggestibilité — une composante clé de l'hypnotisabilité — s'associent à des patterns spécifiques de connectivité fonctionnelle neurale intrinsèque, dans les domaines de la mémoire de travail et du contrôle attentionnel — ce sont les deux domaines que l'étude nomme, et elle conclut que la suggestibilité module le contrôle attentionnel, la structure cérébrale et cette connectivité intrinsèque.</w:t>
      </w:r>
      <w:r>
        <w:rPr>
          <w:rFonts w:ascii="Times New Roman" w:cs="Times New Roman" w:eastAsia="Times New Roman" w:hAnsi="Times New Roman"/>
          <w:i/>
          <w:iCs/>
          <w:color w:val="6B7280"/>
          <w:sz w:val="18"/>
          <w:szCs w:val="18"/>
        </w:rPr>
        <w:t xml:space="preserve">   [Corrigé le 13/10/2026 : la version du 13/10/2026 écrivait « impliquant notamment la mémoire de travail et les processus décisionnels ». Le résumé de la notice (PMC13559191, API Europe PMC, relevé le 13/10/2026) nomme deux domaines, et le second n'est pas celui-là : « we examined the behavioral, structural, and functional neural correlates of suggestibility in the domains of working memory and attentional control », et sa conclusion répète « suggestibility modulates attentional control, brain structure, and intrinsic functional connectivity ». Le mot « decision » compte zéro occurrence dans le résumé. Le contrôle attentionnel est par ailleurs ce que tout le reste de la leçon articule.]</w:t>
      </w:r>
    </w:p>
    <w:p>
      <w:pPr>
        <w:spacing w:after="80" w:before="80"/>
      </w:pPr>
      <w:r>
        <w:rPr>
          <w:rFonts w:ascii="Times New Roman" w:cs="Times New Roman" w:eastAsia="Times New Roman" w:hAnsi="Times New Roman"/>
          <w:b/>
          <w:bCs/>
          <w:color w:val="1F2937"/>
          <w:sz w:val="22"/>
          <w:szCs w:val="22"/>
        </w:rPr>
        <w:t xml:space="preserve">c) La reconfiguration des grands réseaux cérébraux. </w:t>
      </w:r>
      <w:r>
        <w:rPr>
          <w:rFonts w:ascii="Times New Roman" w:cs="Times New Roman" w:eastAsia="Times New Roman" w:hAnsi="Times New Roman"/>
          <w:color w:val="1F2937"/>
          <w:sz w:val="22"/>
          <w:szCs w:val="22"/>
        </w:rPr>
        <w:t xml:space="preserve">L'hypnose n'est pas localisée dans une région cérébrale : elle implique la coordination de plusieurs réseaux à grande échelle.</w:t>
      </w:r>
    </w:p>
    <w:p>
      <w:pPr>
        <w:pStyle w:val="ListParagraph"/>
        <w:numPr>
          <w:ilvl w:val="0"/>
          <w:numId w:val="1"/>
        </w:numPr>
        <w:spacing w:after="60" w:before="60"/>
        <w:ind w:left="431" w:hanging="215"/>
      </w:pPr>
      <w:r>
        <w:rPr>
          <w:rFonts w:ascii="Times New Roman" w:cs="Times New Roman" w:eastAsia="Times New Roman" w:hAnsi="Times New Roman"/>
          <w:color w:val="1F2937"/>
          <w:sz w:val="22"/>
          <w:szCs w:val="22"/>
        </w:rPr>
        <w:t xml:space="preserve">Le réseau en mode par défaut (Default Mode Network, DMN), actif lors des pensées auto-référentielles et de la rumination, est modulé par l'induction hypnotique — ce qui peut expliquer la réduction du sentiment d'agentivité et la modification du traitement de soi.</w:t>
      </w:r>
    </w:p>
    <w:p>
      <w:pPr>
        <w:pStyle w:val="ListParagraph"/>
        <w:numPr>
          <w:ilvl w:val="0"/>
          <w:numId w:val="1"/>
        </w:numPr>
        <w:spacing w:after="60" w:before="60"/>
        <w:ind w:left="431" w:hanging="215"/>
      </w:pPr>
      <w:r>
        <w:rPr>
          <w:rFonts w:ascii="Times New Roman" w:cs="Times New Roman" w:eastAsia="Times New Roman" w:hAnsi="Times New Roman"/>
          <w:color w:val="1F2937"/>
          <w:sz w:val="22"/>
          <w:szCs w:val="22"/>
        </w:rPr>
        <w:t xml:space="preserve">Le réseau de contrôle exécutif (ECN) et le réseau de saillance (SaN) participent aussi à cette reconfiguration. Gallardo &amp; Chetri (2026, Behavioral Sciences) proposent, dans une revue intégrative, un modèle selon lequel l'induction hypnotique produirait une plasticité expérientielle accrue via la coordination de ces trois réseaux, facilitant la régulation émotionnelle et réduisant la fragmentation dissociative.</w:t>
      </w:r>
    </w:p>
    <w:p>
      <w:pPr>
        <w:spacing w:after="80" w:before="80"/>
      </w:pPr>
      <w:r>
        <w:rPr>
          <w:rFonts w:ascii="Times New Roman" w:cs="Times New Roman" w:eastAsia="Times New Roman" w:hAnsi="Times New Roman"/>
          <w:b/>
          <w:bCs/>
          <w:color w:val="1F2937"/>
          <w:sz w:val="22"/>
          <w:szCs w:val="22"/>
        </w:rPr>
        <w:t xml:space="preserve">d) L'hypoalgésie hypnotique est mesurable. </w:t>
      </w:r>
      <w:r>
        <w:rPr>
          <w:rFonts w:ascii="Times New Roman" w:cs="Times New Roman" w:eastAsia="Times New Roman" w:hAnsi="Times New Roman"/>
          <w:color w:val="1F2937"/>
          <w:sz w:val="22"/>
          <w:szCs w:val="22"/>
        </w:rPr>
        <w:t xml:space="preserve">L'un des effets hypnotiques les mieux documentés sur le plan neurophysiologique est la réduction de la douleur.</w:t>
      </w:r>
    </w:p>
    <w:p>
      <w:pPr>
        <w:pStyle w:val="ListParagraph"/>
        <w:numPr>
          <w:ilvl w:val="0"/>
          <w:numId w:val="1"/>
        </w:numPr>
        <w:spacing w:after="60" w:before="60"/>
        <w:ind w:left="431" w:hanging="215"/>
      </w:pPr>
      <w:r>
        <w:rPr>
          <w:rFonts w:ascii="Times New Roman" w:cs="Times New Roman" w:eastAsia="Times New Roman" w:hAnsi="Times New Roman"/>
          <w:color w:val="1F2937"/>
          <w:sz w:val="22"/>
          <w:szCs w:val="22"/>
        </w:rPr>
        <w:t xml:space="preserve">De Pascalis (2026, Brain Sciences) explore, dans une revue EEG, comment les suggestions hypnotiques d'analgésie s'accompagnent de changements coordonnés dans plusieurs bandes de fréquences : thêta (attention interne et maintien de la suggestion), alpha (inhibition sensorielle), bêta (soulagement de la douleur dans ses composantes cognitive et motrice) et gamma, dont la DIMINUTION signale une réduction de la signification des signaux de douleur. Ce travail propose d'interpréter ces résultats à travers les cadres du predictive coding et de l'inférence active.</w:t>
      </w:r>
      <w:r>
        <w:rPr>
          <w:rFonts w:ascii="Times New Roman" w:cs="Times New Roman" w:eastAsia="Times New Roman" w:hAnsi="Times New Roman"/>
          <w:i/>
          <w:iCs/>
          <w:color w:val="6B7280"/>
          <w:sz w:val="18"/>
          <w:szCs w:val="18"/>
        </w:rPr>
        <w:t xml:space="preserve">   [Corrigé le 13/10/2026 : la version du 13/10/2026 groupait « bêta et gamma (modulation cognitive et motrice de la douleur) » et attribuait la réduction de signification des signaux nociceptifs à des « prédictions top-down ». Le résumé de la notice (PMC13510804, API Europe PMC, relevé le 13/10/2026) découpe autrement : « Beta oscillations enhance pain relief in cognitive and motor functions, while decreased gamma activity indicates reduced significance of pain signals » — le rôle cognitivo-moteur est celui du bêta SEUL, le gamma porte la signification et en DIMINUTION. Et « top-down » n'est pas le vocabulaire du résumé, qui nomme « predictive coding and active inference frameworks ». Le thêta et l'alpha, eux, étaient rendus exactement.]</w:t>
      </w:r>
    </w:p>
    <w:p>
      <w:pPr>
        <w:spacing w:after="80" w:before="200"/>
      </w:pPr>
      <w:r>
        <w:rPr>
          <w:rFonts w:ascii="Times New Roman" w:cs="Times New Roman" w:eastAsia="Times New Roman" w:hAnsi="Times New Roman"/>
          <w:b/>
          <w:bCs/>
          <w:color w:val="1F2937"/>
          <w:sz w:val="26"/>
          <w:szCs w:val="26"/>
        </w:rPr>
        <w:t xml:space="preserve">2. Ce que les neurosciences n'établissent pas (encore)</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La liste suivante n'est pas une liste de lacunes conjoncturelles : ce sont des débats actifs et structurants du champ, qui justifient une posture de prudence intellectuelle.</w:t>
      </w:r>
    </w:p>
    <w:p>
      <w:pPr>
        <w:spacing w:after="60" w:before="60"/>
        <w:ind w:left="431" w:hanging="288"/>
      </w:pPr>
      <w:r>
        <w:rPr>
          <w:rFonts w:ascii="Times New Roman" w:cs="Times New Roman" w:eastAsia="Times New Roman" w:hAnsi="Times New Roman"/>
          <w:b/>
          <w:bCs/>
          <w:color w:val="1B3A6B"/>
          <w:sz w:val="22"/>
          <w:szCs w:val="22"/>
        </w:rPr>
        <w:t xml:space="preserve">1. </w:t>
      </w:r>
      <w:r>
        <w:rPr>
          <w:rFonts w:ascii="Times New Roman" w:cs="Times New Roman" w:eastAsia="Times New Roman" w:hAnsi="Times New Roman"/>
          <w:color w:val="1F2937"/>
          <w:sz w:val="22"/>
          <w:szCs w:val="22"/>
        </w:rPr>
        <w:t xml:space="preserve">L'hypnose n'est pas un état unitaire. Une revue de la littérature EEG concluait déjà en 2004 que les patterns cérébraux varient considérablement selon la tâche et la technique : il n'existe pas un seul profil EEG de « l'état hypnotique ». Cette hétérogénéité complique toute définition neurobiologique simple.</w:t>
      </w:r>
    </w:p>
    <w:p>
      <w:pPr>
        <w:spacing w:after="60" w:before="60"/>
        <w:ind w:left="431" w:hanging="288"/>
      </w:pPr>
      <w:r>
        <w:rPr>
          <w:rFonts w:ascii="Times New Roman" w:cs="Times New Roman" w:eastAsia="Times New Roman" w:hAnsi="Times New Roman"/>
          <w:b/>
          <w:bCs/>
          <w:color w:val="1B3A6B"/>
          <w:sz w:val="22"/>
          <w:szCs w:val="22"/>
        </w:rPr>
        <w:t xml:space="preserve">2. </w:t>
      </w:r>
      <w:r>
        <w:rPr>
          <w:rFonts w:ascii="Times New Roman" w:cs="Times New Roman" w:eastAsia="Times New Roman" w:hAnsi="Times New Roman"/>
          <w:color w:val="1F2937"/>
          <w:sz w:val="22"/>
          <w:szCs w:val="22"/>
        </w:rPr>
        <w:t xml:space="preserve">Imagination renforcée ou altération perceptive réelle ? Les modifications cérébrales observées en IRMf pourraient refléter une activation accrue des régions de l'imagination sans nécessairement indiquer une altération perceptive objective. L'interprétation reste ouverte : un sujet qui imagine intensément une couleur peut activer les mêmes régions qu'un sujet qui la perçoit — sans que les deux vécus soient équivalents.</w:t>
      </w:r>
    </w:p>
    <w:p>
      <w:pPr>
        <w:spacing w:after="60" w:before="60"/>
        <w:ind w:left="431" w:hanging="288"/>
      </w:pPr>
      <w:r>
        <w:rPr>
          <w:rFonts w:ascii="Times New Roman" w:cs="Times New Roman" w:eastAsia="Times New Roman" w:hAnsi="Times New Roman"/>
          <w:b/>
          <w:bCs/>
          <w:color w:val="1B3A6B"/>
          <w:sz w:val="22"/>
          <w:szCs w:val="22"/>
        </w:rPr>
        <w:t xml:space="preserve">3. </w:t>
      </w:r>
      <w:r>
        <w:rPr>
          <w:rFonts w:ascii="Times New Roman" w:cs="Times New Roman" w:eastAsia="Times New Roman" w:hAnsi="Times New Roman"/>
          <w:color w:val="1F2937"/>
          <w:sz w:val="22"/>
          <w:szCs w:val="22"/>
        </w:rPr>
        <w:t xml:space="preserve">Hypnose et faux souvenirs. Leo, Bruno &amp; Proietti (2025, Frontiers in Psychology) rappellent que l'hypnose peut faciliter la formation de faux souvenirs, notamment dans le cadre des techniques de régression hypnotique. Ce risque, bien documenté, constitue l'une des raisons pour lesquelles l'usage de l'hypnose dans le contexte judiciaire ou pour le rappel de souvenirs traumatiques est controversé et déconseillé sans encadrement spécialisé.</w:t>
      </w:r>
    </w:p>
    <w:p>
      <w:pPr>
        <w:spacing w:after="60" w:before="60"/>
        <w:ind w:left="431" w:hanging="288"/>
      </w:pPr>
      <w:r>
        <w:rPr>
          <w:rFonts w:ascii="Times New Roman" w:cs="Times New Roman" w:eastAsia="Times New Roman" w:hAnsi="Times New Roman"/>
          <w:b/>
          <w:bCs/>
          <w:color w:val="1B3A6B"/>
          <w:sz w:val="22"/>
          <w:szCs w:val="22"/>
        </w:rPr>
        <w:t xml:space="preserve">4. </w:t>
      </w:r>
      <w:r>
        <w:rPr>
          <w:rFonts w:ascii="Times New Roman" w:cs="Times New Roman" w:eastAsia="Times New Roman" w:hAnsi="Times New Roman"/>
          <w:color w:val="1F2937"/>
          <w:sz w:val="22"/>
          <w:szCs w:val="22"/>
        </w:rPr>
        <w:t xml:space="preserve">Pas de biomarqueur clinique prédictif. À ce jour, aucun marqueur neurobiologique fiable ne permet de prédire de façon individuelle si un patient bénéficiera d'une intervention hypnotique. L'hypnotisabilité mesurée par des échelles (SHSS, HGSHS) reste le meilleur prédicteur disponible, et il est imparfait.</w:t>
      </w:r>
    </w:p>
    <w:p>
      <w:pPr>
        <w:spacing w:after="60" w:before="60"/>
        <w:ind w:left="431" w:hanging="288"/>
      </w:pPr>
      <w:r>
        <w:rPr>
          <w:rFonts w:ascii="Times New Roman" w:cs="Times New Roman" w:eastAsia="Times New Roman" w:hAnsi="Times New Roman"/>
          <w:b/>
          <w:bCs/>
          <w:color w:val="1B3A6B"/>
          <w:sz w:val="22"/>
          <w:szCs w:val="22"/>
        </w:rPr>
        <w:t xml:space="preserve">5. </w:t>
      </w:r>
      <w:r>
        <w:rPr>
          <w:rFonts w:ascii="Times New Roman" w:cs="Times New Roman" w:eastAsia="Times New Roman" w:hAnsi="Times New Roman"/>
          <w:color w:val="1F2937"/>
          <w:sz w:val="22"/>
          <w:szCs w:val="22"/>
        </w:rPr>
        <w:t xml:space="preserve">Les mécanismes explicatifs restent en débat. Plusieurs cadres théoriques coexistent : théories de la dissociation néo-hilgardienne, modèles de l'absorption attentionnelle, théories socio-cognitives, et plus récemment le cadre du predictive coding. Aucun ne fait actuellement consensus dans la communauté neuroscientifique.</w:t>
      </w:r>
    </w:p>
    <w:p>
      <w:pPr>
        <w:spacing w:after="60" w:before="60"/>
        <w:ind w:left="431" w:hanging="288"/>
      </w:pPr>
      <w:r>
        <w:rPr>
          <w:rFonts w:ascii="Times New Roman" w:cs="Times New Roman" w:eastAsia="Times New Roman" w:hAnsi="Times New Roman"/>
          <w:b/>
          <w:bCs/>
          <w:color w:val="1B3A6B"/>
          <w:sz w:val="22"/>
          <w:szCs w:val="22"/>
        </w:rPr>
        <w:t xml:space="preserve">6. </w:t>
      </w:r>
      <w:r>
        <w:rPr>
          <w:rFonts w:ascii="Times New Roman" w:cs="Times New Roman" w:eastAsia="Times New Roman" w:hAnsi="Times New Roman"/>
          <w:color w:val="1F2937"/>
          <w:sz w:val="22"/>
          <w:szCs w:val="22"/>
        </w:rPr>
        <w:t xml:space="preserve">Hypnose et méditation : rien ne permet encore de les rapprocher. La page de Wikipedia écrit « It is, however, premature to claim that hypnosis and meditation are mediated by similar brain systems and neural mechanisms » — il serait donc prématuré de conclure que l'hypnose et la méditation sont médiées par les mêmes mécanismes cérébraux, ce qui ne permet pas pour autant d'affirmer qu'elles sont distinctes, même si certains corrélats (alpha, réduction de l'auto-référentialité) se ressemblent. Les populations et les protocoles étudiés diffèrent trop pour généraliser.</w:t>
      </w:r>
      <w:r>
        <w:rPr>
          <w:rFonts w:ascii="Times New Roman" w:cs="Times New Roman" w:eastAsia="Times New Roman" w:hAnsi="Times New Roman"/>
          <w:i/>
          <w:iCs/>
          <w:color w:val="6B7280"/>
          <w:sz w:val="18"/>
          <w:szCs w:val="18"/>
        </w:rPr>
        <w:t xml:space="preserve">   [Corrigé le 13/10/2026 : le titre de ce point était « Hypnose et méditation : deux états distincts », alors que son corps rendait fidèlement une source qui dit l'inverse — qu'il est prématuré de les croire SEMBLABLES. Refuser l'affirmation de similitude n'est pas affirmer la distinction : le titre tranchait là où la page suspend, et c'est exactement l'erreur que cette leçon enseigne à ne pas commettre.]</w:t>
      </w:r>
    </w:p>
    <w:p>
      <w:pPr>
        <w:pBdr>
          <w:bottom w:val="single" w:color="CCCCCC" w:sz="4"/>
        </w:pBdr>
        <w:spacing w:after="160" w:before="160"/>
      </w:pPr>
      <w:r>
        <w:t xml:space="preserve"/>
      </w:r>
    </w:p>
    <w:p>
      <w:pPr>
        <w:pBdr>
          <w:top w:val="single" w:color="1B3A6B" w:sz="4"/>
          <w:left w:val="single" w:color="1B3A6B" w:sz="6"/>
          <w:bottom w:val="single" w:color="1B3A6B" w:sz="4"/>
          <w:right w:val="single" w:color="1B3A6B" w:sz="4"/>
        </w:pBdr>
        <w:shd w:fill="F3F4F6" w:val="clear"/>
        <w:spacing w:after="120" w:before="120"/>
        <w:ind w:left="288" w:right="288"/>
      </w:pPr>
      <w:r>
        <w:rPr>
          <w:rFonts w:ascii="Times New Roman" w:cs="Times New Roman" w:eastAsia="Times New Roman" w:hAnsi="Times New Roman"/>
          <w:color w:val="1F2937"/>
          <w:sz w:val="22"/>
          <w:szCs w:val="22"/>
        </w:rPr>
        <w:t xml:space="preserve">À retenir : les neurosciences confirment que l'hypnose produit des effets cérébraux réels et mesurables,</w:t>
      </w:r>
      <w:r>
        <w:br/>
      </w:r>
      <w:r>
        <w:rPr>
          <w:rFonts w:ascii="Times New Roman" w:cs="Times New Roman" w:eastAsia="Times New Roman" w:hAnsi="Times New Roman"/>
          <w:color w:val="1F2937"/>
          <w:sz w:val="22"/>
          <w:szCs w:val="22"/>
        </w:rPr>
        <w:t xml:space="preserve">distincts de la simple relaxation. Mais elles ne « prouvent » pas l'efficacité clinique de l'hypnose dans tous</w:t>
      </w:r>
      <w:r>
        <w:br/>
      </w:r>
      <w:r>
        <w:rPr>
          <w:rFonts w:ascii="Times New Roman" w:cs="Times New Roman" w:eastAsia="Times New Roman" w:hAnsi="Times New Roman"/>
          <w:color w:val="1F2937"/>
          <w:sz w:val="22"/>
          <w:szCs w:val="22"/>
        </w:rPr>
        <w:t xml:space="preserve">ses usages actuels — ni ne valident l'ensemble des pratiques qui s'en réclament.</w:t>
      </w:r>
    </w:p>
    <w:p>
      <w:pPr>
        <w:pBdr>
          <w:bottom w:val="single" w:color="CCCCCC" w:sz="4"/>
        </w:pBdr>
        <w:spacing w:after="160" w:before="160"/>
      </w:pPr>
      <w:r>
        <w:t xml:space="preserve"/>
      </w:r>
    </w:p>
    <w:p>
      <w:pPr>
        <w:spacing w:after="120" w:before="300"/>
      </w:pPr>
      <w:r>
        <w:rPr>
          <w:rFonts w:ascii="Times New Roman" w:cs="Times New Roman" w:eastAsia="Times New Roman" w:hAnsi="Times New Roman"/>
          <w:b/>
          <w:bCs/>
          <w:color w:val="1B3A6B"/>
          <w:sz w:val="30"/>
          <w:szCs w:val="30"/>
        </w:rPr>
        <w:t xml:space="preserve">🛠️ Pratique (80 %) — Trois exercices + un challenge</w:t>
      </w:r>
    </w:p>
    <w:p>
      <w:pPr>
        <w:spacing w:after="80" w:before="200"/>
      </w:pPr>
      <w:r>
        <w:rPr>
          <w:rFonts w:ascii="Times New Roman" w:cs="Times New Roman" w:eastAsia="Times New Roman" w:hAnsi="Times New Roman"/>
          <w:b/>
          <w:bCs/>
          <w:color w:val="1F2937"/>
          <w:sz w:val="26"/>
          <w:szCs w:val="26"/>
        </w:rPr>
        <w:t xml:space="preserve">Exercice 1 — Journal neurologique : observer ses propres marqueurs</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Objectif : apprendre à reconnaître les corrélats subjectifs des états alpha et thêta, et développer ton langage interne pour décrire tes états hypnotiques.</w:t>
      </w:r>
    </w:p>
    <w:p>
      <w:pPr>
        <w:spacing w:after="80" w:before="80"/>
      </w:pPr>
      <w:r>
        <w:rPr>
          <w:rFonts w:ascii="Times New Roman" w:cs="Times New Roman" w:eastAsia="Times New Roman" w:hAnsi="Times New Roman"/>
          <w:b/>
          <w:bCs/>
          <w:color w:val="1F2937"/>
          <w:sz w:val="22"/>
          <w:szCs w:val="22"/>
        </w:rPr>
        <w:t xml:space="preserve">Matériel : </w:t>
      </w:r>
      <w:r>
        <w:rPr>
          <w:rFonts w:ascii="Times New Roman" w:cs="Times New Roman" w:eastAsia="Times New Roman" w:hAnsi="Times New Roman"/>
          <w:color w:val="1F2937"/>
          <w:sz w:val="22"/>
          <w:szCs w:val="22"/>
        </w:rPr>
        <w:t xml:space="preserve">ton journal de pratique, 15 à 20 minutes.</w:t>
      </w:r>
    </w:p>
    <w:p>
      <w:pPr>
        <w:spacing w:after="80" w:before="80"/>
        <w:ind/>
      </w:pPr>
      <w:r>
        <w:rPr>
          <w:rFonts w:ascii="Times New Roman" w:cs="Times New Roman" w:eastAsia="Times New Roman" w:hAnsi="Times New Roman"/>
          <w:b/>
          <w:bCs/>
          <w:i w:val="false"/>
          <w:iCs w:val="false"/>
          <w:color w:val="1F2937"/>
          <w:sz w:val="22"/>
          <w:szCs w:val="22"/>
        </w:rPr>
        <w:t xml:space="preserve">Déroulé :</w:t>
      </w:r>
    </w:p>
    <w:p>
      <w:pPr>
        <w:spacing w:after="60" w:before="60"/>
        <w:ind w:left="431" w:hanging="288"/>
      </w:pPr>
      <w:r>
        <w:rPr>
          <w:rFonts w:ascii="Times New Roman" w:cs="Times New Roman" w:eastAsia="Times New Roman" w:hAnsi="Times New Roman"/>
          <w:b/>
          <w:bCs/>
          <w:color w:val="1B3A6B"/>
          <w:sz w:val="22"/>
          <w:szCs w:val="22"/>
        </w:rPr>
        <w:t xml:space="preserve">1. </w:t>
      </w:r>
      <w:r>
        <w:rPr>
          <w:rFonts w:ascii="Times New Roman" w:cs="Times New Roman" w:eastAsia="Times New Roman" w:hAnsi="Times New Roman"/>
          <w:color w:val="1F2937"/>
          <w:sz w:val="22"/>
          <w:szCs w:val="22"/>
        </w:rPr>
        <w:t xml:space="preserve">Installe-toi confortablement. Ferme les yeux. Commence par une induction courte (respiration abdominale lente, décompte de 5 à 1). Ne cherche pas de profondeur particulière — laisse venir ce qui vient.</w:t>
      </w:r>
    </w:p>
    <w:p>
      <w:pPr>
        <w:spacing w:after="60" w:before="60"/>
        <w:ind w:left="431" w:hanging="288"/>
      </w:pPr>
      <w:r>
        <w:rPr>
          <w:rFonts w:ascii="Times New Roman" w:cs="Times New Roman" w:eastAsia="Times New Roman" w:hAnsi="Times New Roman"/>
          <w:b/>
          <w:bCs/>
          <w:color w:val="1B3A6B"/>
          <w:sz w:val="22"/>
          <w:szCs w:val="22"/>
        </w:rPr>
        <w:t xml:space="preserve">2. </w:t>
      </w:r>
      <w:r>
        <w:rPr>
          <w:rFonts w:ascii="Times New Roman" w:cs="Times New Roman" w:eastAsia="Times New Roman" w:hAnsi="Times New Roman"/>
          <w:color w:val="1F2937"/>
          <w:sz w:val="22"/>
          <w:szCs w:val="22"/>
        </w:rPr>
        <w:t xml:space="preserve">Après 5 minutes, reste dans cet état et observe silencieusement : tes sensations physiques (lourdeur ou légèreté des membres, chaleur, relâchement des mâchoires, des épaules), la qualité de ton flux de pensées (plus lent ? plus imagé ? moins verbeux ?), ta relation aux sons de l'environnement (filtrés, éloignés, ou toujours intrusifs ?).</w:t>
      </w:r>
    </w:p>
    <w:p>
      <w:pPr>
        <w:spacing w:after="60" w:before="60"/>
        <w:ind w:left="431" w:hanging="288"/>
      </w:pPr>
      <w:r>
        <w:rPr>
          <w:rFonts w:ascii="Times New Roman" w:cs="Times New Roman" w:eastAsia="Times New Roman" w:hAnsi="Times New Roman"/>
          <w:b/>
          <w:bCs/>
          <w:color w:val="1B3A6B"/>
          <w:sz w:val="22"/>
          <w:szCs w:val="22"/>
        </w:rPr>
        <w:t xml:space="preserve">3. </w:t>
      </w:r>
      <w:r>
        <w:rPr>
          <w:rFonts w:ascii="Times New Roman" w:cs="Times New Roman" w:eastAsia="Times New Roman" w:hAnsi="Times New Roman"/>
          <w:color w:val="1F2937"/>
          <w:sz w:val="22"/>
          <w:szCs w:val="22"/>
        </w:rPr>
        <w:t xml:space="preserve">Prends note mentale de 3 marqueurs qui te semblent caractéristiques de ton état du moment.</w:t>
      </w:r>
    </w:p>
    <w:p>
      <w:pPr>
        <w:spacing w:after="60" w:before="60"/>
        <w:ind w:left="431" w:hanging="288"/>
      </w:pPr>
      <w:r>
        <w:rPr>
          <w:rFonts w:ascii="Times New Roman" w:cs="Times New Roman" w:eastAsia="Times New Roman" w:hAnsi="Times New Roman"/>
          <w:b/>
          <w:bCs/>
          <w:color w:val="1B3A6B"/>
          <w:sz w:val="22"/>
          <w:szCs w:val="22"/>
        </w:rPr>
        <w:t xml:space="preserve">4. </w:t>
      </w:r>
      <w:r>
        <w:rPr>
          <w:rFonts w:ascii="Times New Roman" w:cs="Times New Roman" w:eastAsia="Times New Roman" w:hAnsi="Times New Roman"/>
          <w:color w:val="1F2937"/>
          <w:sz w:val="22"/>
          <w:szCs w:val="22"/>
        </w:rPr>
        <w:t xml:space="preserve">Remonte doucement. Prends 3 minutes pour noter dans ton journal : tes 3 marqueurs, leur intensité sur une échelle de 1 à 5, et l'état général que tu définirais en un mot.</w:t>
      </w:r>
    </w:p>
    <w:p>
      <w:pPr>
        <w:spacing w:after="80" w:before="80"/>
        <w:ind/>
      </w:pPr>
      <w:r>
        <w:rPr>
          <w:rFonts w:ascii="Times New Roman" w:cs="Times New Roman" w:eastAsia="Times New Roman" w:hAnsi="Times New Roman"/>
          <w:b/>
          <w:bCs/>
          <w:i w:val="false"/>
          <w:iCs w:val="false"/>
          <w:color w:val="1F2937"/>
          <w:sz w:val="22"/>
          <w:szCs w:val="22"/>
        </w:rPr>
        <w:t xml:space="preserve">Interprétation pédagogique :</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L'état alpha correspond souvent à une lourdeur agréable, un ralentissement des pensées verbales, et une indifférence croissante aux bruits environnants. L'état thêta — plus profond — s'accompagne fréquemment d'images spontanées, d'une perte partielle de la conscience du temps, et d'une sensation de flottement. En pratiquant ce journal, tu construis ta propre carte expérientielle des états hypnotiques.</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Pratique sur 3 séances cette semaine. Observe si tes marqueurs évoluent ou se stabilisent.</w:t>
      </w:r>
    </w:p>
    <w:p>
      <w:pPr>
        <w:spacing w:after="80" w:before="200"/>
      </w:pPr>
      <w:r>
        <w:rPr>
          <w:rFonts w:ascii="Times New Roman" w:cs="Times New Roman" w:eastAsia="Times New Roman" w:hAnsi="Times New Roman"/>
          <w:b/>
          <w:bCs/>
          <w:color w:val="1F2937"/>
          <w:sz w:val="26"/>
          <w:szCs w:val="26"/>
        </w:rPr>
        <w:t xml:space="preserve">Exercice 2 — Le spectateur : expérimenter la modification du DMN</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Objectif : expérimenter directement la modulation du réseau en mode par défaut (DMN), responsable du traitement auto-référentiel, par une suggestion d'hypnose.</w:t>
      </w:r>
    </w:p>
    <w:p>
      <w:pPr>
        <w:spacing w:after="80" w:before="80"/>
      </w:pPr>
      <w:r>
        <w:rPr>
          <w:rFonts w:ascii="Times New Roman" w:cs="Times New Roman" w:eastAsia="Times New Roman" w:hAnsi="Times New Roman"/>
          <w:b/>
          <w:bCs/>
          <w:color w:val="1F2937"/>
          <w:sz w:val="22"/>
          <w:szCs w:val="22"/>
        </w:rPr>
        <w:t xml:space="preserve">Durée : </w:t>
      </w:r>
      <w:r>
        <w:rPr>
          <w:rFonts w:ascii="Times New Roman" w:cs="Times New Roman" w:eastAsia="Times New Roman" w:hAnsi="Times New Roman"/>
          <w:color w:val="1F2937"/>
          <w:sz w:val="22"/>
          <w:szCs w:val="22"/>
        </w:rPr>
        <w:t xml:space="preserve">20 minutes environ.</w:t>
      </w:r>
    </w:p>
    <w:p>
      <w:pPr>
        <w:spacing w:after="80" w:before="80"/>
        <w:ind/>
      </w:pPr>
      <w:r>
        <w:rPr>
          <w:rFonts w:ascii="Times New Roman" w:cs="Times New Roman" w:eastAsia="Times New Roman" w:hAnsi="Times New Roman"/>
          <w:b/>
          <w:bCs/>
          <w:i w:val="false"/>
          <w:iCs w:val="false"/>
          <w:color w:val="1F2937"/>
          <w:sz w:val="22"/>
          <w:szCs w:val="22"/>
        </w:rPr>
        <w:t xml:space="preserve">Déroulé :</w:t>
      </w:r>
    </w:p>
    <w:p>
      <w:pPr>
        <w:spacing w:after="60" w:before="60"/>
        <w:ind w:left="431" w:hanging="288"/>
      </w:pPr>
      <w:r>
        <w:rPr>
          <w:rFonts w:ascii="Times New Roman" w:cs="Times New Roman" w:eastAsia="Times New Roman" w:hAnsi="Times New Roman"/>
          <w:b/>
          <w:bCs/>
          <w:color w:val="1B3A6B"/>
          <w:sz w:val="22"/>
          <w:szCs w:val="22"/>
        </w:rPr>
        <w:t xml:space="preserve">1. </w:t>
      </w:r>
      <w:r>
        <w:rPr>
          <w:rFonts w:ascii="Times New Roman" w:cs="Times New Roman" w:eastAsia="Times New Roman" w:hAnsi="Times New Roman"/>
          <w:color w:val="1F2937"/>
          <w:sz w:val="22"/>
          <w:szCs w:val="22"/>
        </w:rPr>
        <w:t xml:space="preserve">Choisis une situation passée neutre à légèrement positive — une promenade ordinaire, un repas récent agréable. Pas de situation émotionnellement chargée.</w:t>
      </w:r>
    </w:p>
    <w:p>
      <w:pPr>
        <w:spacing w:after="60" w:before="60"/>
        <w:ind w:left="431" w:hanging="288"/>
      </w:pPr>
      <w:r>
        <w:rPr>
          <w:rFonts w:ascii="Times New Roman" w:cs="Times New Roman" w:eastAsia="Times New Roman" w:hAnsi="Times New Roman"/>
          <w:b/>
          <w:bCs/>
          <w:color w:val="1B3A6B"/>
          <w:sz w:val="22"/>
          <w:szCs w:val="22"/>
        </w:rPr>
        <w:t xml:space="preserve">2. </w:t>
      </w:r>
      <w:r>
        <w:rPr>
          <w:rFonts w:ascii="Times New Roman" w:cs="Times New Roman" w:eastAsia="Times New Roman" w:hAnsi="Times New Roman"/>
          <w:color w:val="1F2937"/>
          <w:sz w:val="22"/>
          <w:szCs w:val="22"/>
        </w:rPr>
        <w:t xml:space="preserve">Procède à une induction standard (décompte, respiration, scan corporel). Attends d'avoir atteint un état de lourdeur et d'absorption.</w:t>
      </w:r>
    </w:p>
    <w:p>
      <w:pPr>
        <w:spacing w:after="60" w:before="60"/>
        <w:ind w:left="431" w:hanging="288"/>
      </w:pPr>
      <w:r>
        <w:rPr>
          <w:rFonts w:ascii="Times New Roman" w:cs="Times New Roman" w:eastAsia="Times New Roman" w:hAnsi="Times New Roman"/>
          <w:b/>
          <w:bCs/>
          <w:color w:val="1B3A6B"/>
          <w:sz w:val="22"/>
          <w:szCs w:val="22"/>
        </w:rPr>
        <w:t xml:space="preserve">3. </w:t>
      </w:r>
      <w:r>
        <w:rPr>
          <w:rFonts w:ascii="Times New Roman" w:cs="Times New Roman" w:eastAsia="Times New Roman" w:hAnsi="Times New Roman"/>
          <w:color w:val="1F2937"/>
          <w:sz w:val="22"/>
          <w:szCs w:val="22"/>
        </w:rPr>
        <w:t xml:space="preserve">Dis-toi intérieurement : « Je vais me voir dans cette scène comme si j'étais au cinéma. Je suis dans la salle, la scène se déroule sur l'écran. » Laisse la scène se former, sans la contrôler.</w:t>
      </w:r>
    </w:p>
    <w:p>
      <w:pPr>
        <w:spacing w:after="60" w:before="60"/>
        <w:ind w:left="431" w:hanging="288"/>
      </w:pPr>
      <w:r>
        <w:rPr>
          <w:rFonts w:ascii="Times New Roman" w:cs="Times New Roman" w:eastAsia="Times New Roman" w:hAnsi="Times New Roman"/>
          <w:b/>
          <w:bCs/>
          <w:color w:val="1B3A6B"/>
          <w:sz w:val="22"/>
          <w:szCs w:val="22"/>
        </w:rPr>
        <w:t xml:space="preserve">4. </w:t>
      </w:r>
      <w:r>
        <w:rPr>
          <w:rFonts w:ascii="Times New Roman" w:cs="Times New Roman" w:eastAsia="Times New Roman" w:hAnsi="Times New Roman"/>
          <w:color w:val="1F2937"/>
          <w:sz w:val="22"/>
          <w:szCs w:val="22"/>
        </w:rPr>
        <w:t xml:space="preserve">Observe : comment te perçois-tu dans cette scène en mode « spectateur » ? La charge émotionnelle associée à la situation est-elle identique à quand tu la vis en « première personne » ? Y a-t-il une différence de distance, de clarté, d'affect ?</w:t>
      </w:r>
    </w:p>
    <w:p>
      <w:pPr>
        <w:spacing w:after="60" w:before="60"/>
        <w:ind w:left="431" w:hanging="288"/>
      </w:pPr>
      <w:r>
        <w:rPr>
          <w:rFonts w:ascii="Times New Roman" w:cs="Times New Roman" w:eastAsia="Times New Roman" w:hAnsi="Times New Roman"/>
          <w:b/>
          <w:bCs/>
          <w:color w:val="1B3A6B"/>
          <w:sz w:val="22"/>
          <w:szCs w:val="22"/>
        </w:rPr>
        <w:t xml:space="preserve">5. </w:t>
      </w:r>
      <w:r>
        <w:rPr>
          <w:rFonts w:ascii="Times New Roman" w:cs="Times New Roman" w:eastAsia="Times New Roman" w:hAnsi="Times New Roman"/>
          <w:color w:val="1F2937"/>
          <w:sz w:val="22"/>
          <w:szCs w:val="22"/>
        </w:rPr>
        <w:t xml:space="preserve">Reviens en mode « première personne » quelques secondes pour comparer, puis repassez en mode spectateur. Explorez la différence.</w:t>
      </w:r>
    </w:p>
    <w:p>
      <w:pPr>
        <w:spacing w:after="60" w:before="60"/>
        <w:ind w:left="431" w:hanging="288"/>
      </w:pPr>
      <w:r>
        <w:rPr>
          <w:rFonts w:ascii="Times New Roman" w:cs="Times New Roman" w:eastAsia="Times New Roman" w:hAnsi="Times New Roman"/>
          <w:b/>
          <w:bCs/>
          <w:color w:val="1B3A6B"/>
          <w:sz w:val="22"/>
          <w:szCs w:val="22"/>
        </w:rPr>
        <w:t xml:space="preserve">6. </w:t>
      </w:r>
      <w:r>
        <w:rPr>
          <w:rFonts w:ascii="Times New Roman" w:cs="Times New Roman" w:eastAsia="Times New Roman" w:hAnsi="Times New Roman"/>
          <w:color w:val="1F2937"/>
          <w:sz w:val="22"/>
          <w:szCs w:val="22"/>
        </w:rPr>
        <w:t xml:space="preserve">Sortie douce. Note dans ton journal : la qualité de la transition, la différence de charge affective perçue, et si cet exercice t'a paru naturel ou forcé.</w:t>
      </w:r>
    </w:p>
    <w:p>
      <w:pPr>
        <w:spacing w:after="80" w:before="80"/>
        <w:ind/>
      </w:pPr>
      <w:r>
        <w:rPr>
          <w:rFonts w:ascii="Times New Roman" w:cs="Times New Roman" w:eastAsia="Times New Roman" w:hAnsi="Times New Roman"/>
          <w:b/>
          <w:bCs/>
          <w:i w:val="false"/>
          <w:iCs w:val="false"/>
          <w:color w:val="1F2937"/>
          <w:sz w:val="22"/>
          <w:szCs w:val="22"/>
        </w:rPr>
        <w:t xml:space="preserve">Ce que cet exercice illustre :</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La prise de recul en mode « spectateur » mobilise une modification du traitement auto-référentiel que les modèles de reconfiguration du DMN tentent d'expliquer neurologiquement. En hypnose, cette dissociation entre le moi observateur et le moi observé est une ressource souvent utilisée pour travailler sur des situations difficiles — toujours dans un cadre professionnel qualifié pour les travaux sur des traumas.</w:t>
      </w:r>
    </w:p>
    <w:p>
      <w:pPr>
        <w:spacing w:after="80" w:before="200"/>
      </w:pPr>
      <w:r>
        <w:rPr>
          <w:rFonts w:ascii="Times New Roman" w:cs="Times New Roman" w:eastAsia="Times New Roman" w:hAnsi="Times New Roman"/>
          <w:b/>
          <w:bCs/>
          <w:color w:val="1F2937"/>
          <w:sz w:val="26"/>
          <w:szCs w:val="26"/>
        </w:rPr>
        <w:t xml:space="preserve">Exercice 3 — Le bras leviteur : observer l'ambiguïté volontaire/involontaire</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Objectif : expérimenter l'une des questions fondamentales que les neurosciences posent à l'hypnose — la frontière entre mouvement volontaire et effet de suggestion.</w:t>
      </w:r>
    </w:p>
    <w:p>
      <w:pPr>
        <w:pBdr>
          <w:top w:val="single" w:color="1B3A6B" w:sz="4"/>
          <w:left w:val="single" w:color="1B3A6B" w:sz="6"/>
          <w:bottom w:val="single" w:color="1B3A6B" w:sz="4"/>
          <w:right w:val="single" w:color="1B3A6B" w:sz="4"/>
        </w:pBdr>
        <w:shd w:fill="F3F4F6" w:val="clear"/>
        <w:spacing w:after="120" w:before="120"/>
        <w:ind w:left="288" w:right="288"/>
      </w:pPr>
      <w:r>
        <w:rPr>
          <w:rFonts w:ascii="Times New Roman" w:cs="Times New Roman" w:eastAsia="Times New Roman" w:hAnsi="Times New Roman"/>
          <w:color w:val="1F2937"/>
          <w:sz w:val="22"/>
          <w:szCs w:val="22"/>
        </w:rPr>
        <w:t xml:space="preserve">Rappel : cet exercice est un outil d'observation personnelle, pas un test de tes capacités</w:t>
      </w:r>
      <w:r>
        <w:br/>
      </w:r>
      <w:r>
        <w:rPr>
          <w:rFonts w:ascii="Times New Roman" w:cs="Times New Roman" w:eastAsia="Times New Roman" w:hAnsi="Times New Roman"/>
          <w:color w:val="1F2937"/>
          <w:sz w:val="22"/>
          <w:szCs w:val="22"/>
        </w:rPr>
        <w:t xml:space="preserve">ou de ton niveau d'hypnotisabilité. Pas de performance attendue.</w:t>
      </w:r>
    </w:p>
    <w:p>
      <w:pPr>
        <w:spacing w:after="80" w:before="80"/>
        <w:ind/>
      </w:pPr>
      <w:r>
        <w:rPr>
          <w:rFonts w:ascii="Times New Roman" w:cs="Times New Roman" w:eastAsia="Times New Roman" w:hAnsi="Times New Roman"/>
          <w:b/>
          <w:bCs/>
          <w:i w:val="false"/>
          <w:iCs w:val="false"/>
          <w:color w:val="1F2937"/>
          <w:sz w:val="22"/>
          <w:szCs w:val="22"/>
        </w:rPr>
        <w:t xml:space="preserve">Déroulé :</w:t>
      </w:r>
    </w:p>
    <w:p>
      <w:pPr>
        <w:spacing w:after="60" w:before="60"/>
        <w:ind w:left="431" w:hanging="288"/>
      </w:pPr>
      <w:r>
        <w:rPr>
          <w:rFonts w:ascii="Times New Roman" w:cs="Times New Roman" w:eastAsia="Times New Roman" w:hAnsi="Times New Roman"/>
          <w:b/>
          <w:bCs/>
          <w:color w:val="1B3A6B"/>
          <w:sz w:val="22"/>
          <w:szCs w:val="22"/>
        </w:rPr>
        <w:t xml:space="preserve">1. </w:t>
      </w:r>
      <w:r>
        <w:rPr>
          <w:rFonts w:ascii="Times New Roman" w:cs="Times New Roman" w:eastAsia="Times New Roman" w:hAnsi="Times New Roman"/>
          <w:color w:val="1F2937"/>
          <w:sz w:val="22"/>
          <w:szCs w:val="22"/>
        </w:rPr>
        <w:t xml:space="preserve">Après une induction standard, pose les deux mains sur tes cuisses, paumes vers le bas.</w:t>
      </w:r>
    </w:p>
    <w:p>
      <w:pPr>
        <w:spacing w:after="60" w:before="60"/>
        <w:ind w:left="431" w:hanging="288"/>
      </w:pPr>
      <w:r>
        <w:rPr>
          <w:rFonts w:ascii="Times New Roman" w:cs="Times New Roman" w:eastAsia="Times New Roman" w:hAnsi="Times New Roman"/>
          <w:b/>
          <w:bCs/>
          <w:color w:val="1B3A6B"/>
          <w:sz w:val="22"/>
          <w:szCs w:val="22"/>
        </w:rPr>
        <w:t xml:space="preserve">2. </w:t>
      </w:r>
      <w:r>
        <w:rPr>
          <w:rFonts w:ascii="Times New Roman" w:cs="Times New Roman" w:eastAsia="Times New Roman" w:hAnsi="Times New Roman"/>
          <w:color w:val="1F2937"/>
          <w:sz w:val="22"/>
          <w:szCs w:val="22"/>
        </w:rPr>
        <w:t xml:space="preserve">Suggère-toi mentalement, lentement : « Mon bras droit devient de plus en plus léger. Comme si un fil invisible le tirait doucement vers le haut. De plus en plus léger... » Répète cette suggestion 4 à 5 fois, sans effort.</w:t>
      </w:r>
    </w:p>
    <w:p>
      <w:pPr>
        <w:spacing w:after="60" w:before="60"/>
        <w:ind w:left="431" w:hanging="288"/>
      </w:pPr>
      <w:r>
        <w:rPr>
          <w:rFonts w:ascii="Times New Roman" w:cs="Times New Roman" w:eastAsia="Times New Roman" w:hAnsi="Times New Roman"/>
          <w:b/>
          <w:bCs/>
          <w:color w:val="1B3A6B"/>
          <w:sz w:val="22"/>
          <w:szCs w:val="22"/>
        </w:rPr>
        <w:t xml:space="preserve">3. </w:t>
      </w:r>
      <w:r>
        <w:rPr>
          <w:rFonts w:ascii="Times New Roman" w:cs="Times New Roman" w:eastAsia="Times New Roman" w:hAnsi="Times New Roman"/>
          <w:color w:val="1F2937"/>
          <w:sz w:val="22"/>
          <w:szCs w:val="22"/>
        </w:rPr>
        <w:t xml:space="preserve">Ne cherche pas à lever le bras consciemment. Observe ce qui se passe — ou ne se passe pas.</w:t>
      </w:r>
    </w:p>
    <w:p>
      <w:pPr>
        <w:spacing w:after="60" w:before="60"/>
        <w:ind w:left="431" w:hanging="288"/>
      </w:pPr>
      <w:r>
        <w:rPr>
          <w:rFonts w:ascii="Times New Roman" w:cs="Times New Roman" w:eastAsia="Times New Roman" w:hAnsi="Times New Roman"/>
          <w:b/>
          <w:bCs/>
          <w:color w:val="1B3A6B"/>
          <w:sz w:val="22"/>
          <w:szCs w:val="22"/>
        </w:rPr>
        <w:t xml:space="preserve">4. </w:t>
      </w:r>
      <w:r>
        <w:rPr>
          <w:rFonts w:ascii="Times New Roman" w:cs="Times New Roman" w:eastAsia="Times New Roman" w:hAnsi="Times New Roman"/>
          <w:color w:val="1F2937"/>
          <w:sz w:val="22"/>
          <w:szCs w:val="22"/>
        </w:rPr>
        <w:t xml:space="preserve">Si ton bras remonte, note : le mouvement te paraît-il volitif ou automatique ? Y a-t-il une différence entre ta perception initiale et ce que tu penses rétrospectivement ?</w:t>
      </w:r>
    </w:p>
    <w:p>
      <w:pPr>
        <w:spacing w:after="60" w:before="60"/>
        <w:ind w:left="431" w:hanging="288"/>
      </w:pPr>
      <w:r>
        <w:rPr>
          <w:rFonts w:ascii="Times New Roman" w:cs="Times New Roman" w:eastAsia="Times New Roman" w:hAnsi="Times New Roman"/>
          <w:b/>
          <w:bCs/>
          <w:color w:val="1B3A6B"/>
          <w:sz w:val="22"/>
          <w:szCs w:val="22"/>
        </w:rPr>
        <w:t xml:space="preserve">5. </w:t>
      </w:r>
      <w:r>
        <w:rPr>
          <w:rFonts w:ascii="Times New Roman" w:cs="Times New Roman" w:eastAsia="Times New Roman" w:hAnsi="Times New Roman"/>
          <w:color w:val="1F2937"/>
          <w:sz w:val="22"/>
          <w:szCs w:val="22"/>
        </w:rPr>
        <w:t xml:space="preserve">Fais l'expérience dans l'autre sens : lève le même bras volontairement. Compares-tu les deux qualités de mouvement ?</w:t>
      </w:r>
    </w:p>
    <w:p>
      <w:pPr>
        <w:spacing w:after="60" w:before="60"/>
        <w:ind w:left="431" w:hanging="288"/>
      </w:pPr>
      <w:r>
        <w:rPr>
          <w:rFonts w:ascii="Times New Roman" w:cs="Times New Roman" w:eastAsia="Times New Roman" w:hAnsi="Times New Roman"/>
          <w:b/>
          <w:bCs/>
          <w:color w:val="1B3A6B"/>
          <w:sz w:val="22"/>
          <w:szCs w:val="22"/>
        </w:rPr>
        <w:t xml:space="preserve">6. </w:t>
      </w:r>
      <w:r>
        <w:rPr>
          <w:rFonts w:ascii="Times New Roman" w:cs="Times New Roman" w:eastAsia="Times New Roman" w:hAnsi="Times New Roman"/>
          <w:color w:val="1F2937"/>
          <w:sz w:val="22"/>
          <w:szCs w:val="22"/>
        </w:rPr>
        <w:t xml:space="preserve">Sortie douce. Note dans ton journal : ce que tu as observé, ta première impression, et ton évaluation rétrospective.</w:t>
      </w:r>
    </w:p>
    <w:p>
      <w:pPr>
        <w:spacing w:after="80" w:before="80"/>
        <w:ind/>
      </w:pPr>
      <w:r>
        <w:rPr>
          <w:rFonts w:ascii="Times New Roman" w:cs="Times New Roman" w:eastAsia="Times New Roman" w:hAnsi="Times New Roman"/>
          <w:b/>
          <w:bCs/>
          <w:i w:val="false"/>
          <w:iCs w:val="false"/>
          <w:color w:val="1F2937"/>
          <w:sz w:val="22"/>
          <w:szCs w:val="22"/>
        </w:rPr>
        <w:t xml:space="preserve">Réflexion associée :</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C'est exactement cette ambiguïté — mouvement volontaire déguisé ou effet réel de la suggestion ? — que la neuroimagerie cherche à trancher. Les données actuelles suggèrent que pour les hauts hypnotisables, l'activation des régions motrices lors d'un mouvement suggéré diffère légèrement de celle observée lors d'un mouvement volontaire conscient. Mais la frontière n'est pas nette, et l'interprétation reste débattue. Ton observation personnelle est une donnée — pas une preuve dans un sens ou dans l'autre.</w:t>
      </w:r>
    </w:p>
    <w:p>
      <w:pPr>
        <w:pBdr>
          <w:bottom w:val="single" w:color="CCCCCC" w:sz="4"/>
        </w:pBdr>
        <w:spacing w:after="160" w:before="160"/>
      </w:pPr>
      <w:r>
        <w:t xml:space="preserve"/>
      </w:r>
    </w:p>
    <w:p>
      <w:pPr>
        <w:spacing w:after="120" w:before="300"/>
      </w:pPr>
      <w:r>
        <w:rPr>
          <w:rFonts w:ascii="Times New Roman" w:cs="Times New Roman" w:eastAsia="Times New Roman" w:hAnsi="Times New Roman"/>
          <w:b/>
          <w:bCs/>
          <w:color w:val="1B3A6B"/>
          <w:sz w:val="30"/>
          <w:szCs w:val="30"/>
        </w:rPr>
        <w:t xml:space="preserve">🎯 Challenge — Enquête personnelle sur un phénomène hypnotique</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Ce challenge te demande d'adopter la posture d'un observateur-chercheur sur ta propre pratique, en confrontant ton vécu subjectif à la littérature neuroscientifique.</w:t>
      </w:r>
    </w:p>
    <w:p>
      <w:pPr>
        <w:spacing w:after="80" w:before="200"/>
      </w:pPr>
      <w:r>
        <w:rPr>
          <w:rFonts w:ascii="Times New Roman" w:cs="Times New Roman" w:eastAsia="Times New Roman" w:hAnsi="Times New Roman"/>
          <w:b/>
          <w:bCs/>
          <w:color w:val="1F2937"/>
          <w:sz w:val="26"/>
          <w:szCs w:val="26"/>
        </w:rPr>
        <w:t xml:space="preserve">Protocole sur la semaine à venir</w:t>
      </w:r>
    </w:p>
    <w:p>
      <w:pPr>
        <w:spacing w:after="60" w:before="60"/>
        <w:ind w:left="431" w:hanging="288"/>
      </w:pPr>
      <w:r>
        <w:rPr>
          <w:rFonts w:ascii="Times New Roman" w:cs="Times New Roman" w:eastAsia="Times New Roman" w:hAnsi="Times New Roman"/>
          <w:b/>
          <w:bCs/>
          <w:color w:val="1B3A6B"/>
          <w:sz w:val="22"/>
          <w:szCs w:val="22"/>
        </w:rPr>
        <w:t xml:space="preserve">1. </w:t>
      </w:r>
      <w:r>
        <w:rPr>
          <w:rFonts w:ascii="Times New Roman" w:cs="Times New Roman" w:eastAsia="Times New Roman" w:hAnsi="Times New Roman"/>
          <w:color w:val="1F2937"/>
          <w:sz w:val="22"/>
          <w:szCs w:val="22"/>
        </w:rPr>
        <w:t xml:space="preserve">Choisis un phénomène hypnotique à explorer parmi : distorsion du temps (la séance te semble durer 5 minutes alors qu'il s'en écoule 20), analgésie légère sur une sensation neutre (picotement du froid sur le poignet après suggestion d'engourdissement), ou modification de la perception auditive (sons plus lointains ou filtrés).</w:t>
      </w:r>
    </w:p>
    <w:p>
      <w:pPr>
        <w:spacing w:after="60" w:before="60"/>
        <w:ind w:left="431" w:hanging="288"/>
      </w:pPr>
      <w:r>
        <w:rPr>
          <w:rFonts w:ascii="Times New Roman" w:cs="Times New Roman" w:eastAsia="Times New Roman" w:hAnsi="Times New Roman"/>
          <w:b/>
          <w:bCs/>
          <w:color w:val="1B3A6B"/>
          <w:sz w:val="22"/>
          <w:szCs w:val="22"/>
        </w:rPr>
        <w:t xml:space="preserve">2. </w:t>
      </w:r>
      <w:r>
        <w:rPr>
          <w:rFonts w:ascii="Times New Roman" w:cs="Times New Roman" w:eastAsia="Times New Roman" w:hAnsi="Times New Roman"/>
          <w:color w:val="1F2937"/>
          <w:sz w:val="22"/>
          <w:szCs w:val="22"/>
        </w:rPr>
        <w:t xml:space="preserve">Pratique ce phénomène lors de 3 séances d'auto-hypnose dans la semaine. Note systématiquement : l'induction utilisée, la durée perçue vs réelle, l'intensité du phénomène sur 5.</w:t>
      </w:r>
    </w:p>
    <w:p>
      <w:pPr>
        <w:spacing w:after="60" w:before="60"/>
        <w:ind w:left="431" w:hanging="288"/>
      </w:pPr>
      <w:r>
        <w:rPr>
          <w:rFonts w:ascii="Times New Roman" w:cs="Times New Roman" w:eastAsia="Times New Roman" w:hAnsi="Times New Roman"/>
          <w:b/>
          <w:bCs/>
          <w:color w:val="1B3A6B"/>
          <w:sz w:val="22"/>
          <w:szCs w:val="22"/>
        </w:rPr>
        <w:t xml:space="preserve">3. </w:t>
      </w:r>
      <w:r>
        <w:rPr>
          <w:rFonts w:ascii="Times New Roman" w:cs="Times New Roman" w:eastAsia="Times New Roman" w:hAnsi="Times New Roman"/>
          <w:color w:val="1F2937"/>
          <w:sz w:val="22"/>
          <w:szCs w:val="22"/>
        </w:rPr>
        <w:t xml:space="preserve">Relève dans les ressources de cette leçon ce que la littérature sait (ou ne sait pas) de ce phénomène. Quels circuits cérébraux sont impliqués ? Qu'est-ce qui reste incertain ?</w:t>
      </w:r>
    </w:p>
    <w:p>
      <w:pPr>
        <w:spacing w:after="60" w:before="60"/>
        <w:ind w:left="431" w:hanging="288"/>
      </w:pPr>
      <w:r>
        <w:rPr>
          <w:rFonts w:ascii="Times New Roman" w:cs="Times New Roman" w:eastAsia="Times New Roman" w:hAnsi="Times New Roman"/>
          <w:b/>
          <w:bCs/>
          <w:color w:val="1B3A6B"/>
          <w:sz w:val="22"/>
          <w:szCs w:val="22"/>
        </w:rPr>
        <w:t xml:space="preserve">4. </w:t>
      </w:r>
      <w:r>
        <w:rPr>
          <w:rFonts w:ascii="Times New Roman" w:cs="Times New Roman" w:eastAsia="Times New Roman" w:hAnsi="Times New Roman"/>
          <w:color w:val="1F2937"/>
          <w:sz w:val="22"/>
          <w:szCs w:val="22"/>
        </w:rPr>
        <w:t xml:space="preserve">Rédige dans ton journal une note synthétique en 5 à 10 lignes : « Ce que j'ai observé — Ce que la littérature suggère — Ce que je ne sais pas encore. »</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Ce format en trois colonnes (observation / littérature / incertitude) est celui de tout chercheur sérieux. Le pratiquer sur toi-même te donnera une capacité de recul sur les affirmations rencontrées dans les formations ou les ouvrages sur l'hypnose — une ressource précieuse pour la leçon 19 (cadre éthique) et la leçon 20 (bilan).</w:t>
      </w:r>
    </w:p>
    <w:p>
      <w:pPr>
        <w:pBdr>
          <w:bottom w:val="single" w:color="CCCCCC" w:sz="4"/>
        </w:pBdr>
        <w:spacing w:after="160" w:before="160"/>
      </w:pPr>
      <w:r>
        <w:t xml:space="preserve"/>
      </w:r>
    </w:p>
    <w:p>
      <w:pPr>
        <w:spacing w:after="120" w:before="300"/>
      </w:pPr>
      <w:r>
        <w:rPr>
          <w:rFonts w:ascii="Times New Roman" w:cs="Times New Roman" w:eastAsia="Times New Roman" w:hAnsi="Times New Roman"/>
          <w:b/>
          <w:bCs/>
          <w:color w:val="1B3A6B"/>
          <w:sz w:val="30"/>
          <w:szCs w:val="30"/>
        </w:rPr>
        <w:t xml:space="preserve">🌉 Pont pro (court)</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La compréhension du DMN et des mécanismes attentionnels de l'hypnose éclaire un phénomène que tout professionnel en ESSMS connaît sans toujours le nommer : le contexte, la posture, le rythme et la qualité de présence d'un professionnel influencent l'état interne des personnes accompagnées, indépendamment de toute intention hypnotique. Ce qu'on appelle en clinique la « présence thérapeutique » ou l'« alliance de travail » repose en partie sur ces mécanismes attentionnels. Cette leçon fournit un vocabulaire neuroscientifique pour comprendre pourquoi — pas pour pratiquer l'hypnose en ESSMS sans qualification.</w:t>
      </w:r>
    </w:p>
    <w:p>
      <w:pPr>
        <w:pBdr>
          <w:bottom w:val="single" w:color="CCCCCC" w:sz="4"/>
        </w:pBdr>
        <w:spacing w:after="160" w:before="160"/>
      </w:pPr>
      <w:r>
        <w:t xml:space="preserve"/>
      </w:r>
    </w:p>
    <w:p>
      <w:pPr>
        <w:spacing w:after="120" w:before="300"/>
      </w:pPr>
      <w:r>
        <w:rPr>
          <w:rFonts w:ascii="Times New Roman" w:cs="Times New Roman" w:eastAsia="Times New Roman" w:hAnsi="Times New Roman"/>
          <w:b/>
          <w:bCs/>
          <w:color w:val="1B3A6B"/>
          <w:sz w:val="30"/>
          <w:szCs w:val="30"/>
        </w:rPr>
        <w:t xml:space="preserve">📚 Ressources cliquables</w:t>
      </w:r>
    </w:p>
    <w:p>
      <w:pPr>
        <w:pStyle w:val="ListParagraph"/>
        <w:numPr>
          <w:ilvl w:val="0"/>
          <w:numId w:val="1"/>
        </w:numPr>
        <w:spacing w:after="60" w:before="60"/>
        <w:ind w:left="431" w:hanging="215"/>
      </w:pPr>
      <w:hyperlink w:history="1" r:id="rIdkgcejfyxghz2vzrxvw2jg">
        <w:r>
          <w:rPr>
            <w:rFonts w:ascii="Times New Roman" w:cs="Times New Roman" w:eastAsia="Times New Roman" w:hAnsi="Times New Roman"/>
            <w:color w:val="1155CC"/>
            <w:sz w:val="22"/>
            <w:szCs w:val="22"/>
            <w:u w:val="single"/>
          </w:rPr>
          <w:t xml:space="preserve">Gallardo LM, Chetri S. (2026) — Hypnosis as a Mechanism of Emotion Regulation and Self-Integration — Behavioral Sciences (PMC13024316)</w:t>
        </w:r>
      </w:hyperlink>
      <w:r>
        <w:rPr>
          <w:rFonts w:ascii="Times New Roman" w:cs="Times New Roman" w:eastAsia="Times New Roman" w:hAnsi="Times New Roman"/>
          <w:color w:val="1F2937"/>
          <w:sz w:val="22"/>
          <w:szCs w:val="22"/>
        </w:rPr>
        <w:t xml:space="preserve"> — Revue intégrative sur DMN, ECN, SaN et régulation émotionnelle sous hypnose. DOI: 10.3390/bs16030395</w:t>
      </w:r>
    </w:p>
    <w:p>
      <w:pPr>
        <w:pStyle w:val="ListParagraph"/>
        <w:numPr>
          <w:ilvl w:val="0"/>
          <w:numId w:val="1"/>
        </w:numPr>
        <w:spacing w:after="60" w:before="60"/>
        <w:ind w:left="431" w:hanging="215"/>
      </w:pPr>
      <w:hyperlink w:history="1" r:id="rIdeggfecma0nlpjzloswi81">
        <w:r>
          <w:rPr>
            <w:rFonts w:ascii="Times New Roman" w:cs="Times New Roman" w:eastAsia="Times New Roman" w:hAnsi="Times New Roman"/>
            <w:color w:val="1155CC"/>
            <w:sz w:val="22"/>
            <w:szCs w:val="22"/>
            <w:u w:val="single"/>
          </w:rPr>
          <w:t xml:space="preserve">De Pascalis V. (2026) — Toward a Predictive Coding Account of Hypnotic Hypoalgesia — Brain Sciences (PMC13510804)</w:t>
        </w:r>
      </w:hyperlink>
      <w:r>
        <w:rPr>
          <w:rFonts w:ascii="Times New Roman" w:cs="Times New Roman" w:eastAsia="Times New Roman" w:hAnsi="Times New Roman"/>
          <w:color w:val="1F2937"/>
          <w:sz w:val="22"/>
          <w:szCs w:val="22"/>
        </w:rPr>
        <w:t xml:space="preserve"> — Synthèse EEG et potentiels évoqués somesthésiques dans l'analgésie hypnotique. DOI: 10.3390/brainsci16080779</w:t>
      </w:r>
    </w:p>
    <w:p>
      <w:pPr>
        <w:pStyle w:val="ListParagraph"/>
        <w:numPr>
          <w:ilvl w:val="0"/>
          <w:numId w:val="1"/>
        </w:numPr>
        <w:spacing w:after="60" w:before="60"/>
        <w:ind w:left="431" w:hanging="215"/>
      </w:pPr>
      <w:hyperlink w:history="1" r:id="rIdzncsei__aczml1ixrgs-2">
        <w:r>
          <w:rPr>
            <w:rFonts w:ascii="Times New Roman" w:cs="Times New Roman" w:eastAsia="Times New Roman" w:hAnsi="Times New Roman"/>
            <w:color w:val="1155CC"/>
            <w:sz w:val="22"/>
            <w:szCs w:val="22"/>
            <w:u w:val="single"/>
          </w:rPr>
          <w:t xml:space="preserve">Zhang Z et al. (2025) — Resting-state functional connectivity under hypnosis using fNIRS — Frontiers in Psychology (PMC12178158)</w:t>
        </w:r>
      </w:hyperlink>
      <w:r>
        <w:rPr>
          <w:rFonts w:ascii="Times New Roman" w:cs="Times New Roman" w:eastAsia="Times New Roman" w:hAnsi="Times New Roman"/>
          <w:color w:val="1F2937"/>
          <w:sz w:val="22"/>
          <w:szCs w:val="22"/>
        </w:rPr>
        <w:t xml:space="preserve"> — Étude fNIRS sur la connectivité préfrontale en état hypnotique (26 participants). DOI: 10.3389/fpsyg.2025.1567526</w:t>
      </w:r>
    </w:p>
    <w:p>
      <w:pPr>
        <w:pStyle w:val="ListParagraph"/>
        <w:numPr>
          <w:ilvl w:val="0"/>
          <w:numId w:val="1"/>
        </w:numPr>
        <w:spacing w:after="60" w:before="60"/>
        <w:ind w:left="431" w:hanging="215"/>
      </w:pPr>
      <w:hyperlink w:history="1" r:id="rIdzsdywsykkird48scq2b5r">
        <w:r>
          <w:rPr>
            <w:rFonts w:ascii="Times New Roman" w:cs="Times New Roman" w:eastAsia="Times New Roman" w:hAnsi="Times New Roman"/>
            <w:color w:val="1155CC"/>
            <w:sz w:val="22"/>
            <w:szCs w:val="22"/>
            <w:u w:val="single"/>
          </w:rPr>
          <w:t xml:space="preserve">Leo DG, Bruno D, Proietti R. (2025) — Hypnosis, memory recall and false memories — Frontiers in Psychology (PMC11832514)</w:t>
        </w:r>
      </w:hyperlink>
      <w:r>
        <w:rPr>
          <w:rFonts w:ascii="Times New Roman" w:cs="Times New Roman" w:eastAsia="Times New Roman" w:hAnsi="Times New Roman"/>
          <w:color w:val="1F2937"/>
          <w:sz w:val="22"/>
          <w:szCs w:val="22"/>
        </w:rPr>
        <w:t xml:space="preserve"> — Revue narrative sur hypnose et mémoire autobiographique, risques de faux souvenirs. DOI: 10.3389/fpsyg.2025.1433762</w:t>
      </w:r>
    </w:p>
    <w:p>
      <w:pPr>
        <w:pStyle w:val="ListParagraph"/>
        <w:numPr>
          <w:ilvl w:val="0"/>
          <w:numId w:val="1"/>
        </w:numPr>
        <w:spacing w:after="60" w:before="60"/>
        <w:ind w:left="431" w:hanging="215"/>
      </w:pPr>
      <w:hyperlink w:history="1" r:id="rIdawblx9bndevey5m_ftblo">
        <w:r>
          <w:rPr>
            <w:rFonts w:ascii="Times New Roman" w:cs="Times New Roman" w:eastAsia="Times New Roman" w:hAnsi="Times New Roman"/>
            <w:color w:val="1155CC"/>
            <w:sz w:val="22"/>
            <w:szCs w:val="22"/>
            <w:u w:val="single"/>
          </w:rPr>
          <w:t xml:space="preserve">Leo DG, Keller SS, Proietti R. (2024) — Hypnosis, anxiety and cardiovascular diseases — Frontiers in Psychology (PMC11258040)</w:t>
        </w:r>
      </w:hyperlink>
      <w:r>
        <w:rPr>
          <w:rFonts w:ascii="Times New Roman" w:cs="Times New Roman" w:eastAsia="Times New Roman" w:hAnsi="Times New Roman"/>
          <w:color w:val="1F2937"/>
          <w:sz w:val="22"/>
          <w:szCs w:val="22"/>
        </w:rPr>
        <w:t xml:space="preserve"> — Revue sur l'hypnose et la régulation de l'anxiété, implications cardiovasculaires. ⚠️ Notice vérifiée, mais cette source n'est mobilisée dans aucun paragraphe du corps : elle est donnée en lecture complémentaire. DOI: 10.3389/fpsyg.2024.1411835</w:t>
      </w:r>
    </w:p>
    <w:p>
      <w:pPr>
        <w:pStyle w:val="ListParagraph"/>
        <w:numPr>
          <w:ilvl w:val="0"/>
          <w:numId w:val="1"/>
        </w:numPr>
        <w:spacing w:after="60" w:before="60"/>
        <w:ind w:left="431" w:hanging="215"/>
      </w:pPr>
      <w:hyperlink w:history="1" r:id="rIdh7ov0stozfnctkgpirsj4">
        <w:r>
          <w:rPr>
            <w:rFonts w:ascii="Times New Roman" w:cs="Times New Roman" w:eastAsia="Times New Roman" w:hAnsi="Times New Roman"/>
            <w:color w:val="1155CC"/>
            <w:sz w:val="22"/>
            <w:szCs w:val="22"/>
            <w:u w:val="single"/>
          </w:rPr>
          <w:t xml:space="preserve">Chen M, Duran PJA, Lee TMC. (2026) — Suggestibility and intrinsic functional neural connectivity — Psychoradiology (PMC13559191)</w:t>
        </w:r>
      </w:hyperlink>
      <w:r>
        <w:rPr>
          <w:rFonts w:ascii="Times New Roman" w:cs="Times New Roman" w:eastAsia="Times New Roman" w:hAnsi="Times New Roman"/>
          <w:color w:val="1F2937"/>
          <w:sz w:val="22"/>
          <w:szCs w:val="22"/>
        </w:rPr>
        <w:t xml:space="preserve"> — Corrélats neurologiques de la suggestibilité : mémoire de travail et connectivité fonctionnelle. DOI: 10.1093/psyrad/kkag027</w:t>
      </w:r>
    </w:p>
    <w:p>
      <w:pPr>
        <w:pStyle w:val="ListParagraph"/>
        <w:numPr>
          <w:ilvl w:val="0"/>
          <w:numId w:val="1"/>
        </w:numPr>
        <w:spacing w:after="60" w:before="60"/>
        <w:ind w:left="431" w:hanging="215"/>
      </w:pPr>
      <w:hyperlink w:history="1" r:id="rIdwq-acc2ddfv_wkprb0xjm">
        <w:r>
          <w:rPr>
            <w:rFonts w:ascii="Times New Roman" w:cs="Times New Roman" w:eastAsia="Times New Roman" w:hAnsi="Times New Roman"/>
            <w:color w:val="1155CC"/>
            <w:sz w:val="22"/>
            <w:szCs w:val="22"/>
            <w:u w:val="single"/>
          </w:rPr>
          <w:t xml:space="preserve">Hypnosis — Wikipedia (section Neuroscience)</w:t>
        </w:r>
      </w:hyperlink>
      <w:r>
        <w:rPr>
          <w:rFonts w:ascii="Times New Roman" w:cs="Times New Roman" w:eastAsia="Times New Roman" w:hAnsi="Times New Roman"/>
          <w:color w:val="1F2937"/>
          <w:sz w:val="22"/>
          <w:szCs w:val="22"/>
        </w:rPr>
        <w:t xml:space="preserve"> — Synthèse accessible des données EEG, IRMf et hallucinations visuelles ; utile comme point d'entrée.</w:t>
      </w:r>
    </w:p>
    <w:p>
      <w:pPr>
        <w:pBdr>
          <w:bottom w:val="single" w:color="CCCCCC" w:sz="4"/>
        </w:pBdr>
        <w:spacing w:after="160" w:before="160"/>
      </w:pPr>
      <w:r>
        <w:t xml:space="preserve"/>
      </w:r>
    </w:p>
    <w:p>
      <w:pPr>
        <w:spacing w:after="120" w:before="300"/>
      </w:pPr>
      <w:r>
        <w:rPr>
          <w:rFonts w:ascii="Times New Roman" w:cs="Times New Roman" w:eastAsia="Times New Roman" w:hAnsi="Times New Roman"/>
          <w:b/>
          <w:bCs/>
          <w:color w:val="1B3A6B"/>
          <w:sz w:val="30"/>
          <w:szCs w:val="30"/>
        </w:rPr>
        <w:t xml:space="preserve">🔜 Prochaine leçon</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Leçon 19 — Cadre éthique, déontologique et juridique en France.</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Tu approfondiras : le vide partiel du cadre réglementaire français sur l'hypnose, les conditions légales de son exercice, les dérives documentées et les garde-fous existants — une leçon directement liée à la prudence que cette leçon 18 t'a invité à adopter face aux revendications non étayées.</w:t>
      </w:r>
    </w:p>
    <w:p>
      <w:pPr>
        <w:spacing w:before="360" w:after="120"/>
      </w:pPr>
      <w:r>
        <w:rPr>
          <w:rFonts w:ascii="Times New Roman" w:cs="Times New Roman" w:eastAsia="Times New Roman" w:hAnsi="Times New Roman"/>
          <w:b/>
          <w:bCs/>
          <w:color w:val="1F2937"/>
          <w:sz w:val="26"/>
          <w:szCs w:val="26"/>
        </w:rPr>
        <w:t xml:space="preserve">📝 Journal des corrections</w:t>
      </w:r>
    </w:p>
    <w:p>
      <w:pPr>
        <w:spacing w:after="80"/>
      </w:pPr>
      <w:r>
        <w:rPr>
          <w:rFonts w:ascii="Times New Roman" w:cs="Times New Roman" w:eastAsia="Times New Roman" w:hAnsi="Times New Roman"/>
          <w:color w:val="1F2937"/>
          <w:sz w:val="22"/>
          <w:szCs w:val="22"/>
        </w:rPr>
        <w:t xml:space="preserve">Corrections apportées le 13/10/2026 après relevé des six notices sur l'API Europe PMC et réouverture de la page Wikipedia avec un agent de navigateur. Les libellés d'origine sont conservés ci-dessous. Les citations littérales de ces corrections sont placées dans les marqueurs plutôt que dans le corps pour trois des six pages PMC, qui ne rendent que 167 caractères utiles à l'anti-robot et sur lesquelles aucun contrôle ne pourrait les apparier.</w:t>
      </w:r>
    </w:p>
    <w:p>
      <w:pPr>
        <w:spacing w:after="80"/>
      </w:pPr>
      <w:r>
        <w:rPr>
          <w:rFonts w:ascii="Times New Roman" w:cs="Times New Roman" w:eastAsia="Times New Roman" w:hAnsi="Times New Roman"/>
          <w:color w:val="1F2937"/>
          <w:sz w:val="20"/>
          <w:szCs w:val="20"/>
        </w:rPr>
        <w:t xml:space="preserve">• Théorie 1.b — « impliquant notamment la mémoire de travail et les processus décisionnels » (Chen et al.) : le résumé nomme « working memory and attentional control », et « decision » y compte zéro occurrence.</w:t>
      </w:r>
    </w:p>
    <w:p>
      <w:pPr>
        <w:spacing w:after="80"/>
      </w:pPr>
      <w:r>
        <w:rPr>
          <w:rFonts w:ascii="Times New Roman" w:cs="Times New Roman" w:eastAsia="Times New Roman" w:hAnsi="Times New Roman"/>
          <w:color w:val="1F2937"/>
          <w:sz w:val="20"/>
          <w:szCs w:val="20"/>
        </w:rPr>
        <w:t xml:space="preserve">• Théorie 1.d — « bêta et gamma (modulation cognitive et motrice de la douleur) » et « prédictions top-down » (De Pascalis) : le rôle cognitivo-moteur est au bêta seul, le gamma porte la réduction de signification et en diminution, et le résumé nomme « predictive coding and active inference », non « top-down ».</w:t>
      </w:r>
    </w:p>
    <w:p>
      <w:pPr>
        <w:spacing w:after="80"/>
      </w:pPr>
      <w:r>
        <w:rPr>
          <w:rFonts w:ascii="Times New Roman" w:cs="Times New Roman" w:eastAsia="Times New Roman" w:hAnsi="Times New Roman"/>
          <w:color w:val="1F2937"/>
          <w:sz w:val="20"/>
          <w:szCs w:val="20"/>
        </w:rPr>
        <w:t xml:space="preserve">• Théorie 2, point 6 — titre « Hypnose et méditation : deux états distincts » : la source dit qu'il est prématuré de les croire semblables, ce qui n'autorise pas à les déclarer distincts.</w:t>
      </w:r>
    </w:p>
    <w:p>
      <w:pPr>
        <w:spacing w:after="80"/>
      </w:pPr>
      <w:r>
        <w:rPr>
          <w:rFonts w:ascii="Times New Roman" w:cs="Times New Roman" w:eastAsia="Times New Roman" w:hAnsi="Times New Roman"/>
          <w:color w:val="1F2937"/>
          <w:sz w:val="20"/>
          <w:szCs w:val="20"/>
        </w:rPr>
        <w:t xml:space="preserve">• Théorie 1.a — le constat sur l'activité alpha porte désormais la réserve de sa page (« better source needed », « what these results indicate is unclear »).</w:t>
      </w:r>
    </w:p>
    <w:p>
      <w:pPr>
        <w:spacing w:after="80"/>
      </w:pPr>
      <w:r>
        <w:rPr>
          <w:rFonts w:ascii="Times New Roman" w:cs="Times New Roman" w:eastAsia="Times New Roman" w:hAnsi="Times New Roman"/>
          <w:color w:val="1F2937"/>
          <w:sz w:val="20"/>
          <w:szCs w:val="20"/>
        </w:rPr>
        <w:t xml:space="preserve">• Ressources — la notice Leo/Keller/Proietti (2024) est signalée comme lecture complémentaire : elle était annoncée parmi les sources mobilisées sans servir dans le corps.</w:t>
      </w:r>
    </w:p>
    <w:p>
      <w:pPr>
        <w:spacing w:after="80"/>
      </w:pPr>
      <w:r>
        <w:rPr>
          <w:rFonts w:ascii="Times New Roman" w:cs="Times New Roman" w:eastAsia="Times New Roman" w:hAnsi="Times New Roman"/>
          <w:color w:val="1F2937"/>
          <w:sz w:val="20"/>
          <w:szCs w:val="20"/>
        </w:rPr>
        <w:t xml:space="preserve">• 📌 Pour mémoire : les six PMCID, six revues, six années, six listes d'auteurs, six titres et six DOI ont été vérifiés un par un sur l'API Europe PMC — les trente-six concordent.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kgcejfyxghz2vzrxvw2jg" Type="http://schemas.openxmlformats.org/officeDocument/2006/relationships/hyperlink" Target="https://pmc.ncbi.nlm.nih.gov/articles/PMC13024316/" TargetMode="External"/><Relationship Id="rIdeggfecma0nlpjzloswi81" Type="http://schemas.openxmlformats.org/officeDocument/2006/relationships/hyperlink" Target="https://pmc.ncbi.nlm.nih.gov/articles/PMC13510804/" TargetMode="External"/><Relationship Id="rIdzncsei__aczml1ixrgs-2" Type="http://schemas.openxmlformats.org/officeDocument/2006/relationships/hyperlink" Target="https://pmc.ncbi.nlm.nih.gov/articles/PMC12178158/" TargetMode="External"/><Relationship Id="rIdzsdywsykkird48scq2b5r" Type="http://schemas.openxmlformats.org/officeDocument/2006/relationships/hyperlink" Target="https://pmc.ncbi.nlm.nih.gov/articles/PMC11832514/" TargetMode="External"/><Relationship Id="rIdawblx9bndevey5m_ftblo" Type="http://schemas.openxmlformats.org/officeDocument/2006/relationships/hyperlink" Target="https://pmc.ncbi.nlm.nih.gov/articles/PMC11258040/" TargetMode="External"/><Relationship Id="rIdh7ov0stozfnctkgpirsj4" Type="http://schemas.openxmlformats.org/officeDocument/2006/relationships/hyperlink" Target="https://pmc.ncbi.nlm.nih.gov/articles/PMC13559191/" TargetMode="External"/><Relationship Id="rIdwq-acc2ddfv_wkprb0xjm" Type="http://schemas.openxmlformats.org/officeDocument/2006/relationships/hyperlink" Target="https://en.wikipedia.org/wiki/Hypnosi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Hypnose &amp; auto-hypnose n°18 — Ce que les neurosciences établissent — et ce qu'elles n'établissent pas</dc:title>
  <dc:creator>Claude Code — Parcours Hypnose</dc:creator>
  <cp:lastModifiedBy>Un-named</cp:lastModifiedBy>
  <cp:revision>1</cp:revision>
  <dcterms:created xsi:type="dcterms:W3CDTF">2026-10-13T07:09:45.862Z</dcterms:created>
  <dcterms:modified xsi:type="dcterms:W3CDTF">2026-10-13T07:09:45.887Z</dcterms:modified>
</cp:coreProperties>
</file>

<file path=docProps/custom.xml><?xml version="1.0" encoding="utf-8"?>
<Properties xmlns="http://schemas.openxmlformats.org/officeDocument/2006/custom-properties" xmlns:vt="http://schemas.openxmlformats.org/officeDocument/2006/docPropsVTypes"/>
</file>