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 quotidien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Date : 13 juin 2026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D97706"/>
          <w:sz w:val="30"/>
          <w:szCs w:val="30"/>
        </w:rPr>
        <w:t xml:space="preserve">🟡 Niveau d'alerte : À surveiller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Sources directes : 4/7 | Fallback WebSearch : 3/7 (corrigé le 12/09/2026 — voir le journal des corrections)</w:t>
      </w:r>
    </w:p>
    <w:p>
      <w:pPr>
        <w:pBdr>
          <w:bottom w:color="CCCCCC" w:sz="1" w:space="1"/>
        </w:pBdr>
        <w:spacing w:after="200" w:before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 du jour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 Act enforcement gets independent expert support (1 juin 2026) — L'UE mobilise des experts indépendants pour renforcer l'application du règlement AI Act dans les États membres.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Notes AIGG Europe 2026 (10 juin) — La conférence de gouvernance IA révèle des défis concrets d'implémentation : normes techniques, conformité distribuée, rôle des DPO dans la chaîne 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CADA (Cloud and AI Development Act) : analyses critiques IAPP (11 juin) — Le projet législatif UE sur la souveraineté cloud/IA reçoit des évaluations mitigées : ambition forte, mais fondations fragiles selon les experts.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Code de pratique UE sur le marquage IA (10 juin 2026) — Outil volontaire de conformité Art. 50 publié ; date limite de signature : 22 juillet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Partenariat numérique UE-Brésil (12 juin 2026) — Cooperation internationale sur la régulation de l'IA.</w:t>
      </w:r>
    </w:p>
    <w:p>
      <w:pPr>
        <w:pBdr>
          <w:bottom w:color="CCCCCC" w:sz="1" w:space="1"/>
        </w:pBdr>
        <w:spacing w:after="200" w:before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22 juillet 2026 — Signature du Code de pratique sur le marquage des contenus IA générés (Art. 50 AI Act).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août 2026 — Application de l'AI Act : IA générative (GPAI), obligations de transparence (Art. 50), sandboxes nationales à établir dans chaque État membre, systèmes haut risque Annexe III.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2026 — Marquage machine-readable obligatoire pour les IA génératives déjà sur le marché ; nouvelles interdictions (nudification non consentie, CSAM).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2027 — Conformité systèmes IA à haut risque stand-alone (report Omnibus VII — mai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août 2028 — Règles pour l'IA intégrée dans des produits réglementés (ascenseurs, dispositifs médicaux, jouets, machines).</w:t>
      </w:r>
    </w:p>
    <w:p>
      <w:pPr>
        <w:pBdr>
          <w:bottom w:color="CCCCCC" w:sz="1" w:space="1"/>
        </w:pBdr>
        <w:spacing w:after="200" w:before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Actualité officielle UE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Commission européenne — digital-strategy.ec.europa.eu ✅</w:t>
      </w:r>
    </w:p>
    <w:p>
      <w:pPr>
        <w:spacing w:after="40"/>
      </w:pPr>
      <w:hyperlink w:history="1" r:id="rIdy7c9u6umco2ltpp7op9xa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AI Act enforcement gets independent expert support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1 juin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L'UE renforce ses mécanismes d'application en mobilisant des experts indépendants pour assister la mise en œuvre et le suivi de conformité AI Act. Signal fort : la Commission anticipe des difficultés d'application uniformes dans les 27 États membres.</w:t>
      </w:r>
    </w:p>
    <w:p>
      <w:pPr>
        <w:spacing w:after="40"/>
      </w:pPr>
      <w:hyperlink w:history="1" r:id="rIdgn8xzuvnpassplpe3ognm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Commission publishes Code of Practice on marking and labelling AI-generated content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10 juin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Outil de conformité volontaire pour guider les fournisseurs dans la divulgation des contenus générés par IA (deepfakes, médias synthétiques). Couvre les obligations de transparence Art. 50.</w:t>
      </w:r>
    </w:p>
    <w:p>
      <w:pPr>
        <w:spacing w:after="40"/>
      </w:pPr>
      <w:hyperlink w:history="1" r:id="rIdu_xg6im1x-eaxmuzwvbd4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EU and Brazil deepen ties through Digital Partnership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12 juin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Accord de partenariat numérique UE-Brésil, incluant la coopération sur la gouvernance de l'IA.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Conseil de l'UE — consilium.europa.eu ⛔ (403 → données via WebSearch)</w:t>
      </w:r>
    </w:p>
    <w:p>
      <w:pPr>
        <w:spacing w:after="40"/>
      </w:pPr>
      <w:hyperlink w:history="1" r:id="rIdiqe-imliergq3yahzt7th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Council and Parliament agree to simplify and streamline rules on AI (Omnibus VII)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7 mai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Accord provisoire Omnibus VII : report high-risk stand-alone au 2 déc. 2027, systèmes embarqués au 2 août 2028. Nouvelle interdiction : IA générant CSAM ou contenu intime non consenti.</w:t>
      </w:r>
    </w:p>
    <w:p>
      <w:pPr>
        <w:pBdr>
          <w:bottom w:color="CCCCCC" w:sz="1" w:space="1"/>
        </w:pBdr>
        <w:spacing w:after="200" w:before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📰 Analyses &amp; Gouvernance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IAPP — iapp.org ✅</w:t>
      </w:r>
    </w:p>
    <w:p>
      <w:pPr>
        <w:spacing w:after="40"/>
      </w:pPr>
      <w:hyperlink w:history="1" r:id="rIdfxgbizgkf4o6hba0o4ttp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Notes from the AI Governance Center: Key issues tackled at AIGG Europe 2026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10 juin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Retour sur AIGG Europe 2026 : défis d'implémentation AI Act, gouvernance de l'innovation distribuée, rôle critique des standards techniques (CEN/CENELEC) pour la conformité — point d'attention pour les déployeurs.</w:t>
      </w:r>
    </w:p>
    <w:p>
      <w:pPr>
        <w:spacing w:after="40"/>
      </w:pPr>
      <w:hyperlink w:history="1" r:id="rIdgk3r6m1qwm7h8sl4temxy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Europe's Cloud and AI Development Act: Grand ambition, fragile foundations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11 juin 2026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  [Corrigé le 25/10/2026 : adresse fautive d'un seul caractère, corrigée. L'adresse citée portait le slug « europes- » quand l'IAPP publie « europe-s- » : elle rend HTTP 404 et ne figure dans aucun instantané de la Wayback Machine, alors que iapp.org/news/a/ y est largement moissonné. Le titre et la date du 11 juin 2026 sont exacts, et l'article répond HTTP 200 à son adresse réelle le 25/10/2026]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Analyse critique du CADA : niveaux de souveraineté cloud proposés, risque que les exigences dépassent les capacités réelles du marché, impact sur les fournisseurs de solutions cloud utilisées dans les ESSMS.</w:t>
      </w:r>
    </w:p>
    <w:p>
      <w:pPr>
        <w:spacing w:after="40"/>
      </w:pPr>
      <w:hyperlink w:history="1" r:id="rId512ax54ulrexik2hb6pls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A view from Brussels: Why the CADA sovereignty proposal deserves attention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11 juin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Le CADA introduit des niveaux d'assurance impactant le screening fournisseurs, les transferts de données et l'entraînement des modèles IA — à surveiller pour les contrats cloud des structures médico-sociales.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Future of Life Institute — artificialintelligenceact.eu ⛔ (JS non rendu → WebSearch)</w:t>
      </w:r>
    </w:p>
    <w:p>
      <w:pPr>
        <w:spacing w:after="40"/>
      </w:pPr>
      <w:hyperlink w:history="1" r:id="rIdobvioydnrpf-crsnhzgc3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What providers and deployers must do by August 2026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14 mai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Synthèse des obligations concrètes à remplir avant l'échéance d'août 2026 pour fournisseurs et déployeurs de systèmes IA.</w:t>
      </w:r>
    </w:p>
    <w:p>
      <w:pPr>
        <w:spacing w:after="40"/>
      </w:pPr>
      <w:hyperlink w:history="1" r:id="rIdi8yv_qkucxytb6th-lmjk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The EU AI Act's Transparency Rules: A Practical Guide to Article 50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mars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Guide pratique sur les obligations de transparence (Art. 50), notamment pour les systèmes IA en contact avec des utilisateurs finaux (chatbots, assistants vocaux).</w:t>
      </w:r>
    </w:p>
    <w:p>
      <w:pPr>
        <w:pBdr>
          <w:bottom w:color="CCCCCC" w:sz="1" w:space="1"/>
        </w:pBdr>
        <w:spacing w:after="200" w:before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🇫🇷 Perspective française (CNIL/RGPD)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CNIL — cnil.fr/fr/intelligence-artificielle ✅</w:t>
      </w:r>
    </w:p>
    <w:p>
      <w:pPr>
        <w:spacing w:after="40"/>
      </w:pPr>
      <w:hyperlink w:history="1" r:id="rIde3grwjnmftlx6juwpqor0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« IA générative et vie privée » : affiche coproduite PIPC/CNIL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27 mai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Affiche pédagogique CNIL/PIPC (Corée du Sud) sur la protection des données personnelles lors de l'usage d'IA générative. Outil de sensibilisation réutilisable pour les équipes.</w:t>
      </w:r>
    </w:p>
    <w:p>
      <w:pPr>
        <w:spacing w:after="40"/>
      </w:pPr>
      <w:hyperlink w:history="1" r:id="rIdl6sll20dsjx6tkvecwpm1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IA conversationnelle et santé mentale des jeunes : résultats enquête européenne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5 mai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9 jeunes sur 10 utilisent une IA conversationnelle ; près d'1 sur 2 y aborde des sujets sensibles (santé mentale, sexualité). Résultats d'une étude menée dans 4 pays européens — enjeux de protection des données vulnérables.</w:t>
      </w:r>
    </w:p>
    <w:p>
      <w:pPr>
        <w:spacing w:after="40"/>
      </w:pPr>
      <w:hyperlink w:history="1" r:id="rIdj5zbbyyzhc1beu8uasr5i">
        <w:r>
          <w:rPr>
            <w:rFonts w:ascii="Calibri" w:cs="Calibri" w:eastAsia="Calibri" w:hAnsi="Calibri"/>
            <w:b/>
            <w:bCs/>
            <w:color w:val="1155CC"/>
            <w:sz w:val="22"/>
            <w:szCs w:val="22"/>
            <w:u w:val="single"/>
          </w:rPr>
          <w:t xml:space="preserve">Projet PANAME : tester un outil d'audit RGPD des modèles d'IA</w:t>
        </w:r>
      </w:hyperlink>
      <w:r>
        <w:rPr>
          <w:rFonts w:ascii="Calibri" w:cs="Calibri" w:eastAsia="Calibri" w:hAnsi="Calibri"/>
          <w:color w:val="444444"/>
          <w:sz w:val="22"/>
          <w:szCs w:val="22"/>
        </w:rPr>
        <w:t xml:space="preserve"> — 26 févr.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Appel à testeurs pour PANAME, outil d'audit RGPD des modèles IA développé avec ANSSI, PEReN et Inria — pertinent pour les structures envisageant un audit de conformité IA.</w:t>
      </w:r>
    </w:p>
    <w:p>
      <w:pPr>
        <w:pBdr>
          <w:bottom w:color="CCCCCC" w:sz="1" w:space="1"/>
        </w:pBdr>
        <w:spacing w:after="200" w:before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Échéance 2 août 2026 — CRITIQUE : les systèmes IA utilisés dans les foyers (aide à la décision, analyse comportementale, DUI, outils d'orientation) entrent dans le champ des systèmes à haut risque Annexe III s'ils concernent des personnes vulnérables. Inventaire et classification à réaliser d'urgence.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Transparence Art. 50 — Toute IA en contact direct avec les personnes accompagnées (chatbots, assistants, outils de communication augmentative) doit faire l'objet d'une information claire à l'usager. À intégrer dans les pratiques professionnelles et les contrats de séjour.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CADA / Cloud — Les fournisseurs de solutions numériques médico-sociales (DUI, logiciels de planification) hébergés sur cloud seront impactés par les niveaux d'assurance CADA. Anticiper lors des renouvellements de marché.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Formation des équipes — L'obligation de littératie IA (Art. 4 AI Act) est applicable depuis le 2 février 2025. Former les professionnels à identifier les systèmes IA présents dans leur pratique quotidienne.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Experts enforcement — La mobilisation d'experts indépendants par l'UE signale un renforcement progressif des contrôles. Les ESSMS utilisateurs de systèmes IA doivent disposer d'une documentation de conformité.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Enquête CNIL jeunes — Bien que centrée sur les mineurs, les résultats alertent sur les usages d'IA conversationnelle par des personnes vulnérables (personnes handicapées psychiques) : vigilance sur les données sensibles partagées.</w:t>
      </w:r>
    </w:p>
    <w:p>
      <w:pPr>
        <w:pBdr>
          <w:bottom w:color="CCCCCC" w:sz="1" w:space="1"/>
        </w:pBdr>
        <w:spacing w:after="200" w:before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s5-loc0n1niu94tky8rf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1. digital-strategy.ec.europa.eu — Commission européenne IA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✅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0ghflhpgfnlatohvjud2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2. ai-act-service-desk.ec.europa.eu — Timeline officielle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✅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5x6kffzmlszrh6pqtmbp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3. consilium.europa.eu — Communiqués Conseil UE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⛔ (403 → WebSearch)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cqagcfqrhi2mfxp8mrf6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4. artificialintelligenceact.eu — Future of Life Institute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⛔ (JS → WebSearch)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j8ov2lgbuvnbkysykyjm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5. artificialintelligenceact.eu/implementation-timeline/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⛔ (JS → WebSearch)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tbtxzxtouft08dx3qqze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6. iapp.org/news/ — IAPP Gouvernance IA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✅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5_winqoj0px3n7j-p9p1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7. cnil.fr/fr/intelligence-artificielle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✅</w:t>
      </w:r>
    </w:p>
    <w:p>
      <w:pPr>
        <w:pBdr>
          <w:bottom w:color="CCCCCC" w:sz="1" w:space="1"/>
        </w:pBdr>
        <w:spacing w:after="200" w:before="200"/>
      </w:pP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Adoption formelle de l'accord Omnibus VII par le Parlement européen (vote en plénière attendu).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Signature du Code de pratique sur le marquage AI — date limite 22 juillet 2026 (J-39).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Publication des normes techniques CEN/CENELEC pour les systèmes haut risque (référence pour la conformité août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Avancement du CADA : audition au Parlement européen sur les niveaux de souveraineté cloud.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Table ronde G7 des DPA à Paris (23-26 juin 2026) — conclusions attendues sur la gouvernance IA et les données.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Décompte des sources corrigé le 12/09/2026, au cours d'un contrôle des 85 veilles du dépôt (outils/scripts/controle_decompte.py). Le contenu de la note est inchangé ; seuls les nombres annoncés ont été alignés sur la liste des sources qu'elle contient. Formulation d'origine conservée ici.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Version initiale : « Sources directes : 3/7 | Fallback WebSearch : 4/7 » en en-tête et « 3/7 directes + 4/7 WebSearch » en pied de note. La liste Sources du jour compte quatre ✅ (Commission, Service Desk, IAPP, CNIL) et trois ⛔ passées par WebSearch (Conseil, artificialintelligenceact.eu × 2) : les deux nombres étaient inversés.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Produit le 13 juin 2026 — Job automatique ai-act-veille — Sources consultées : 4/7 directes + 3/7 WebSearch (corrigé le 12/09/2026 — voir le journal des corrections)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relue le 25/10/2026 au cours du balayage des 1 351 adresses citées par les 295 documents du dépôt — 8 rendaient HTTP 404 et 2 avaient un domaine qui ne résout plus. Contenu inchangé : seules des adresses de ressource sont touchées.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Adresse d'origine conservée ici : « iapp.org/news/a/europes-cloud-and-ai-development-act-grand-ambition-fragile-foundations » rendait HTTP 404. Le slug publié par l'IAPP est « europe-s- » et non « europes- » : l'adresse était fautive dès l'écriture de la note, et non périmée. Titre et date inchangés, car exacts. Lien repointé, HTTP 200 le 25/10/2026.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7c9u6umco2ltpp7op9xa" Type="http://schemas.openxmlformats.org/officeDocument/2006/relationships/hyperlink" Target="https://digital-strategy.ec.europa.eu/en/news/ai-act-enforcement-gets-independent-expert-support" TargetMode="External"/><Relationship Id="rIdgn8xzuvnpassplpe3ognm" Type="http://schemas.openxmlformats.org/officeDocument/2006/relationships/hyperlink" Target="https://digital-strategy.ec.europa.eu/en/news/commission-publishes-code-practice-marking-and-labelling-ai-generated-content" TargetMode="External"/><Relationship Id="rIdu_xg6im1x-eaxmuzwvbd4" Type="http://schemas.openxmlformats.org/officeDocument/2006/relationships/hyperlink" Target="https://digital-strategy.ec.europa.eu/en/news/eu-and-brazil-deepen-ties-through-digital-partnership" TargetMode="External"/><Relationship Id="rIdiqe-imliergq3yahzt7th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fxgbizgkf4o6hba0o4ttp" Type="http://schemas.openxmlformats.org/officeDocument/2006/relationships/hyperlink" Target="https://iapp.org/news/a/notes-from-the-ai-governance-center-the-key-ai-governance-issues-tackled-at-aigg-europe-2026" TargetMode="External"/><Relationship Id="rIdgk3r6m1qwm7h8sl4temxy" Type="http://schemas.openxmlformats.org/officeDocument/2006/relationships/hyperlink" Target="https://iapp.org/news/a/europe-s-cloud-and-ai-development-act-grand-ambition-fragile-foundations" TargetMode="External"/><Relationship Id="rId512ax54ulrexik2hb6pls" Type="http://schemas.openxmlformats.org/officeDocument/2006/relationships/hyperlink" Target="https://iapp.org/news/a/a-view-from-brussels-why-the-cada-sovereignty-proposal-deserves-attention" TargetMode="External"/><Relationship Id="rIdobvioydnrpf-crsnhzgc3" Type="http://schemas.openxmlformats.org/officeDocument/2006/relationships/hyperlink" Target="https://artificialintelligenceact.eu/ai-act-implementation-next-steps/" TargetMode="External"/><Relationship Id="rIdi8yv_qkucxytb6th-lmjk" Type="http://schemas.openxmlformats.org/officeDocument/2006/relationships/hyperlink" Target="https://artificialintelligenceact.eu/transparency-rules-article-50/" TargetMode="External"/><Relationship Id="rIde3grwjnmftlx6juwpqor0" Type="http://schemas.openxmlformats.org/officeDocument/2006/relationships/hyperlink" Target="https://www.cnil.fr/fr/ia-generative-et-vie-privee-affiche-coproduite-pipc-cnil" TargetMode="External"/><Relationship Id="rIdl6sll20dsjx6tkvecwpm1" Type="http://schemas.openxmlformats.org/officeDocument/2006/relationships/hyperlink" Target="https://www.cnil.fr/fr/ia-conversationnelle-et-sante-mentale-des-jeunes-resultats-de-lenquete-europeenne" TargetMode="External"/><Relationship Id="rIdj5zbbyyzhc1beu8uasr5i" Type="http://schemas.openxmlformats.org/officeDocument/2006/relationships/hyperlink" Target="https://www.cnil.fr/fr/projet-paname-participez-aux-tests-dun-outil-daudit-rgpd-des-modeles-dia" TargetMode="External"/><Relationship Id="rIds5-loc0n1niu94tky8rfa" Type="http://schemas.openxmlformats.org/officeDocument/2006/relationships/hyperlink" Target="https://digital-strategy.ec.europa.eu/en/policies/regulatory-framework-ai" TargetMode="External"/><Relationship Id="rId0ghflhpgfnlatohvjud2n" Type="http://schemas.openxmlformats.org/officeDocument/2006/relationships/hyperlink" Target="https://ai-act-service-desk.ec.europa.eu/en/ai-act/timeline/timeline-implementation-eu-ai-act" TargetMode="External"/><Relationship Id="rId5x6kffzmlszrh6pqtmbpj" Type="http://schemas.openxmlformats.org/officeDocument/2006/relationships/hyperlink" Target="https://www.consilium.europa.eu/en/press/press-releases/" TargetMode="External"/><Relationship Id="rIdcqagcfqrhi2mfxp8mrf6b" Type="http://schemas.openxmlformats.org/officeDocument/2006/relationships/hyperlink" Target="https://artificialintelligenceact.eu/" TargetMode="External"/><Relationship Id="rIdj8ov2lgbuvnbkysykyjmj" Type="http://schemas.openxmlformats.org/officeDocument/2006/relationships/hyperlink" Target="https://artificialintelligenceact.eu/implementation-timeline/" TargetMode="External"/><Relationship Id="rIdtbtxzxtouft08dx3qqze2" Type="http://schemas.openxmlformats.org/officeDocument/2006/relationships/hyperlink" Target="https://iapp.org/news/" TargetMode="External"/><Relationship Id="rId5_winqoj0px3n7j-p9p1h" Type="http://schemas.openxmlformats.org/officeDocument/2006/relationships/hyperlink" Target="https://www.cnil.fr/fr/intelligence-artificielle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2026-06-13T05:07:00.664Z</dcterms:created>
  <dcterms:modified xsi:type="dcterms:W3CDTF">2026-06-13T05:07:00.678Z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