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1B3A6B"/>
          <w:sz w:val="40"/>
          <w:szCs w:val="40"/>
        </w:rPr>
        <w:t xml:space="preserve">Veille SERAFIN-PH — Synthèse hebdomadaire</w:t>
      </w:r>
    </w:p>
    <w:p>
      <w:pPr>
        <w:spacing w:after="80" w:before="0"/>
        <w:jc w:val="center"/>
      </w:pPr>
      <w:r>
        <w:rPr>
          <w:rFonts w:ascii="Calibri" w:cs="Calibri" w:eastAsia="Calibri" w:hAnsi="Calibri"/>
          <w:color w:val="6B7280"/>
          <w:sz w:val="24"/>
          <w:szCs w:val="24"/>
        </w:rPr>
        <w:t xml:space="preserve">22 juillet 2026</w:t>
      </w:r>
    </w:p>
    <w:p>
      <w:pPr>
        <w:spacing w:after="80" w:before="0"/>
        <w:jc w:val="center"/>
      </w:pPr>
      <w:r>
        <w:rPr>
          <w:rFonts w:ascii="Calibri" w:cs="Calibri" w:eastAsia="Calibri" w:hAnsi="Calibri"/>
          <w:i/>
          <w:iCs/>
          <w:color w:val="6B7280"/>
          <w:sz w:val="20"/>
          <w:szCs w:val="20"/>
        </w:rPr>
        <w:t xml:space="preserve">Fenêtre de veille : 15 juillet 2026 → 22 juillet 2026</w:t>
      </w:r>
    </w:p>
    <w:p>
      <w:pPr>
        <w:spacing w:after="0" w:before="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42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Source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URL</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Statut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Contribution</w:t>
            </w:r>
          </w:p>
        </w:tc>
      </w:tr>
      <w:tr>
        <w:tc>
          <w:tcPr>
            <w:tcMar>
              <w:top w:type="dxa" w:w="60"/>
              <w:left w:type="dxa" w:w="100"/>
              <w:bottom w:type="dxa" w:w="60"/>
              <w:right w:type="dxa" w:w="100"/>
            </w:tcMar>
          </w:tcPr>
          <w:p>
            <w:pPr>
              <w:jc w:val="left"/>
            </w:pPr>
            <w:hyperlink w:history="1" r:id="rIdcomite2026">
              <w:r>
                <w:rPr>
                  <w:rFonts w:ascii="Calibri" w:cs="Calibri" w:eastAsia="Calibri" w:hAnsi="Calibri"/>
                  <w:b w:val="false"/>
                  <w:bCs w:val="false"/>
                  <w:sz w:val="20"/>
                  <w:szCs w:val="20"/>
                  <w:color w:val="1155CC"/>
                  <w:u w:val="single"/>
                </w:rPr>
                <w:t xml:space="preserve">handicap.gouv.fr</w:t>
              </w:r>
            </w:hyperlink>
            <w:r>
              <w:rPr>
                <w:rFonts w:ascii="Calibri" w:cs="Calibri" w:eastAsia="Calibri" w:hAnsi="Calibri"/>
                <w:b w:val="false"/>
                <w:bCs w:val="false"/>
                <w:color w:val="1F2937"/>
                <w:sz w:val="20"/>
                <w:szCs w:val="20"/>
              </w:rPr>
              <w:t xml:space="preserve"> — Comité stratégique SERAFIN-PH</w:t>
            </w:r>
          </w:p>
        </w:tc>
        <w:tc>
          <w:tcPr>
            <w:tcMar>
              <w:top w:type="dxa" w:w="60"/>
              <w:left w:type="dxa" w:w="100"/>
              <w:bottom w:type="dxa" w:w="60"/>
              <w:right w:type="dxa" w:w="100"/>
            </w:tcMar>
          </w:tcPr>
          <w:p>
            <w:pPr>
              <w:jc w:val="left"/>
            </w:pPr>
            <w:hyperlink w:history="1" r:id="rIdcomite2026">
              <w:r>
                <w:rPr>
                  <w:rFonts w:ascii="Calibri" w:cs="Calibri" w:eastAsia="Calibri" w:hAnsi="Calibri"/>
                  <w:b w:val="false"/>
                  <w:bCs w:val="false"/>
                  <w:sz w:val="20"/>
                  <w:szCs w:val="20"/>
                  <w:color w:val="1155CC"/>
                  <w:u w:val="single"/>
                </w:rPr>
                <w:t xml:space="preserve">handicap.gouv.fr/…/serafin-ph</w:t>
              </w:r>
            </w:hyperlink>
          </w:p>
        </w:tc>
        <w:tc>
          <w:tcP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Contexte historique (comité juil. 2025) — hors fenêtre → section Rappel</w:t>
            </w:r>
          </w:p>
        </w:tc>
      </w:tr>
      <w:tr>
        <w:tc>
          <w:tcPr>
            <w:shd w:fill="EEF2F7" w:color="auto" w:val="clear"/>
            <w:tcMar>
              <w:top w:type="dxa" w:w="60"/>
              <w:left w:type="dxa" w:w="100"/>
              <w:bottom w:type="dxa" w:w="60"/>
              <w:right w:type="dxa" w:w="100"/>
            </w:tcMar>
          </w:tcPr>
          <w:p>
            <w:pPr>
              <w:jc w:val="left"/>
            </w:pPr>
            <w:hyperlink w:history="1" r:id="rIdcnsa_page2026">
              <w:r>
                <w:rPr>
                  <w:rFonts w:ascii="Calibri" w:cs="Calibri" w:eastAsia="Calibri" w:hAnsi="Calibri"/>
                  <w:b w:val="false"/>
                  <w:bCs w:val="false"/>
                  <w:sz w:val="20"/>
                  <w:szCs w:val="20"/>
                  <w:color w:val="1155CC"/>
                  <w:u w:val="single"/>
                </w:rPr>
                <w:t xml:space="preserve">cnsa.fr</w:t>
              </w:r>
            </w:hyperlink>
            <w:r>
              <w:rPr>
                <w:rFonts w:ascii="Calibri" w:cs="Calibri" w:eastAsia="Calibri" w:hAnsi="Calibri"/>
                <w:b w:val="false"/>
                <w:bCs w:val="false"/>
                <w:color w:val="1F2937"/>
                <w:sz w:val="20"/>
                <w:szCs w:val="20"/>
              </w:rPr>
              <w:t xml:space="preserve"> — Recueil PH 2026 + page principale SERAFIN-PH</w:t>
            </w:r>
          </w:p>
        </w:tc>
        <w:tc>
          <w:tcPr>
            <w:shd w:fill="EEF2F7" w:color="auto" w:val="clear"/>
            <w:tcMar>
              <w:top w:type="dxa" w:w="60"/>
              <w:left w:type="dxa" w:w="100"/>
              <w:bottom w:type="dxa" w:w="60"/>
              <w:right w:type="dxa" w:w="100"/>
            </w:tcMar>
          </w:tcPr>
          <w:p>
            <w:pPr>
              <w:jc w:val="left"/>
            </w:pPr>
            <w:hyperlink w:history="1" r:id="rIdcnsa_page2026">
              <w:r>
                <w:rPr>
                  <w:rFonts w:ascii="Calibri" w:cs="Calibri" w:eastAsia="Calibri" w:hAnsi="Calibri"/>
                  <w:b w:val="false"/>
                  <w:bCs w:val="false"/>
                  <w:sz w:val="20"/>
                  <w:szCs w:val="20"/>
                  <w:color w:val="1155CC"/>
                  <w:u w:val="single"/>
                </w:rPr>
                <w:t xml:space="preserve">cnsa.fr/budget-et-financement/serafin-PH</w:t>
              </w:r>
            </w:hyperlink>
          </w:p>
        </w:tc>
        <w:tc>
          <w:tcPr>
            <w:shd w:fill="EEF2F7" w:color="auto" w:val="clea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Phase actuelle d'export SIDOBA (juil. 2026) → section En cours</w:t>
            </w:r>
          </w:p>
        </w:tc>
      </w:tr>
      <w:tr>
        <w:tc>
          <w:tcPr>
            <w:tcMar>
              <w:top w:type="dxa" w:w="60"/>
              <w:left w:type="dxa" w:w="100"/>
              <w:bottom w:type="dxa" w:w="60"/>
              <w:right w:type="dxa" w:w="100"/>
            </w:tcMar>
          </w:tcPr>
          <w:p>
            <w:pPr>
              <w:jc w:val="left"/>
            </w:pPr>
            <w:hyperlink w:history="1" r:id="rIdatih_champ2026">
              <w:r>
                <w:rPr>
                  <w:rFonts w:ascii="Calibri" w:cs="Calibri" w:eastAsia="Calibri" w:hAnsi="Calibri"/>
                  <w:b w:val="false"/>
                  <w:bCs w:val="false"/>
                  <w:sz w:val="20"/>
                  <w:szCs w:val="20"/>
                  <w:color w:val="1155CC"/>
                  <w:u w:val="single"/>
                </w:rPr>
                <w:t xml:space="preserve">atih.sante.fr</w:t>
              </w:r>
            </w:hyperlink>
            <w:r>
              <w:rPr>
                <w:rFonts w:ascii="Calibri" w:cs="Calibri" w:eastAsia="Calibri" w:hAnsi="Calibri"/>
                <w:b w:val="false"/>
                <w:bCs w:val="false"/>
                <w:color w:val="1F2937"/>
                <w:sz w:val="20"/>
                <w:szCs w:val="20"/>
              </w:rPr>
              <w:t xml:space="preserve"> — Recueil national PH</w:t>
            </w:r>
            <w:r>
              <w:rPr>
                <w:rFonts w:ascii="Calibri" w:cs="Calibri" w:eastAsia="Calibri" w:hAnsi="Calibri"/>
                <w:i/>
                <w:iCs/>
                <w:color w:val="6B7280"/>
                <w:sz w:val="20"/>
                <w:szCs w:val="20"/>
              </w:rPr>
              <w:t xml:space="preserve">   [Corrigé le 25/10/2026 : lien repointé. L'adresse d'origine atih.sante.fr/champ-d-activite/personnes-handicapees rend HTTP 404 le 25/10/2026 (trois essais, faisceau de certificats du dépôt, l'hôte répondant 200 à sa racine) : l'ATIH a réorganisé son site et la branche /champ-d-activite/ a disparu. Le lien pointe désormais « Modalités pour les établissements et services médico-sociaux », la page qui porte aujourd'hui la réforme SERAFIN-PH et les recueils de données PH — « un recueil national en 2025 » y est écrit, vérifié le 25/10/2026. Contenu de la note inchangé]</w:t>
            </w:r>
          </w:p>
        </w:tc>
        <w:tc>
          <w:tcPr>
            <w:tcMar>
              <w:top w:type="dxa" w:w="60"/>
              <w:left w:type="dxa" w:w="100"/>
              <w:bottom w:type="dxa" w:w="60"/>
              <w:right w:type="dxa" w:w="100"/>
            </w:tcMar>
          </w:tcPr>
          <w:p>
            <w:pPr>
              <w:jc w:val="left"/>
            </w:pPr>
            <w:hyperlink w:history="1" r:id="rIdatih_champ2026">
              <w:r>
                <w:rPr>
                  <w:rFonts w:ascii="Calibri" w:cs="Calibri" w:eastAsia="Calibri" w:hAnsi="Calibri"/>
                  <w:b w:val="false"/>
                  <w:bCs w:val="false"/>
                  <w:sz w:val="20"/>
                  <w:szCs w:val="20"/>
                  <w:color w:val="1155CC"/>
                  <w:u w:val="single"/>
                </w:rPr>
                <w:t xml:space="preserve">atih.sante.fr/contribuer-au-financement/modalites-pour-les-etablissements-et-services-medico-sociaux</w:t>
              </w:r>
            </w:hyperlink>
          </w:p>
        </w:tc>
        <w:tc>
          <w:tcPr>
            <w:tcMar>
              <w:top w:type="dxa" w:w="60"/>
              <w:left w:type="dxa" w:w="100"/>
              <w:bottom w:type="dxa" w:w="60"/>
              <w:right w:type="dxa" w:w="100"/>
            </w:tcMar>
          </w:tcPr>
          <w:p>
            <w:pPr>
              <w:jc w:val="center"/>
            </w:pPr>
            <w:r>
              <w:rPr>
                <w:rFonts w:ascii="Calibri" w:cs="Calibri" w:eastAsia="Calibri" w:hAnsi="Calibri"/>
                <w:b/>
                <w:bCs/>
                <w:color w:val="DC2626"/>
                <w:sz w:val="20"/>
                <w:szCs w:val="20"/>
              </w:rPr>
              <w:t xml:space="preserve">⛔ 403 Forbidden</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Non accessible (WebSearch utilisé en complément — extraits exploités)</w:t>
            </w:r>
          </w:p>
        </w:tc>
      </w:tr>
      <w:tr>
        <w:tc>
          <w:tcPr>
            <w:shd w:fill="EEF2F7" w:color="auto" w:val="clear"/>
            <w:tcMar>
              <w:top w:type="dxa" w:w="60"/>
              <w:left w:type="dxa" w:w="100"/>
              <w:bottom w:type="dxa" w:w="60"/>
              <w:right w:type="dxa" w:w="100"/>
            </w:tcMar>
          </w:tcPr>
          <w:p>
            <w:pPr>
              <w:jc w:val="left"/>
            </w:pPr>
            <w:hyperlink w:history="1" r:id="rIdbo2026">
              <w:r>
                <w:rPr>
                  <w:rFonts w:ascii="Calibri" w:cs="Calibri" w:eastAsia="Calibri" w:hAnsi="Calibri"/>
                  <w:b w:val="false"/>
                  <w:bCs w:val="false"/>
                  <w:sz w:val="20"/>
                  <w:szCs w:val="20"/>
                  <w:color w:val="1155CC"/>
                  <w:u w:val="single"/>
                </w:rPr>
                <w:t xml:space="preserve">bulletins-officiels.social.gouv.fr</w:t>
              </w:r>
            </w:hyperlink>
            <w:r>
              <w:rPr>
                <w:rFonts w:ascii="Calibri" w:cs="Calibri" w:eastAsia="Calibri" w:hAnsi="Calibri"/>
                <w:b w:val="false"/>
                <w:bCs w:val="false"/>
                <w:color w:val="1F2937"/>
                <w:sz w:val="20"/>
                <w:szCs w:val="20"/>
              </w:rPr>
              <w:t xml:space="preserve"> — Instruction 2026/80</w:t>
            </w:r>
          </w:p>
        </w:tc>
        <w:tc>
          <w:tcPr>
            <w:shd w:fill="EEF2F7" w:color="auto" w:val="clear"/>
            <w:tcMar>
              <w:top w:type="dxa" w:w="60"/>
              <w:left w:type="dxa" w:w="100"/>
              <w:bottom w:type="dxa" w:w="60"/>
              <w:right w:type="dxa" w:w="100"/>
            </w:tcMar>
          </w:tcPr>
          <w:p>
            <w:pPr>
              <w:jc w:val="left"/>
            </w:pPr>
            <w:hyperlink w:history="1" r:id="rIdbo2026">
              <w:r>
                <w:rPr>
                  <w:rFonts w:ascii="Calibri" w:cs="Calibri" w:eastAsia="Calibri" w:hAnsi="Calibri"/>
                  <w:b w:val="false"/>
                  <w:bCs w:val="false"/>
                  <w:sz w:val="20"/>
                  <w:szCs w:val="20"/>
                  <w:color w:val="1155CC"/>
                  <w:u w:val="single"/>
                </w:rPr>
                <w:t xml:space="preserve">bulletins-officiels.social.gouv.fr/…2026/80…</w:t>
              </w:r>
            </w:hyperlink>
          </w:p>
        </w:tc>
        <w:tc>
          <w:tcPr>
            <w:shd w:fill="EEF2F7" w:color="auto" w:val="clea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Campagne budgétaire 2026 / enveloppes PH → section Rappel</w:t>
            </w:r>
          </w:p>
        </w:tc>
      </w:tr>
      <w:tr>
        <w:tc>
          <w:tcPr>
            <w:tcMar>
              <w:top w:type="dxa" w:w="60"/>
              <w:left w:type="dxa" w:w="100"/>
              <w:bottom w:type="dxa" w:w="60"/>
              <w:right w:type="dxa" w:w="100"/>
            </w:tcMar>
          </w:tcPr>
          <w:p>
            <w:pPr>
              <w:jc w:val="left"/>
            </w:pPr>
            <w:hyperlink w:history="1" r:id="rIdars2026">
              <w:r>
                <w:rPr>
                  <w:rFonts w:ascii="Calibri" w:cs="Calibri" w:eastAsia="Calibri" w:hAnsi="Calibri"/>
                  <w:b w:val="false"/>
                  <w:bCs w:val="false"/>
                  <w:sz w:val="20"/>
                  <w:szCs w:val="20"/>
                  <w:color w:val="1155CC"/>
                  <w:u w:val="single"/>
                </w:rPr>
                <w:t xml:space="preserve">bretagne.ars.sante.fr</w:t>
              </w:r>
            </w:hyperlink>
            <w:r>
              <w:rPr>
                <w:rFonts w:ascii="Calibri" w:cs="Calibri" w:eastAsia="Calibri" w:hAnsi="Calibri"/>
                <w:b w:val="false"/>
                <w:bCs w:val="false"/>
                <w:color w:val="1F2937"/>
                <w:sz w:val="20"/>
                <w:szCs w:val="20"/>
              </w:rPr>
              <w:t xml:space="preserve"> — Page régionale SERAFIN-PH</w:t>
            </w:r>
          </w:p>
        </w:tc>
        <w:tc>
          <w:tcPr>
            <w:tcMar>
              <w:top w:type="dxa" w:w="60"/>
              <w:left w:type="dxa" w:w="100"/>
              <w:bottom w:type="dxa" w:w="60"/>
              <w:right w:type="dxa" w:w="100"/>
            </w:tcMar>
          </w:tcPr>
          <w:p>
            <w:pPr>
              <w:jc w:val="left"/>
            </w:pPr>
            <w:hyperlink w:history="1" r:id="rIdars2026">
              <w:r>
                <w:rPr>
                  <w:rFonts w:ascii="Calibri" w:cs="Calibri" w:eastAsia="Calibri" w:hAnsi="Calibri"/>
                  <w:b w:val="false"/>
                  <w:bCs w:val="false"/>
                  <w:sz w:val="20"/>
                  <w:szCs w:val="20"/>
                  <w:color w:val="1155CC"/>
                  <w:u w:val="single"/>
                </w:rPr>
                <w:t xml:space="preserve">bretagne.ars.sante.fr/…/serafin-ph</w:t>
              </w:r>
            </w:hyperlink>
          </w:p>
        </w:tc>
        <w:tc>
          <w:tcP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Calendrier 2026 + confirmation phase juillet → section En cours</w:t>
            </w:r>
          </w:p>
        </w:tc>
      </w:tr>
      <w:tr>
        <w:tc>
          <w:tcPr>
            <w:shd w:fill="EEF2F7" w:color="auto" w:val="clear"/>
            <w:tcMar>
              <w:top w:type="dxa" w:w="60"/>
              <w:left w:type="dxa" w:w="100"/>
              <w:bottom w:type="dxa" w:w="60"/>
              <w:right w:type="dxa" w:w="100"/>
            </w:tcMar>
          </w:tcPr>
          <w:p>
            <w:pPr>
              <w:jc w:val="left"/>
            </w:pPr>
            <w:hyperlink w:history="1" r:id="rIdfhf2026">
              <w:r>
                <w:rPr>
                  <w:rFonts w:ascii="Calibri" w:cs="Calibri" w:eastAsia="Calibri" w:hAnsi="Calibri"/>
                  <w:b w:val="false"/>
                  <w:bCs w:val="false"/>
                  <w:sz w:val="20"/>
                  <w:szCs w:val="20"/>
                  <w:color w:val="1155CC"/>
                  <w:u w:val="single"/>
                </w:rPr>
                <w:t xml:space="preserve">fhf.fr</w:t>
              </w:r>
            </w:hyperlink>
            <w:r>
              <w:rPr>
                <w:rFonts w:ascii="Calibri" w:cs="Calibri" w:eastAsia="Calibri" w:hAnsi="Calibri"/>
                <w:b w:val="false"/>
                <w:bCs w:val="false"/>
                <w:color w:val="1F2937"/>
                <w:sz w:val="20"/>
                <w:szCs w:val="20"/>
              </w:rPr>
              <w:t xml:space="preserve"> — Recueil 2026 : calendrier et accompagnement</w:t>
            </w:r>
          </w:p>
        </w:tc>
        <w:tc>
          <w:tcPr>
            <w:shd w:fill="EEF2F7" w:color="auto" w:val="clear"/>
            <w:tcMar>
              <w:top w:type="dxa" w:w="60"/>
              <w:left w:type="dxa" w:w="100"/>
              <w:bottom w:type="dxa" w:w="60"/>
              <w:right w:type="dxa" w:w="100"/>
            </w:tcMar>
          </w:tcPr>
          <w:p>
            <w:pPr>
              <w:jc w:val="left"/>
            </w:pPr>
            <w:hyperlink w:history="1" r:id="rIdfhf2026">
              <w:r>
                <w:rPr>
                  <w:rFonts w:ascii="Calibri" w:cs="Calibri" w:eastAsia="Calibri" w:hAnsi="Calibri"/>
                  <w:b w:val="false"/>
                  <w:bCs w:val="false"/>
                  <w:sz w:val="20"/>
                  <w:szCs w:val="20"/>
                  <w:color w:val="1155CC"/>
                  <w:u w:val="single"/>
                </w:rPr>
                <w:t xml:space="preserve">fhf.fr/…/serafin-ph-recueil-2026…</w:t>
              </w:r>
            </w:hyperlink>
          </w:p>
        </w:tc>
        <w:tc>
          <w:tcPr>
            <w:shd w:fill="EEF2F7" w:color="auto" w:val="clear"/>
            <w:tcMar>
              <w:top w:type="dxa" w:w="60"/>
              <w:left w:type="dxa" w:w="100"/>
              <w:bottom w:type="dxa" w:w="60"/>
              <w:right w:type="dxa" w:w="100"/>
            </w:tcMar>
          </w:tcPr>
          <w:p>
            <w:pPr>
              <w:jc w:val="center"/>
            </w:pPr>
            <w:r>
              <w:rPr>
                <w:rFonts w:ascii="Calibri" w:cs="Calibri" w:eastAsia="Calibri" w:hAnsi="Calibri"/>
                <w:b/>
                <w:bCs/>
                <w:color w:val="059669"/>
                <w:sz w:val="20"/>
                <w:szCs w:val="20"/>
              </w:rPr>
              <w:t xml:space="preserve">✅ Consultée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Calendrier détaillé phases 1 et 2 → section Rappel</w:t>
            </w:r>
          </w:p>
        </w:tc>
      </w:tr>
    </w:tbl>
    <w:p>
      <w:pPr>
        <w:spacing w:after="0" w:before="0"/>
      </w:pPr>
      <w:r>
        <w:rPr>
          <w:rFonts w:ascii="Calibri" w:cs="Calibri" w:eastAsia="Calibri" w:hAnsi="Calibri"/>
          <w:sz w:val="20"/>
          <w:szCs w:val="20"/>
        </w:rPr>
        <w:t xml:space="preserve"/>
      </w:r>
    </w:p>
    <w:p>
      <w:pPr>
        <w:spacing w:after="80" w:before="80"/>
        <w:ind w:left="200"/>
      </w:pPr>
      <w:r>
        <w:rPr>
          <w:rFonts w:ascii="Calibri" w:cs="Calibri" w:eastAsia="Calibri" w:hAnsi="Calibri"/>
          <w:sz w:val="22"/>
          <w:szCs w:val="22"/>
        </w:rPr>
        <w:t xml:space="preserve">⚠️ </w:t>
      </w:r>
      <w:r>
        <w:rPr>
          <w:rFonts w:ascii="Calibri" w:cs="Calibri" w:eastAsia="Calibri" w:hAnsi="Calibri"/>
          <w:b/>
          <w:bCs/>
          <w:color w:val="F59E0B"/>
          <w:sz w:val="22"/>
          <w:szCs w:val="22"/>
        </w:rPr>
        <w:t xml:space="preserve">Semaine creuse en publications (15-22 juillet 2026) : </w:t>
      </w:r>
      <w:r>
        <w:rPr>
          <w:rFonts w:ascii="Calibri" w:cs="Calibri" w:eastAsia="Calibri" w:hAnsi="Calibri"/>
          <w:color w:val="1F2937"/>
          <w:sz w:val="22"/>
          <w:szCs w:val="22"/>
        </w:rPr>
        <w:t xml:space="preserve">aucun nouveau texte officiel ni publication institutionnelle n'a été identifié dans la fenêtre de veille. La phase active de la semaine est opérationnelle (export CNSA, pas de publication). Le corps de la note repose sur des éléments datés hors fenêtre, clairement identifiés en section Rappel/Contexte.</w:t>
      </w:r>
    </w:p>
    <w:p>
      <w:pPr>
        <w:spacing w:after="0" w:before="0"/>
      </w:pPr>
      <w:r>
        <w:rPr>
          <w:rFonts w:ascii="Calibri" w:cs="Calibri" w:eastAsia="Calibri" w:hAnsi="Calibri"/>
          <w:sz w:val="20"/>
          <w:szCs w:val="20"/>
        </w:rPr>
        <w:t xml:space="preserve"/>
      </w:r>
    </w:p>
    <w:p>
      <w:pPr>
        <w:pBdr>
          <w:bottom w:val="single" w:color="1B3A6B" w:sz="6"/>
        </w:pBdr>
        <w:spacing w:after="120" w:before="300"/>
      </w:pPr>
      <w:r>
        <w:rPr>
          <w:rFonts w:ascii="Calibri" w:cs="Calibri" w:eastAsia="Calibri" w:hAnsi="Calibri"/>
          <w:b/>
          <w:bCs/>
          <w:color w:val="1B3A6B"/>
          <w:sz w:val="28"/>
          <w:szCs w:val="28"/>
        </w:rPr>
        <w:t xml:space="preserve">1. 🔵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46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Thème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Statut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Échéance / Info</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Périmètre</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Recueil PH 2026 — Phase saisie</w:t>
            </w:r>
          </w:p>
        </w:tc>
        <w:tc>
          <w:tcPr>
            <w:shd w:fill="059669"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Terminée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Clôture : 3 juillet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enfants (secteur concerné par le déploiement 2027)</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SIDOBA + simulation dotations CNSA</w:t>
            </w:r>
          </w:p>
        </w:tc>
        <w:tc>
          <w:tcPr>
            <w:shd w:fill="1B3A6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En cours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Juillet 2026 → fin d'année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CNSA → ARS (transmission prévue fin 2026)</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Instruction campagne budgétaire 2026</w:t>
            </w:r>
          </w:p>
        </w:tc>
        <w:tc>
          <w:tcPr>
            <w:shd w:fill="059669"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Publiée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Publiée le 16 juin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Tous ESMS PH + PA — Réf. DGCS/SD5B/DSS/2026/80</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Décret modalités transmission données</w:t>
            </w:r>
          </w:p>
        </w:tc>
        <w:tc>
          <w:tcPr>
            <w:shd w:fill="059669"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Publié</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Décret n° 2026-376 du 13 mai 2026 (JO 16 mai)</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secteur enfance — Art. 90 LFSS 2025</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Instruction offres coordonnées de services (DGCS)</w:t>
            </w:r>
          </w:p>
        </w:tc>
        <w:tc>
          <w:tcPr>
            <w:shd w:fill="F59E0B"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En préparation</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Automne 2026 (prévisionnel)</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multi-modalités — groupes de travail DGCS actifs</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Déploiement SERAFIN-PH — Phase 1</w:t>
            </w:r>
          </w:p>
        </w:tc>
        <w:tc>
          <w:tcPr>
            <w:shd w:fill="7C3AED" w:color="auto"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 Planifié</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1er janvier 2027</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ESMS enfants — convergence progressive 8 ans</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2. Phase en cours — Juillet 2026</w:t>
      </w:r>
    </w:p>
    <w:p>
      <w:pPr>
        <w:spacing w:after="80" w:before="200"/>
      </w:pPr>
      <w:r>
        <w:rPr>
          <w:rFonts w:ascii="Calibri" w:cs="Calibri" w:eastAsia="Calibri" w:hAnsi="Calibri"/>
          <w:b/>
          <w:bCs/>
          <w:color w:val="1B3A6B"/>
          <w:sz w:val="24"/>
          <w:szCs w:val="24"/>
        </w:rPr>
        <w:t xml:space="preserve">🔄 Export SIDOBA et simulation des dotations (CNSA)</w:t>
      </w:r>
    </w:p>
    <w:p>
      <w:pPr>
        <w:spacing w:after="60" w:before="60"/>
      </w:pPr>
      <w:r>
        <w:rPr>
          <w:rFonts w:ascii="Calibri" w:cs="Calibri" w:eastAsia="Calibri" w:hAnsi="Calibri"/>
          <w:b w:val="false"/>
          <w:bCs w:val="false"/>
          <w:i w:val="false"/>
          <w:iCs w:val="false"/>
          <w:color w:val="1F2937"/>
          <w:sz w:val="22"/>
          <w:szCs w:val="22"/>
        </w:rPr>
        <w:t xml:space="preserve">La phase de saisie des établissements sur l'application SIDOBA SERAFIN-PH s'est clôturée le 3 juillet 2026. À partir de juillet 2026, la CNSA entre dans une phase purement administrative : traitement des données collectées, calcul des dotations-cibles SERAFIN-PH pour chaque ESMS, et simulation de l'impact de la réforme sur les financements individuels.</w:t>
      </w:r>
    </w:p>
    <w:p>
      <w:pPr>
        <w:spacing w:after="0" w:before="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50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Acteur</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 en cours (juillet 2026)</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Résultat attendu</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CNSA</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des données SIDOBA — calcul des dotations-cibles SERAFIN-PH par ESMS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Simulations transmises aux ARS fin 2026</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Vérification des données transmises pour les ESMS de leur ressort territorial</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Préparation des notifications de financement 2027</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ESMS concernés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Période sans action de saisie requise — attente des simulations de dotation</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Réception simulation individuelle (fin 2026)</w:t>
            </w:r>
          </w:p>
        </w:tc>
      </w:tr>
    </w:tbl>
    <w:p>
      <w:pPr>
        <w:spacing w:after="0" w:before="0"/>
      </w:pPr>
      <w:r>
        <w:rPr>
          <w:rFonts w:ascii="Calibri" w:cs="Calibri" w:eastAsia="Calibri" w:hAnsi="Calibri"/>
          <w:sz w:val="20"/>
          <w:szCs w:val="20"/>
        </w:rPr>
        <w:t xml:space="preserve"/>
      </w:r>
    </w:p>
    <w:p>
      <w:pPr>
        <w:spacing w:after="60" w:before="60"/>
      </w:pPr>
      <w:r>
        <w:rPr>
          <w:rFonts w:ascii="Calibri" w:cs="Calibri" w:eastAsia="Calibri" w:hAnsi="Calibri"/>
          <w:b w:val="false"/>
          <w:bCs w:val="false"/>
          <w:i/>
          <w:iCs/>
          <w:color w:val="6B7280"/>
          <w:sz w:val="22"/>
          <w:szCs w:val="22"/>
        </w:rPr>
        <w:t xml:space="preserve">Source : ARS Bretagne, </w:t>
      </w:r>
      <w:hyperlink w:history="1" r:id="rIdars2026">
        <w:r>
          <w:rPr>
            <w:rFonts w:ascii="Calibri" w:cs="Calibri" w:eastAsia="Calibri" w:hAnsi="Calibri"/>
            <w:b w:val="false"/>
            <w:bCs w:val="false"/>
            <w:i/>
            <w:iCs/>
            <w:sz w:val="22"/>
            <w:szCs w:val="22"/>
            <w:color w:val="1155CC"/>
            <w:u w:val="single"/>
          </w:rPr>
          <w:t xml:space="preserve">bretagne.ars.sante.fr</w:t>
        </w:r>
      </w:hyperlink>
      <w:r>
        <w:rPr>
          <w:rFonts w:ascii="Calibri" w:cs="Calibri" w:eastAsia="Calibri" w:hAnsi="Calibri"/>
          <w:b w:val="false"/>
          <w:bCs w:val="false"/>
          <w:i/>
          <w:iCs/>
          <w:color w:val="6B7280"/>
          <w:sz w:val="22"/>
          <w:szCs w:val="22"/>
        </w:rPr>
        <w:t xml:space="preserve"> (page mise à jour le 19 juin 2026) + CNSA page principale SERAFIN-PH, </w:t>
      </w:r>
      <w:hyperlink w:history="1" r:id="rIdcnsa_page2026">
        <w:r>
          <w:rPr>
            <w:rFonts w:ascii="Calibri" w:cs="Calibri" w:eastAsia="Calibri" w:hAnsi="Calibri"/>
            <w:b w:val="false"/>
            <w:bCs w:val="false"/>
            <w:i/>
            <w:iCs/>
            <w:sz w:val="22"/>
            <w:szCs w:val="22"/>
            <w:color w:val="1155CC"/>
            <w:u w:val="single"/>
          </w:rPr>
          <w:t xml:space="preserve">cnsa.fr</w:t>
        </w:r>
      </w:hyperlink>
      <w:r>
        <w:rPr>
          <w:rFonts w:ascii="Calibri" w:cs="Calibri" w:eastAsia="Calibri" w:hAnsi="Calibri"/>
          <w:b w:val="false"/>
          <w:bCs w:val="false"/>
          <w:i/>
          <w:iCs/>
          <w:color w:val="6B7280"/>
          <w:sz w:val="22"/>
          <w:szCs w:val="22"/>
        </w:rPr>
        <w:t xml:space="preserve"> + WebSearch juillet 2026. Aucune publication officielle datée du 15 au 22 juillet 2026 n'a été identifiée sur cette phase.</w:t>
      </w:r>
    </w:p>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3. Rappel / Contexte — Éléments récents hors fenêtre</w:t>
      </w:r>
    </w:p>
    <w:p>
      <w:pPr>
        <w:spacing w:after="60" w:before="60"/>
      </w:pPr>
      <w:r>
        <w:rPr>
          <w:rFonts w:ascii="Calibri" w:cs="Calibri" w:eastAsia="Calibri" w:hAnsi="Calibri"/>
          <w:b w:val="false"/>
          <w:bCs w:val="false"/>
          <w:i/>
          <w:iCs/>
          <w:color w:val="6B7280"/>
          <w:sz w:val="22"/>
          <w:szCs w:val="22"/>
        </w:rPr>
        <w:t xml:space="preserve">ℹ️ Les éléments ci-dessous ont été publiés avant le 15 juillet 2026. Ils sont mentionnés ici à titre de contexte réglementaire récent, clairement séparés de la rubrique d'actualité.</w:t>
      </w:r>
    </w:p>
    <w:p>
      <w:pPr>
        <w:spacing w:after="0" w:before="0"/>
      </w:pPr>
      <w:r>
        <w:rPr>
          <w:rFonts w:ascii="Calibri" w:cs="Calibri" w:eastAsia="Calibri" w:hAnsi="Calibri"/>
          <w:sz w:val="20"/>
          <w:szCs w:val="20"/>
        </w:rPr>
        <w:t xml:space="preserve"/>
      </w:r>
    </w:p>
    <w:p>
      <w:pPr>
        <w:spacing w:after="80" w:before="200"/>
      </w:pPr>
      <w:r>
        <w:rPr>
          <w:rFonts w:ascii="Calibri" w:cs="Calibri" w:eastAsia="Calibri" w:hAnsi="Calibri"/>
          <w:b/>
          <w:bCs/>
          <w:color w:val="1B3A6B"/>
          <w:sz w:val="24"/>
          <w:szCs w:val="24"/>
        </w:rPr>
        <w:t xml:space="preserve">📋 Instruction n° DGCS/SD5B/DSS/SD1A/CNSA/DFO/2026/80 — 16 juin 2026</w:t>
      </w:r>
    </w:p>
    <w:p>
      <w:pPr>
        <w:spacing w:after="60" w:before="60"/>
      </w:pPr>
      <w:r>
        <w:rPr>
          <w:rFonts w:ascii="Calibri" w:cs="Calibri" w:eastAsia="Calibri" w:hAnsi="Calibri"/>
          <w:b w:val="false"/>
          <w:bCs w:val="false"/>
          <w:i w:val="false"/>
          <w:iCs w:val="false"/>
          <w:color w:val="1F2937"/>
          <w:sz w:val="22"/>
          <w:szCs w:val="22"/>
        </w:rPr>
        <w:t xml:space="preserve">Date de publication : 16 juin 2026 (NOR : SFHA2613214J) — 29 jours avant le début de la fenêtre.</w:t>
      </w:r>
    </w:p>
    <w:p>
      <w:pPr>
        <w:spacing w:after="60" w:before="60"/>
      </w:pPr>
      <w:r>
        <w:rPr>
          <w:rFonts w:ascii="Calibri" w:cs="Calibri" w:eastAsia="Calibri" w:hAnsi="Calibri"/>
          <w:b w:val="false"/>
          <w:bCs w:val="false"/>
          <w:i w:val="false"/>
          <w:iCs w:val="false"/>
          <w:color w:val="1F2937"/>
          <w:sz w:val="22"/>
          <w:szCs w:val="22"/>
        </w:rPr>
        <w:t xml:space="preserve">Titre : « Orientations de la campagne budgétaire des établissements et services médico-sociaux accueillant des personnes en situation de handicap et des personnes âgées pour l'exercice 2026 »</w:t>
      </w:r>
    </w:p>
    <w:p>
      <w:pPr>
        <w:spacing w:after="0" w:before="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60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Volet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Montant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Détail</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Enveloppe globale PH</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16 milliards €</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Progression de 2,9 % — Source primaire : Instruction 2026/80</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Déploiement solutions PH</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174,8 millions €</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Financement de nouvelles solutions d'accompagnement</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Centres de scolarisation spécialisés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56,4 millions € (1 020 unités supp.)</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Renforcement SESSAD / UEMA / ULIS</w:t>
            </w:r>
          </w:p>
        </w:tc>
      </w:tr>
      <w:tr>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Instituts spécialisés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42,6 millions €</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Réajustement tarifaire</w:t>
            </w:r>
          </w:p>
        </w:tc>
      </w:tr>
      <w:tr>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QVT / Qualité de vie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4 millions € (PH)</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Sur enveloppe globale 13 M€ (9 M€ PA + 4 M€ PH)</w:t>
            </w:r>
          </w:p>
        </w:tc>
      </w:tr>
    </w:tbl>
    <w:p>
      <w:pPr>
        <w:spacing w:after="0" w:before="0"/>
      </w:pPr>
      <w:r>
        <w:rPr>
          <w:rFonts w:ascii="Calibri" w:cs="Calibri" w:eastAsia="Calibri" w:hAnsi="Calibri"/>
          <w:sz w:val="20"/>
          <w:szCs w:val="20"/>
        </w:rPr>
        <w:t xml:space="preserve"/>
      </w:r>
    </w:p>
    <w:p>
      <w:pPr>
        <w:spacing w:after="60" w:before="60"/>
      </w:pPr>
      <w:r>
        <w:rPr>
          <w:rFonts w:ascii="Calibri" w:cs="Calibri" w:eastAsia="Calibri" w:hAnsi="Calibri"/>
          <w:b w:val="false"/>
          <w:bCs w:val="false"/>
          <w:i w:val="false"/>
          <w:iCs w:val="false"/>
          <w:color w:val="1F2937"/>
          <w:sz w:val="22"/>
          <w:szCs w:val="22"/>
        </w:rPr>
        <w:t xml:space="preserve">Éléments clés pour les directions d'ESMS issus de cette instruction :</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2026 est déclarée « dernière année de préparation » avant le déploiement SERAFIN-PH</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Annexes d'activité à transmettre avant le 31 octobre 2026</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Adoption des EPRD requise au 1er janvier 2027 en l'absence de CPOM signé</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Transmission dématérialisée des décisions (EDP) — signature électronique qualifiée obligatoire depuis le 1er janvier 2026</w:t>
      </w:r>
    </w:p>
    <w:p>
      <w:pPr>
        <w:spacing w:after="0" w:before="0"/>
      </w:pPr>
      <w:r>
        <w:rPr>
          <w:rFonts w:ascii="Calibri" w:cs="Calibri" w:eastAsia="Calibri" w:hAnsi="Calibri"/>
          <w:sz w:val="40"/>
          <w:szCs w:val="40"/>
        </w:rPr>
        <w:t xml:space="preserve"/>
      </w:r>
    </w:p>
    <w:p>
      <w:pPr>
        <w:spacing w:after="80" w:before="200"/>
      </w:pPr>
      <w:r>
        <w:rPr>
          <w:rFonts w:ascii="Calibri" w:cs="Calibri" w:eastAsia="Calibri" w:hAnsi="Calibri"/>
          <w:b/>
          <w:bCs/>
          <w:color w:val="1B3A6B"/>
          <w:sz w:val="24"/>
          <w:szCs w:val="24"/>
        </w:rPr>
        <w:t xml:space="preserve">⚖️ Décret n° 2026-376 du 13 mai 2026 (JO du 16 mai 2026)</w:t>
      </w:r>
    </w:p>
    <w:p>
      <w:pPr>
        <w:spacing w:after="60" w:before="60"/>
      </w:pPr>
      <w:r>
        <w:rPr>
          <w:rFonts w:ascii="Calibri" w:cs="Calibri" w:eastAsia="Calibri" w:hAnsi="Calibri"/>
          <w:b w:val="false"/>
          <w:bCs w:val="false"/>
          <w:i w:val="false"/>
          <w:iCs w:val="false"/>
          <w:color w:val="1F2937"/>
          <w:sz w:val="22"/>
          <w:szCs w:val="22"/>
        </w:rPr>
        <w:t xml:space="preserve">Titre : Décret fixant les conditions de transmission des données nécessaires au calcul de la dotation globale de financement — application de l'article 90 de la LFSS 2025 (loi n° 2025-1403 du 30 décembre 2025)</w:t>
      </w:r>
    </w:p>
    <w:p>
      <w:pPr>
        <w:spacing w:after="60" w:before="60"/>
      </w:pPr>
      <w:r>
        <w:rPr>
          <w:rFonts w:ascii="Calibri" w:cs="Calibri" w:eastAsia="Calibri" w:hAnsi="Calibri"/>
          <w:b w:val="false"/>
          <w:bCs w:val="false"/>
          <w:i w:val="false"/>
          <w:iCs w:val="false"/>
          <w:color w:val="1F2937"/>
          <w:sz w:val="22"/>
          <w:szCs w:val="22"/>
        </w:rPr>
        <w:t xml:space="preserve">Périmètre : ESMS accompagnant des enfants et jeunes adultes en situation de handicap.</w:t>
      </w:r>
    </w:p>
    <w:p>
      <w:pPr>
        <w:spacing w:after="60" w:before="60"/>
      </w:pPr>
      <w:r>
        <w:rPr>
          <w:rFonts w:ascii="Calibri" w:cs="Calibri" w:eastAsia="Calibri" w:hAnsi="Calibri"/>
          <w:b w:val="false"/>
          <w:bCs w:val="false"/>
          <w:i/>
          <w:iCs/>
          <w:color w:val="6B7280"/>
          <w:sz w:val="22"/>
          <w:szCs w:val="22"/>
        </w:rPr>
        <w:t xml:space="preserve">Portée : Crée un traitement de données personnelles sous responsabilité conjointe DGCS + CNSA. Définit les obligations de transmission via SIDOBA. Source primaire consultée indirectement (via </w:t>
      </w:r>
      <w:hyperlink w:history="1" r:id="rIdesol2026">
        <w:r>
          <w:rPr>
            <w:rFonts w:ascii="Calibri" w:cs="Calibri" w:eastAsia="Calibri" w:hAnsi="Calibri"/>
            <w:b w:val="false"/>
            <w:bCs w:val="false"/>
            <w:i/>
            <w:iCs/>
            <w:sz w:val="22"/>
            <w:szCs w:val="22"/>
            <w:color w:val="1155CC"/>
            <w:u w:val="single"/>
          </w:rPr>
          <w:t xml:space="preserve">e-solidarites.fr</w:t>
        </w:r>
      </w:hyperlink>
      <w:r>
        <w:rPr>
          <w:rFonts w:ascii="Calibri" w:cs="Calibri" w:eastAsia="Calibri" w:hAnsi="Calibri"/>
          <w:b w:val="false"/>
          <w:bCs w:val="false"/>
          <w:i/>
          <w:iCs/>
          <w:color w:val="6B7280"/>
          <w:sz w:val="22"/>
          <w:szCs w:val="22"/>
        </w:rPr>
        <w:t xml:space="preserve"> et WebSearch — accès JO Légifrance non direct dans cette exécution).</w:t>
      </w:r>
    </w:p>
    <w:p>
      <w:pPr>
        <w:spacing w:after="0" w:before="0"/>
      </w:pPr>
      <w:r>
        <w:rPr>
          <w:rFonts w:ascii="Calibri" w:cs="Calibri" w:eastAsia="Calibri" w:hAnsi="Calibri"/>
          <w:sz w:val="40"/>
          <w:szCs w:val="40"/>
        </w:rPr>
        <w:t xml:space="preserve"/>
      </w:r>
    </w:p>
    <w:p>
      <w:pPr>
        <w:spacing w:after="80" w:before="200"/>
      </w:pPr>
      <w:r>
        <w:rPr>
          <w:rFonts w:ascii="Calibri" w:cs="Calibri" w:eastAsia="Calibri" w:hAnsi="Calibri"/>
          <w:b/>
          <w:bCs/>
          <w:color w:val="1B3A6B"/>
          <w:sz w:val="24"/>
          <w:szCs w:val="24"/>
        </w:rPr>
        <w:t xml:space="preserve">📅 Comité stratégique — 2 juillet 2025 (publication : 3 juillet 2025)</w:t>
      </w:r>
    </w:p>
    <w:p>
      <w:pPr>
        <w:spacing w:after="60" w:before="60"/>
      </w:pPr>
      <w:r>
        <w:rPr>
          <w:rFonts w:ascii="Calibri" w:cs="Calibri" w:eastAsia="Calibri" w:hAnsi="Calibri"/>
          <w:b w:val="false"/>
          <w:bCs w:val="false"/>
          <w:i w:val="false"/>
          <w:iCs w:val="false"/>
          <w:color w:val="1F2937"/>
          <w:sz w:val="22"/>
          <w:szCs w:val="22"/>
        </w:rPr>
        <w:t xml:space="preserve">Mention uniquement pour contexte de fond (date d'événement : 2 juillet 2025, soit 12 mois avant notre fenêtre). La ministre Charlotte Parmentier-Lecocq avait confirmé la structure du modèle de financement (compartiment principal + modulation + bonus multi-modal). Taux de réponse 2025 : 86 % des établissements / 90 % des solutions installées. Source : </w:t>
      </w:r>
      <w:hyperlink w:history="1" r:id="rIdcomite2026">
        <w:r>
          <w:rPr>
            <w:rFonts w:ascii="Calibri" w:cs="Calibri" w:eastAsia="Calibri" w:hAnsi="Calibri"/>
            <w:b w:val="false"/>
            <w:bCs w:val="false"/>
            <w:i w:val="false"/>
            <w:iCs w:val="false"/>
            <w:sz w:val="22"/>
            <w:szCs w:val="22"/>
            <w:color w:val="1155CC"/>
            <w:u w:val="single"/>
          </w:rPr>
          <w:t xml:space="preserve">handicap.gouv.fr</w:t>
        </w:r>
      </w:hyperlink>
      <w:r>
        <w:rPr>
          <w:rFonts w:ascii="Calibri" w:cs="Calibri" w:eastAsia="Calibri" w:hAnsi="Calibri"/>
          <w:b w:val="false"/>
          <w:bCs w:val="false"/>
          <w:i w:val="false"/>
          <w:iCs w:val="false"/>
          <w:color w:val="1F2937"/>
          <w:sz w:val="22"/>
          <w:szCs w:val="22"/>
        </w:rPr>
        <w:t xml:space="preserve">.</w:t>
      </w:r>
    </w:p>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4. ⚠️ Points de vigilance pour les directions d'ESMS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85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 Point de vigilance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Détail pratique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Réception simulation de dotation (fin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Les simulations individuelles SERAFIN-PH seront transmises aux ARS fin 2026. Anticipez leur analyse avec votre N+1 et votre ARS de référence. Les écarts avec le financement actuel peuvent être significatifs sur 8 ans de convergence.</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Échéance EPRD au 1er janvier 2027</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En l'absence de CPOM signé, l'EPRD doit être adopté au 1er janvier 2027. Point à préparer dès maintenant en lien avec le directeur et la direction financière.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Annexes d'activité — 31 octobre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Délai issu de l'Instruction 2026/80. Vérifiez que les données d'activité de votre établissement sont consolidées et conformes aux indicateurs SERAFIN-PH (modulation à l'activité et sur objectifs).</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Signature électronique qualifiée obligatoire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Toute transmission documentaire via l'EDP requiert une signature électronique qualifiée depuis le 1er janvier 2026. À vérifier auprès de votre service informatique si ce n'est pas encore en place.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Instruction offres coordonnées (automne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DGCS prépare une instruction spécifique aux structures proposant plusieurs modalités d'accompagnement (hébergement + accueil de jour + milieu ordinaire). À surveiller si votre ESMS est multi-modal — des modalités tarifaires spécifiques sont à l'étude.</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ATIH inaccessible (403) — recueil 2025</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Le site ATIH (guide méthodologique PH 2025, logiciel RAMSECE-PH) retourne systématiquement une erreur 403. À consulter directement en session navigateur si des questions persistent sur la saisie 2025 ou la documentation technique.</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5. 📅 Agenda — Prochains rendez-vous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800"/>
        <w:gridCol w:w="8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Échéance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 / Événement</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Acteur responsable</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Juillet – Décembre 2026</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SIDOBA + calcul dotations-cibles + simulations par ESMS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CNSA → ARS</w:t>
            </w:r>
          </w:p>
        </w:tc>
        <w:tc>
          <w:tcP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31 octobre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Date limite transmission annexes d'activité aux ARS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Directions ESMS</w:t>
            </w:r>
          </w:p>
        </w:tc>
        <w:tc>
          <w:tcPr>
            <w:shd w:fill="EEF2F7"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Automne 2026 (date TBD)</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Publication instruction DGCS sur offres coordonnées de services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DGCS</w:t>
            </w:r>
          </w:p>
        </w:tc>
        <w:tc>
          <w:tcP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Fin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Transmission aux ARS des simulations d'impact individuel par ESMS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CNSA</w:t>
            </w:r>
          </w:p>
        </w:tc>
        <w:tc>
          <w:tcPr>
            <w:shd w:fill="EEF2F7"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1er janvier 2027</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Déploiement effectif SERAFIN-PH — Phase 1 (ESMS enfants)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DGCS / CNSA / ARS / ESMS</w:t>
            </w:r>
          </w:p>
        </w:tc>
        <w:tc>
          <w:tcP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2027 – 2035</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Période de convergence progressive (8 ans) — secteur enfance d'abord</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Ensemble des acteurs</w:t>
            </w:r>
          </w:p>
        </w:tc>
        <w:tc>
          <w:tcPr>
            <w:shd w:fill="EEF2F7"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20"/>
                <w:szCs w:val="20"/>
              </w:rPr>
              <w:t xml:space="preserve">[ ]</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6. Rappel — Rôle de chaque acteur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50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Acteur</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Rôle dans SERAFIN-PH</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Action clé 2026</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DGCS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Direction générale de la cohésion sociale — Pilotage législatif et réglementaire de la réforme (décrets, instructions, circulaires)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Publication Instruction 2026/80 (16 juin) — Préparation instruction offres coordonnées (automne)</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CNSA</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Caisse nationale de solidarité pour l'autonomie — Opérateur technique (SIDOBA, simulations) et financeur national de la branche autonomie</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Export données SIDOBA + calcul dotations-cibles + transmission aux ARS (juil.→déc. 2026)</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ATIH</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Agence technique de l'information sur l'hospitalisation — Gestion du recueil national PH, logiciel RAMSECE-PH, documentation méthodologique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Mise à disposition guide méthodologique PH 2025 — Site accessible en session directe uniquement (⛔ 403 en headless)</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ARS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Agences régionales de santé — Autorités de tarification des ESMS (compétence partagée selon type d'ESMS). Vérification des données SIDOBA et notification des dotations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Qualification des données SIDOBA — Réception des simulations fin 2026 — Notifications budgétaires 2027</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HAS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Haute Autorité de Santé — Développe les référentiels qualité et RBPP qui croisent SERAFIN-PH sur l'autodétermination, le projet personnalisé et l'évaluation externe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Évaluations externes 2023-2028 — Référentiels RBPP mobilisés pour la qualité des accompagnements</w:t>
            </w:r>
          </w:p>
        </w:tc>
      </w:tr>
    </w:tbl>
    <w:p>
      <w:pPr>
        <w:spacing w:after="0" w:before="0"/>
      </w:pPr>
      <w:r>
        <w:rPr>
          <w:rFonts w:ascii="Calibri" w:cs="Calibri" w:eastAsia="Calibri" w:hAnsi="Calibri"/>
          <w:sz w:val="40"/>
          <w:szCs w:val="40"/>
        </w:rPr>
        <w:t xml:space="preserve"/>
      </w:r>
    </w:p>
    <w:p>
      <w:pPr>
        <w:pBdr>
          <w:bottom w:val="single" w:color="1B3A6B" w:sz="6"/>
        </w:pBdr>
        <w:spacing w:after="120" w:before="300"/>
      </w:pPr>
      <w:r>
        <w:rPr>
          <w:rFonts w:ascii="Calibri" w:cs="Calibri" w:eastAsia="Calibri" w:hAnsi="Calibri"/>
          <w:b/>
          <w:bCs/>
          <w:color w:val="1B3A6B"/>
          <w:sz w:val="28"/>
          <w:szCs w:val="28"/>
        </w:rPr>
        <w:t xml:space="preserve">7. Bilan de la veille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7500"/>
      </w:tblGrid>
      <w:tr>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Indicateur</w:t>
            </w:r>
          </w:p>
        </w:tc>
        <w:tc>
          <w:tcPr>
            <w:shd w:fill="1B3A6B"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Valeur</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Fenêtre de veille</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15 juillet 2026 → 22 juillet 2026</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Sources documentaires tentées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6 (</w:t>
            </w:r>
            <w:hyperlink w:history="1" r:id="rIdcomite2026">
              <w:r>
                <w:rPr>
                  <w:rFonts w:ascii="Calibri" w:cs="Calibri" w:eastAsia="Calibri" w:hAnsi="Calibri"/>
                  <w:b w:val="false"/>
                  <w:bCs w:val="false"/>
                  <w:sz w:val="20"/>
                  <w:szCs w:val="20"/>
                  <w:color w:val="1155CC"/>
                  <w:u w:val="single"/>
                </w:rPr>
                <w:t xml:space="preserve">handicap.gouv.fr</w:t>
              </w:r>
            </w:hyperlink>
            <w:r>
              <w:rPr>
                <w:rFonts w:ascii="Calibri" w:cs="Calibri" w:eastAsia="Calibri" w:hAnsi="Calibri"/>
                <w:b w:val="false"/>
                <w:bCs w:val="false"/>
                <w:color w:val="1F2937"/>
                <w:sz w:val="20"/>
                <w:szCs w:val="20"/>
              </w:rPr>
              <w:t xml:space="preserve">, </w:t>
            </w:r>
            <w:hyperlink w:history="1" r:id="rIdcnsa_page2026">
              <w:r>
                <w:rPr>
                  <w:rFonts w:ascii="Calibri" w:cs="Calibri" w:eastAsia="Calibri" w:hAnsi="Calibri"/>
                  <w:b w:val="false"/>
                  <w:bCs w:val="false"/>
                  <w:sz w:val="20"/>
                  <w:szCs w:val="20"/>
                  <w:color w:val="1155CC"/>
                  <w:u w:val="single"/>
                </w:rPr>
                <w:t xml:space="preserve">cnsa.fr</w:t>
              </w:r>
            </w:hyperlink>
            <w:r>
              <w:rPr>
                <w:rFonts w:ascii="Calibri" w:cs="Calibri" w:eastAsia="Calibri" w:hAnsi="Calibri"/>
                <w:b w:val="false"/>
                <w:bCs w:val="false"/>
                <w:color w:val="1F2937"/>
                <w:sz w:val="20"/>
                <w:szCs w:val="20"/>
              </w:rPr>
              <w:t xml:space="preserve"> x2, </w:t>
            </w:r>
            <w:hyperlink w:history="1" r:id="rIdatih_champ2026">
              <w:r>
                <w:rPr>
                  <w:rFonts w:ascii="Calibri" w:cs="Calibri" w:eastAsia="Calibri" w:hAnsi="Calibri"/>
                  <w:b w:val="false"/>
                  <w:bCs w:val="false"/>
                  <w:sz w:val="20"/>
                  <w:szCs w:val="20"/>
                  <w:color w:val="1155CC"/>
                  <w:u w:val="single"/>
                </w:rPr>
                <w:t xml:space="preserve">atih.sante.fr</w:t>
              </w:r>
            </w:hyperlink>
            <w:r>
              <w:rPr>
                <w:rFonts w:ascii="Calibri" w:cs="Calibri" w:eastAsia="Calibri" w:hAnsi="Calibri"/>
                <w:b w:val="false"/>
                <w:bCs w:val="false"/>
                <w:color w:val="1F2937"/>
                <w:sz w:val="20"/>
                <w:szCs w:val="20"/>
              </w:rPr>
              <w:t xml:space="preserve">, </w:t>
            </w:r>
            <w:hyperlink w:history="1" r:id="rIdbo2026">
              <w:r>
                <w:rPr>
                  <w:rFonts w:ascii="Calibri" w:cs="Calibri" w:eastAsia="Calibri" w:hAnsi="Calibri"/>
                  <w:b w:val="false"/>
                  <w:bCs w:val="false"/>
                  <w:sz w:val="20"/>
                  <w:szCs w:val="20"/>
                  <w:color w:val="1155CC"/>
                  <w:u w:val="single"/>
                </w:rPr>
                <w:t xml:space="preserve">bulletins-officiels.social.gouv.fr</w:t>
              </w:r>
            </w:hyperlink>
            <w:r>
              <w:rPr>
                <w:rFonts w:ascii="Calibri" w:cs="Calibri" w:eastAsia="Calibri" w:hAnsi="Calibri"/>
                <w:b w:val="false"/>
                <w:bCs w:val="false"/>
                <w:color w:val="1F2937"/>
                <w:sz w:val="20"/>
                <w:szCs w:val="20"/>
              </w:rPr>
              <w:t xml:space="preserve">, </w:t>
            </w:r>
            <w:hyperlink w:history="1" r:id="rIdars2026">
              <w:r>
                <w:rPr>
                  <w:rFonts w:ascii="Calibri" w:cs="Calibri" w:eastAsia="Calibri" w:hAnsi="Calibri"/>
                  <w:b w:val="false"/>
                  <w:bCs w:val="false"/>
                  <w:sz w:val="20"/>
                  <w:szCs w:val="20"/>
                  <w:color w:val="1155CC"/>
                  <w:u w:val="single"/>
                </w:rPr>
                <w:t xml:space="preserve">bretagne.ars.sante.fr</w:t>
              </w:r>
            </w:hyperlink>
            <w:r>
              <w:rPr>
                <w:rFonts w:ascii="Calibri" w:cs="Calibri" w:eastAsia="Calibri" w:hAnsi="Calibri"/>
                <w:b w:val="false"/>
                <w:bCs w:val="false"/>
                <w:color w:val="1F2937"/>
                <w:sz w:val="20"/>
                <w:szCs w:val="20"/>
              </w:rPr>
              <w:t xml:space="preserve">, </w:t>
            </w:r>
            <w:hyperlink w:history="1" r:id="rIdfhf2026">
              <w:r>
                <w:rPr>
                  <w:rFonts w:ascii="Calibri" w:cs="Calibri" w:eastAsia="Calibri" w:hAnsi="Calibri"/>
                  <w:b w:val="false"/>
                  <w:bCs w:val="false"/>
                  <w:sz w:val="20"/>
                  <w:szCs w:val="20"/>
                  <w:color w:val="1155CC"/>
                  <w:u w:val="single"/>
                </w:rPr>
                <w:t xml:space="preserve">fhf.fr</w:t>
              </w:r>
            </w:hyperlink>
            <w:r>
              <w:rPr>
                <w:rFonts w:ascii="Calibri" w:cs="Calibri" w:eastAsia="Calibri" w:hAnsi="Calibri"/>
                <w:b w:val="false"/>
                <w:bCs w:val="false"/>
                <w:color w:val="1F2937"/>
                <w:sz w:val="20"/>
                <w:szCs w:val="20"/>
              </w:rPr>
              <w:t xml:space="preserv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Sources ✅ consultées ET contribuant au corps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5/6 (ATIH ⛔ 403 — exploitée via WebSearch extraits uniquement)</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Publications nouvelles dans la fenêtre 15-22 juil. 2026</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0 — Semaine creuse. Phase active = opérationnelle (export CNSA) sans publication officielle.</w:t>
            </w:r>
          </w:p>
        </w:tc>
      </w:tr>
      <w:tr>
        <w:tc>
          <w:tcPr>
            <w:tcMar>
              <w:top w:type="dxa" w:w="60"/>
              <w:left w:type="dxa" w:w="100"/>
              <w:bottom w:type="dxa" w:w="60"/>
              <w:right w:type="dxa" w:w="100"/>
            </w:tcMar>
          </w:tcPr>
          <w:p>
            <w:pPr>
              <w:jc w:val="left"/>
            </w:pPr>
            <w:r>
              <w:rPr>
                <w:rFonts w:ascii="Calibri" w:cs="Calibri" w:eastAsia="Calibri" w:hAnsi="Calibri"/>
                <w:b/>
                <w:bCs/>
                <w:color w:val="1F2937"/>
                <w:sz w:val="20"/>
                <w:szCs w:val="20"/>
              </w:rPr>
              <w:t xml:space="preserve">Points de vigilance ESMS identifiés</w:t>
            </w:r>
          </w:p>
        </w:tc>
        <w:tc>
          <w:tcP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6</w:t>
            </w:r>
          </w:p>
        </w:tc>
      </w:tr>
      <w:tr>
        <w:tc>
          <w:tcPr>
            <w:shd w:fill="EEF2F7" w:color="auto" w:val="clear"/>
            <w:tcMar>
              <w:top w:type="dxa" w:w="60"/>
              <w:left w:type="dxa" w:w="100"/>
              <w:bottom w:type="dxa" w:w="60"/>
              <w:right w:type="dxa" w:w="100"/>
            </w:tcMar>
          </w:tcPr>
          <w:p>
            <w:pPr>
              <w:jc w:val="left"/>
            </w:pPr>
            <w:r>
              <w:rPr>
                <w:rFonts w:ascii="Calibri" w:cs="Calibri" w:eastAsia="Calibri" w:hAnsi="Calibri"/>
                <w:b/>
                <w:bCs/>
                <w:color w:val="1F2937"/>
                <w:sz w:val="20"/>
                <w:szCs w:val="20"/>
              </w:rPr>
              <w:t xml:space="preserve">Affirmations non sourcées ou non datables</w:t>
            </w:r>
          </w:p>
        </w:tc>
        <w:tc>
          <w:tcPr>
            <w:shd w:fill="EEF2F7" w:color="auto" w:val="clear"/>
            <w:tcMar>
              <w:top w:type="dxa" w:w="60"/>
              <w:left w:type="dxa" w:w="100"/>
              <w:bottom w:type="dxa" w:w="60"/>
              <w:right w:type="dxa" w:w="100"/>
            </w:tcMar>
          </w:tcPr>
          <w:p>
            <w:pPr>
              <w:jc w:val="left"/>
            </w:pPr>
            <w:r>
              <w:rPr>
                <w:rFonts w:ascii="Calibri" w:cs="Calibri" w:eastAsia="Calibri" w:hAnsi="Calibri"/>
                <w:b w:val="false"/>
                <w:bCs w:val="false"/>
                <w:color w:val="1F2937"/>
                <w:sz w:val="20"/>
                <w:szCs w:val="20"/>
              </w:rPr>
              <w:t xml:space="preserve">0 — Tous les faits sont rattachés à une source primaire ou clairement identifiés comme hors fenêtre.</w:t>
            </w:r>
          </w:p>
        </w:tc>
      </w:tr>
    </w:tbl>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22/07/2026, relue le 12/09/2026 au cours d'un contrôle d'attribution des 221 documents du dépôt (règle ⑭ : une page ou un site nommé comme source doit être lié). Contenu inchangé.</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handicap.gouv.fr/…/serafin-ph → handicap.gouv.fr/comite-strategique-de-la-reforme-tarifaire-des-etabli… (1) ; cnsa.fr/budget-et-financement/serafin-PH → www.cnsa.fr/budget-et-financement/serafin-PH (1) ; atih.sante.fr/champ-d-activite/personnes-handicapees → www.atih.sante.fr/champ-d-activite/personnes-handicapees (1) ; bulletins-officiels.social.gouv.fr/…2026/80… → bulletins-officiels.social.gouv.fr/instruction-ndeg-dgcssd5bdsssd1acns… (1) ; bretagne.ars.sante.fr/…/serafin-ph → www.bretagne.ars.sante.fr/serafin-ph-la-reforme-du-financement-des-eta… (1) ; fhf.fr/…/serafin-ph-recueil-2026… → www.fhf.fr/expertises/autonomie/handicap/serafin-ph-ouverture-du-recue… (1) ; handicap.gouv.fr → handicap.gouv.fr/comite-strategique-de-la-reforme-tarifaire-des-etabli… (3) ; cnsa.fr → www.cnsa.fr/budget-et-financement/serafin-PH (2) ; atih.sante.fr → www.atih.sante.fr/champ-d-activite/personnes-handicapees (2) ; bulletins-officiels.social.gouv.fr → bulletins-officiels.social.gouv.fr/instruction-ndeg-dgcssd5bdsssd1acns… (2) ; bretagne.ars.sante.fr → www.bretagne.ars.sante.fr/serafin-ph-la-reforme-du-financement-des-eta… (2) ; fhf.fr → www.fhf.fr/expertises/autonomie/handicap/serafin-ph-ouverture-du-recue… (2) ; e-solidarites.fr → www.e-solidarites.fr/gestion-financement/serafin-ph-decret-ndeg-2026-3… (1).</w:t>
      </w:r>
    </w:p>
    <w:p>
      <w:pPr>
        <w:spacing w:after="80"/>
      </w:pPr>
      <w:r>
        <w:rPr>
          <w:rFonts w:ascii="Calibri" w:cs="Calibri" w:eastAsia="Calibri" w:hAnsi="Calibri"/>
          <w:color w:val="1F2937"/>
          <w:sz w:val="22"/>
          <w:szCs w:val="22"/>
        </w:rPr>
        <w:t xml:space="preserve">La ligne « Source : ARS Bretagne (…) + CNSA page principale SERAFIN-PH » nommait deux sources sans domaine : les deux domaines sont ajoutés et liés le 12/09/2026.</w:t>
      </w:r>
    </w:p>
    <w:p>
      <w:pPr>
        <w:spacing w:after="80"/>
      </w:pPr>
      <w:r>
        <w:rPr>
          <w:rFonts w:ascii="Calibri" w:cs="Calibri" w:eastAsia="Calibri" w:hAnsi="Calibri"/>
          <w:color w:val="1F2937"/>
          <w:sz w:val="22"/>
          <w:szCs w:val="22"/>
        </w:rPr>
        <w:t xml:space="preserve">Note relue le 25/10/2026 au cours du balayage des 1 351 adresses citées par les 295 documents du dépôt — 8 rendaient HTTP 404 et 2 avaient un domaine qui ne résout plus. Contenu inchangé : seules des adresses de ressource sont touchées.</w:t>
      </w:r>
    </w:p>
    <w:p>
      <w:pPr>
        <w:spacing w:after="80"/>
      </w:pPr>
      <w:r>
        <w:rPr>
          <w:rFonts w:ascii="Calibri" w:cs="Calibri" w:eastAsia="Calibri" w:hAnsi="Calibri"/>
          <w:color w:val="1F2937"/>
          <w:sz w:val="22"/>
          <w:szCs w:val="22"/>
        </w:rPr>
        <w:t xml:space="preserve">Adresse d'origine conservée ici : « atih.sante.fr/champ-d-activite/personnes-handicapees » rendait HTTP 404 le 25/10/2026. La page citée existait quand la note a été produite ; l'ATIH a depuis réorganisé son site. Le lien pointe désormais atih.sante.fr/contribuer-au-financement/modalites-pour-les-etablissements-et-services-medico-sociaux, HTTP 200 le 25/10/2026, qui porte la réforme SERAFIN-PH et le recueil national PH.</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jc w:val="center"/>
    </w:pPr>
    <w:r>
      <w:rPr>
        <w:rFonts w:ascii="Calibri" w:cs="Calibri" w:eastAsia="Calibri" w:hAnsi="Calibri"/>
        <w:color w:val="6B7280"/>
        <w:sz w:val="16"/>
        <w:szCs w:val="16"/>
      </w:rPr>
      <w:t xml:space="preserve">Veille SERAFIN-PH — Produite le 22 juillet 2026  |  Fenêtre : 15 juillet 2026 → 22 juillet 2026  |  Sources : 2/3 consultées (ATIH ⛔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2500"/>
    </w:tblGrid>
    <w:tr>
      <w:tc>
        <w:tcPr>
          <w:shd w:fill="1B3A6B" w:color="auto" w:val="clear"/>
          <w:tcMar>
            <w:top w:type="dxa" w:w="80"/>
            <w:left w:type="dxa" w:w="120"/>
            <w:bottom w:type="dxa" w:w="80"/>
            <w:right w:type="dxa" w:w="120"/>
          </w:tcMar>
        </w:tcPr>
        <w:p>
          <w:r>
            <w:rPr>
              <w:rFonts w:ascii="Calibri" w:cs="Calibri" w:eastAsia="Calibri" w:hAnsi="Calibri"/>
              <w:b/>
              <w:bCs/>
              <w:color w:val="FFFFFF"/>
              <w:sz w:val="24"/>
              <w:szCs w:val="24"/>
            </w:rPr>
            <w:t xml:space="preserve">VEILLE SERAFIN-PH</w:t>
          </w:r>
          <w:r>
            <w:rPr>
              <w:rFonts w:ascii="Calibri" w:cs="Calibri" w:eastAsia="Calibri" w:hAnsi="Calibri"/>
              <w:color w:val="FFFFFF"/>
              <w:sz w:val="18"/>
              <w:szCs w:val="18"/>
            </w:rPr>
            <w:t xml:space="preserve">  ·  Synthèse hebdomadaire</w:t>
          </w:r>
        </w:p>
      </w:tc>
      <w:tc>
        <w:tcPr>
          <w:shd w:fill="1B3A6B" w:color="auto" w:val="clear"/>
          <w:tcMar>
            <w:top w:type="dxa" w:w="80"/>
            <w:left w:type="dxa" w:w="120"/>
            <w:bottom w:type="dxa" w:w="80"/>
            <w:right w:type="dxa" w:w="120"/>
          </w:tcMar>
        </w:tcPr>
        <w:p>
          <w:pPr>
            <w:jc w:val="right"/>
          </w:pPr>
          <w:r>
            <w:rPr>
              <w:rFonts w:ascii="Calibri" w:cs="Calibri" w:eastAsia="Calibri" w:hAnsi="Calibri"/>
              <w:color w:val="FFFFFF"/>
              <w:sz w:val="18"/>
              <w:szCs w:val="18"/>
            </w:rPr>
            <w:t xml:space="preserve">22 juillet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comite2026" Type="http://schemas.openxmlformats.org/officeDocument/2006/relationships/hyperlink" Target="https://handicap.gouv.fr/comite-strategique-de-la-reforme-tarifaire-des-etablissements-et-services-pour-personnes-handicapees-serafin-ph" TargetMode="External"/><Relationship Id="rIdcnsa_page2026" Type="http://schemas.openxmlformats.org/officeDocument/2006/relationships/hyperlink" Target="https://www.cnsa.fr/budget-et-financement/serafin-PH" TargetMode="External"/><Relationship Id="rIdatih_champ2026" Type="http://schemas.openxmlformats.org/officeDocument/2006/relationships/hyperlink" Target="https://www.atih.sante.fr/contribuer-au-financement/modalites-pour-les-etablissements-et-services-medico-sociaux" TargetMode="External"/><Relationship Id="rIdbo2026" Type="http://schemas.openxmlformats.org/officeDocument/2006/relationships/hyperlink" Target="https://bulletins-officiels.social.gouv.fr/instruction-ndeg-dgcssd5bdsssd1acnsadfo202680-du-16-juin-2026-relative-aux-orientations-de-la-campagne-budgetaire-des-etablissements-et-services-medico-sociaux-accueillant-des-personnes-en-situation-de-handicap-et-des-personnes-agees-pour-lexercice" TargetMode="External"/><Relationship Id="rIdars2026" Type="http://schemas.openxmlformats.org/officeDocument/2006/relationships/hyperlink" Target="https://www.bretagne.ars.sante.fr/serafin-ph-la-reforme-du-financement-des-etablissements-et-services-handicap-enfance" TargetMode="External"/><Relationship Id="rIdfhf2026" Type="http://schemas.openxmlformats.org/officeDocument/2006/relationships/hyperlink" Target="https://www.fhf.fr/expertises/autonomie/handicap/serafin-ph-ouverture-du-recueil-2026" TargetMode="External"/><Relationship Id="rIdesol2026" Type="http://schemas.openxmlformats.org/officeDocument/2006/relationships/hyperlink" Target="https://www.e-solidarites.fr/gestion-financement/serafin-ph-decret-ndeg-2026-376-du-13-mai-2026-fixant-les-conditions-d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2026-07-22T06:09:01.497Z</dcterms:created>
  <dcterms:modified xsi:type="dcterms:W3CDTF">2026-07-22T06:09:01.498Z</dcterms:modified>
</cp:coreProperties>
</file>

<file path=docProps/custom.xml><?xml version="1.0" encoding="utf-8"?>
<Properties xmlns="http://schemas.openxmlformats.org/officeDocument/2006/custom-properties" xmlns:vt="http://schemas.openxmlformats.org/officeDocument/2006/docPropsVTypes"/>
</file>