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36"/>
          <w:szCs w:val="36"/>
        </w:rPr>
        <w:t xml:space="preserve">Veille SERAFIN-PH — Synthèse hebdomadaire</w:t>
      </w:r>
    </w:p>
    <w:p>
      <w:pPr>
        <w:spacing w:after="40" w:before="0"/>
        <w:jc w:val="center"/>
      </w:pPr>
      <w:r>
        <w:rPr>
          <w:rFonts w:ascii="Calibri" w:cs="Calibri" w:eastAsia="Calibri" w:hAnsi="Calibri"/>
          <w:color w:val="1F2937"/>
          <w:sz w:val="22"/>
          <w:szCs w:val="22"/>
        </w:rPr>
        <w:t xml:space="preserve">Date de production : 12 août 2026</w:t>
      </w:r>
    </w:p>
    <w:p>
      <w:pPr>
        <w:spacing w:after="200" w:before="0"/>
        <w:jc w:val="center"/>
      </w:pPr>
      <w:r>
        <w:rPr>
          <w:rFonts w:ascii="Calibri" w:cs="Calibri" w:eastAsia="Calibri" w:hAnsi="Calibri"/>
          <w:i/>
          <w:iCs/>
          <w:color w:val="1F2937"/>
          <w:sz w:val="22"/>
          <w:szCs w:val="22"/>
        </w:rPr>
        <w:t xml:space="preserve">Fenêtre de veille : 05/08/2026 – 12/08/2026 (7 derniers jours)</w:t>
      </w:r>
    </w:p>
    <w:p>
      <w:pPr>
        <w:spacing w:after="100" w:before="300"/>
      </w:pPr>
      <w:r>
        <w:rPr>
          <w:rFonts w:ascii="Calibri" w:cs="Calibri" w:eastAsia="Calibri" w:hAnsi="Calibri"/>
          <w:b/>
          <w:bCs/>
          <w:color w:val="1B3A6B"/>
          <w:sz w:val="28"/>
          <w:szCs w:val="28"/>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Source</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URL consultée</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Apport</w:t>
            </w:r>
          </w:p>
        </w:tc>
      </w:tr>
      <w:tr>
        <w:tc>
          <w:tcPr>
            <w:shd w:fill="FFFFFF" w:val="clear"/>
            <w:tcMar>
              <w:top w:type="dxa" w:w="60"/>
              <w:left w:type="dxa" w:w="80"/>
              <w:bottom w:type="dxa" w:w="60"/>
              <w:right w:type="dxa" w:w="80"/>
            </w:tcMar>
            <w:vAlign w:val="center"/>
          </w:tcPr>
          <w:p>
            <w:pPr>
              <w:jc w:val="left"/>
            </w:pPr>
            <w:hyperlink w:history="1" r:id="rIdcomite2026">
              <w:r>
                <w:rPr>
                  <w:rFonts w:ascii="Calibri" w:cs="Calibri" w:eastAsia="Calibri" w:hAnsi="Calibri"/>
                  <w:sz w:val="20"/>
                  <w:szCs w:val="20"/>
                  <w:color w:val="1155CC"/>
                  <w:u w:val="single"/>
                </w:rPr>
                <w:t xml:space="preserve">handicap.gouv.fr</w:t>
              </w:r>
            </w:hyperlink>
            <w:r>
              <w:rPr>
                <w:rFonts w:ascii="Calibri" w:cs="Calibri" w:eastAsia="Calibri" w:hAnsi="Calibri"/>
                <w:color w:val="1F2937"/>
                <w:sz w:val="20"/>
                <w:szCs w:val="20"/>
              </w:rPr>
              <w:t xml:space="preserve"> — Comité stratégique SERAFIN-PH</w:t>
            </w:r>
          </w:p>
        </w:tc>
        <w:tc>
          <w:tcPr>
            <w:shd w:fill="FFFFFF" w:val="clear"/>
            <w:tcMar>
              <w:top w:type="dxa" w:w="60"/>
              <w:left w:type="dxa" w:w="80"/>
              <w:bottom w:type="dxa" w:w="60"/>
              <w:right w:type="dxa" w:w="80"/>
            </w:tcMar>
            <w:vAlign w:val="center"/>
          </w:tcPr>
          <w:p>
            <w:pPr>
              <w:jc w:val="center"/>
            </w:pPr>
            <w:hyperlink w:history="1" r:id="rIdcomite2026">
              <w:r>
                <w:rPr>
                  <w:rFonts w:ascii="Calibri" w:cs="Calibri" w:eastAsia="Calibri" w:hAnsi="Calibri"/>
                  <w:sz w:val="20"/>
                  <w:szCs w:val="20"/>
                  <w:color w:val="1155CC"/>
                  <w:u w:val="single"/>
                </w:rPr>
                <w:t xml:space="preserve">handicap.gouv.fr/comite-strategique-…</w:t>
              </w:r>
            </w:hyperlink>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Rappel de contexte (hors fenêtre)</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CNSA — Recueil PH 2026 (actualité)</w:t>
            </w:r>
          </w:p>
        </w:tc>
        <w:tc>
          <w:tcPr>
            <w:shd w:fill="EEF2F7" w:val="clear"/>
            <w:tcMar>
              <w:top w:type="dxa" w:w="60"/>
              <w:left w:type="dxa" w:w="80"/>
              <w:bottom w:type="dxa" w:w="60"/>
              <w:right w:type="dxa" w:w="80"/>
            </w:tcMar>
            <w:vAlign w:val="center"/>
          </w:tcPr>
          <w:p>
            <w:pPr>
              <w:jc w:val="center"/>
            </w:pPr>
            <w:hyperlink w:history="1" r:id="rIdcnsa_actu2026">
              <w:r>
                <w:rPr>
                  <w:rFonts w:ascii="Calibri" w:cs="Calibri" w:eastAsia="Calibri" w:hAnsi="Calibri"/>
                  <w:sz w:val="20"/>
                  <w:szCs w:val="20"/>
                  <w:color w:val="1155CC"/>
                  <w:u w:val="single"/>
                </w:rPr>
                <w:t xml:space="preserve">cnsa.fr/actualites/serafin-ph-…</w:t>
              </w:r>
            </w:hyperlink>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Rappel de contexte (hors fenêtre)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CNSA — Page générale SERAFIN-PH</w:t>
            </w:r>
          </w:p>
        </w:tc>
        <w:tc>
          <w:tcPr>
            <w:shd w:fill="FFFFFF" w:val="clear"/>
            <w:tcMar>
              <w:top w:type="dxa" w:w="60"/>
              <w:left w:type="dxa" w:w="80"/>
              <w:bottom w:type="dxa" w:w="60"/>
              <w:right w:type="dxa" w:w="80"/>
            </w:tcMar>
            <w:vAlign w:val="center"/>
          </w:tcPr>
          <w:p>
            <w:pPr>
              <w:jc w:val="center"/>
            </w:pPr>
            <w:hyperlink w:history="1" r:id="rIdcnsa_page2026">
              <w:r>
                <w:rPr>
                  <w:rFonts w:ascii="Calibri" w:cs="Calibri" w:eastAsia="Calibri" w:hAnsi="Calibri"/>
                  <w:sz w:val="20"/>
                  <w:szCs w:val="20"/>
                  <w:color w:val="1155CC"/>
                  <w:u w:val="single"/>
                </w:rPr>
                <w:t xml:space="preserve">cnsa.fr/budget-et-financement/serafin-PH</w:t>
              </w:r>
            </w:hyperlink>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Aucun élément nouveau juillet-août 2026</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Légifrance — Décret n° 2026-376</w:t>
            </w:r>
          </w:p>
        </w:tc>
        <w:tc>
          <w:tcPr>
            <w:shd w:fill="EEF2F7" w:val="clear"/>
            <w:tcMar>
              <w:top w:type="dxa" w:w="60"/>
              <w:left w:type="dxa" w:w="80"/>
              <w:bottom w:type="dxa" w:w="60"/>
              <w:right w:type="dxa" w:w="80"/>
            </w:tcMar>
            <w:vAlign w:val="center"/>
          </w:tcPr>
          <w:p>
            <w:pPr>
              <w:jc w:val="center"/>
            </w:pPr>
            <w:hyperlink w:history="1" r:id="rIdlegi2026">
              <w:r>
                <w:rPr>
                  <w:rFonts w:ascii="Calibri" w:cs="Calibri" w:eastAsia="Calibri" w:hAnsi="Calibri"/>
                  <w:sz w:val="20"/>
                  <w:szCs w:val="20"/>
                  <w:color w:val="1155CC"/>
                  <w:u w:val="single"/>
                </w:rPr>
                <w:t xml:space="preserve">legifrance.gouv.fr/jorf/id/JORFTEXT000054103861</w:t>
              </w:r>
            </w:hyperlink>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Consultée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Rappel de contexte (hors fenêtre)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ATIH — Personnes handicapées</w:t>
            </w:r>
          </w:p>
        </w:tc>
        <w:tc>
          <w:tcPr>
            <w:shd w:fill="FFFFFF" w:val="clear"/>
            <w:tcMar>
              <w:top w:type="dxa" w:w="60"/>
              <w:left w:type="dxa" w:w="80"/>
              <w:bottom w:type="dxa" w:w="60"/>
              <w:right w:type="dxa" w:w="80"/>
            </w:tcMar>
            <w:vAlign w:val="center"/>
          </w:tcPr>
          <w:p>
            <w:pPr>
              <w:jc w:val="center"/>
            </w:pPr>
            <w:hyperlink w:history="1" r:id="rIdatih_champ2026">
              <w:r>
                <w:rPr>
                  <w:rFonts w:ascii="Calibri" w:cs="Calibri" w:eastAsia="Calibri" w:hAnsi="Calibri"/>
                  <w:sz w:val="20"/>
                  <w:szCs w:val="20"/>
                  <w:color w:val="1155CC"/>
                  <w:u w:val="single"/>
                </w:rPr>
                <w:t xml:space="preserve">atih.sante.fr/contribuer-au-financement/modalites-pour-les-etablissements-et-services-medico-sociaux</w:t>
              </w:r>
            </w:hyperlink>
            <w:r>
              <w:rPr>
                <w:rFonts w:ascii="Calibri" w:cs="Calibri" w:eastAsia="Calibri" w:hAnsi="Calibri"/>
                <w:i/>
                <w:iCs/>
                <w:color w:val="6B7280"/>
                <w:sz w:val="20"/>
                <w:szCs w:val="20"/>
              </w:rPr>
              <w:t xml:space="preserve">   [Corrigé le 25/10/2026 : lien repointé. L'adresse d'origine atih.sante.fr/champ-d-activite/personnes-handicapees rend HTTP 404 le 25/10/2026 (trois essais, faisceau de certificats du dépôt, l'hôte répondant 200 à sa racine) : l'ATIH a réorganisé son site et la branche /champ-d-activite/ a disparu. Le lien pointe désormais « Modalités pour les établissements et services médico-sociaux », la page qui porte aujourd'hui la réforme SERAFIN-PH et les recueils de données PH — « un recueil national en 2025 » y est écrit, vérifié le 25/10/2026. Contenu de la note inchangé]</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403 Bloqué</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Données via WebSearch (sources secondaires)</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ATIH — Campagne financement 2026</w:t>
            </w:r>
          </w:p>
        </w:tc>
        <w:tc>
          <w:tcPr>
            <w:shd w:fill="EEF2F7" w:val="clear"/>
            <w:tcMar>
              <w:top w:type="dxa" w:w="60"/>
              <w:left w:type="dxa" w:w="80"/>
              <w:bottom w:type="dxa" w:w="60"/>
              <w:right w:type="dxa" w:w="80"/>
            </w:tcMar>
            <w:vAlign w:val="center"/>
          </w:tcPr>
          <w:p>
            <w:pPr>
              <w:jc w:val="center"/>
            </w:pPr>
            <w:hyperlink w:history="1" r:id="rIdatih_camp2026">
              <w:r>
                <w:rPr>
                  <w:rFonts w:ascii="Calibri" w:cs="Calibri" w:eastAsia="Calibri" w:hAnsi="Calibri"/>
                  <w:sz w:val="20"/>
                  <w:szCs w:val="20"/>
                  <w:color w:val="1155CC"/>
                  <w:u w:val="single"/>
                </w:rPr>
                <w:t xml:space="preserve">atih.sante.fr/campagnes-de-financement</w:t>
              </w:r>
            </w:hyperlink>
            <w:r>
              <w:rPr>
                <w:rFonts w:ascii="Calibri" w:cs="Calibri" w:eastAsia="Calibri" w:hAnsi="Calibri"/>
                <w:i/>
                <w:iCs/>
                <w:color w:val="6B7280"/>
                <w:sz w:val="20"/>
                <w:szCs w:val="20"/>
              </w:rPr>
              <w:t xml:space="preserve">   [Corrigé le 25/10/2026 : lien repointé. L'actualité citée rend HTTP 404 le 25/10/2026 : l'ATIH a retiré cette page d'actualité en réorganisant son site. Le lien pointe désormais l'index « Campagnes de financement », qui porte le filtre Médico-social / PH / ESSMS et la campagne 2026, HTTP 200 le 25/10/2026. ⚠️ C'est un index, non un article daté : son contenu bouge]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403 Bloqué</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Non exploitable</w:t>
            </w:r>
          </w:p>
        </w:tc>
      </w:tr>
    </w:tbl>
    <w:p>
      <w:pPr>
        <w:spacing w:after="0" w:before="120"/>
      </w:pPr>
    </w:p>
    <w:p>
      <w:pPr>
        <w:spacing w:after="60" w:before="60"/>
      </w:pPr>
      <w:r>
        <w:rPr>
          <w:rFonts w:ascii="Calibri" w:cs="Calibri" w:eastAsia="Calibri" w:hAnsi="Calibri"/>
          <w:i/>
          <w:iCs/>
          <w:color w:val="6B7280"/>
          <w:sz w:val="20"/>
          <w:szCs w:val="20"/>
        </w:rPr>
        <w:t xml:space="preserve">⚠️ ATIH bloque systématiquement les requêtes automatiques (HTTP 403). Les informations issues de WebSearch sur ce domaine sont des extraits de sources secondaires — non repris comme faits dans le corps de la note.</w:t>
      </w: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En bref — Tableau de bord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Thème</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Statut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Échéance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Actualités de la semaine (05–12/08/2026)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 Semaine creuse — aucune publication identifiée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Recueil PH 2026 (collecte ESMS)</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Phase terminée — traitement en cours (CNSA/ATIH)</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Juillet 2026 (clôture recueil)</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Simulation des dotations</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En cours (CNSA + ATIH)</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Fin 2026</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Déploiement modèle tarifaire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Préparation — secteur enfance prioritaire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1ᵉʳ janvier 2027</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Convergence progressive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Période de 8 ans prévue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2027 → 2035 (estimé)</w:t>
            </w:r>
          </w:p>
        </w:tc>
      </w:tr>
    </w:tbl>
    <w:p>
      <w:pPr>
        <w:spacing w:after="0" w:before="100"/>
      </w:pP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Actualités de la semaine (05/08/2026 – 12/08/2026)</w:t>
      </w:r>
    </w:p>
    <w:p>
      <w:pPr>
        <w:spacing w:after="80" w:before="80"/>
      </w:pPr>
      <w:r>
        <w:rPr>
          <w:rFonts w:ascii="Calibri" w:cs="Calibri" w:eastAsia="Calibri" w:hAnsi="Calibri"/>
          <w:b/>
          <w:bCs/>
          <w:color w:val="B45309"/>
          <w:sz w:val="22"/>
          <w:szCs w:val="22"/>
        </w:rPr>
        <w:t xml:space="preserve">🟡 Semaine creuse — Aucune publication officielle identifiée dans la fenêtre.</w:t>
      </w:r>
    </w:p>
    <w:p>
      <w:pPr>
        <w:spacing w:after="60" w:before="60"/>
      </w:pPr>
      <w:r>
        <w:rPr>
          <w:rFonts w:ascii="Calibri" w:cs="Calibri" w:eastAsia="Calibri" w:hAnsi="Calibri"/>
          <w:color w:val="1F2937"/>
          <w:sz w:val="22"/>
          <w:szCs w:val="22"/>
        </w:rPr>
        <w:t xml:space="preserve">Après interrogation des sources institutionnelles (</w:t>
      </w:r>
      <w:hyperlink w:history="1" r:id="rIdcomite2026">
        <w:r>
          <w:rPr>
            <w:rFonts w:ascii="Calibri" w:cs="Calibri" w:eastAsia="Calibri" w:hAnsi="Calibri"/>
            <w:sz w:val="22"/>
            <w:szCs w:val="22"/>
            <w:color w:val="1155CC"/>
            <w:u w:val="single"/>
          </w:rPr>
          <w:t xml:space="preserve">handicap.gouv.fr</w:t>
        </w:r>
      </w:hyperlink>
      <w:r>
        <w:rPr>
          <w:rFonts w:ascii="Calibri" w:cs="Calibri" w:eastAsia="Calibri" w:hAnsi="Calibri"/>
          <w:color w:val="1F2937"/>
          <w:sz w:val="22"/>
          <w:szCs w:val="22"/>
        </w:rPr>
        <w:t xml:space="preserve">, </w:t>
      </w:r>
      <w:hyperlink w:history="1" r:id="rIdcnsa_page2026">
        <w:r>
          <w:rPr>
            <w:rFonts w:ascii="Calibri" w:cs="Calibri" w:eastAsia="Calibri" w:hAnsi="Calibri"/>
            <w:sz w:val="22"/>
            <w:szCs w:val="22"/>
            <w:color w:val="1155CC"/>
            <w:u w:val="single"/>
          </w:rPr>
          <w:t xml:space="preserve">cnsa.fr</w:t>
        </w:r>
      </w:hyperlink>
      <w:r>
        <w:rPr>
          <w:rFonts w:ascii="Calibri" w:cs="Calibri" w:eastAsia="Calibri" w:hAnsi="Calibri"/>
          <w:color w:val="1F2937"/>
          <w:sz w:val="22"/>
          <w:szCs w:val="22"/>
        </w:rPr>
        <w:t xml:space="preserve">, </w:t>
      </w:r>
      <w:hyperlink w:history="1" r:id="rIdatih_champ2026">
        <w:r>
          <w:rPr>
            <w:rFonts w:ascii="Calibri" w:cs="Calibri" w:eastAsia="Calibri" w:hAnsi="Calibri"/>
            <w:sz w:val="22"/>
            <w:szCs w:val="22"/>
            <w:color w:val="1155CC"/>
            <w:u w:val="single"/>
          </w:rPr>
          <w:t xml:space="preserve">atih.sante.fr</w:t>
        </w:r>
      </w:hyperlink>
      <w:r>
        <w:rPr>
          <w:rFonts w:ascii="Calibri" w:cs="Calibri" w:eastAsia="Calibri" w:hAnsi="Calibri"/>
          <w:color w:val="1F2937"/>
          <w:sz w:val="22"/>
          <w:szCs w:val="22"/>
        </w:rPr>
        <w:t xml:space="preserve">, </w:t>
      </w:r>
      <w:hyperlink w:history="1" r:id="rIdlegi2026">
        <w:r>
          <w:rPr>
            <w:rFonts w:ascii="Calibri" w:cs="Calibri" w:eastAsia="Calibri" w:hAnsi="Calibri"/>
            <w:sz w:val="22"/>
            <w:szCs w:val="22"/>
            <w:color w:val="1155CC"/>
            <w:u w:val="single"/>
          </w:rPr>
          <w:t xml:space="preserve">legifrance.gouv.fr</w:t>
        </w:r>
      </w:hyperlink>
      <w:r>
        <w:rPr>
          <w:rFonts w:ascii="Calibri" w:cs="Calibri" w:eastAsia="Calibri" w:hAnsi="Calibri"/>
          <w:color w:val="1F2937"/>
          <w:sz w:val="22"/>
          <w:szCs w:val="22"/>
        </w:rPr>
        <w:t xml:space="preserve">), aucune publication, décision, note ou actualité datée entre le 5 et le 12 août 2026 n'a pu être identifiée concernant SERAFIN-PH.</w:t>
      </w:r>
    </w:p>
    <w:p>
      <w:pPr>
        <w:spacing w:after="60" w:before="60"/>
      </w:pPr>
      <w:r>
        <w:rPr>
          <w:rFonts w:ascii="Calibri" w:cs="Calibri" w:eastAsia="Calibri" w:hAnsi="Calibri"/>
          <w:color w:val="1F2937"/>
          <w:sz w:val="22"/>
          <w:szCs w:val="22"/>
        </w:rPr>
        <w:t xml:space="preserve">Cela est cohérent avec le calendrier de la réforme : le recueil PH 2026 (collecte mars–juillet 2026) vient de se clore, et les équipes CNSA/ATIH sont en phase d'analyse et de simulation des dotations, dont les résultats sont attendus pour la fin 2026.</w:t>
      </w:r>
    </w:p>
    <w:p>
      <w:pPr>
        <w:spacing w:after="60" w:before="60"/>
      </w:pPr>
      <w:r>
        <w:rPr>
          <w:rFonts w:ascii="Calibri" w:cs="Calibri" w:eastAsia="Calibri" w:hAnsi="Calibri"/>
          <w:i/>
          <w:iCs/>
          <w:color w:val="6B7280"/>
          <w:sz w:val="20"/>
          <w:szCs w:val="20"/>
        </w:rPr>
        <w:t xml:space="preserve">Conformément aux règles de rigueur documentaire de cette veille : une semaine honnêtement vide est préférable à une note artificiellement fournie avec des éléments anciens.</w:t>
      </w: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Rappel de contexte (éléments hors fenêtre — pour mémoire)</w:t>
      </w:r>
    </w:p>
    <w:p>
      <w:pPr>
        <w:spacing w:after="60" w:before="60"/>
      </w:pPr>
      <w:r>
        <w:rPr>
          <w:rFonts w:ascii="Calibri" w:cs="Calibri" w:eastAsia="Calibri" w:hAnsi="Calibri"/>
          <w:i/>
          <w:iCs/>
          <w:color w:val="6B7280"/>
          <w:sz w:val="20"/>
          <w:szCs w:val="20"/>
        </w:rPr>
        <w:t xml:space="preserve">Les éléments ci-dessous sont datés hors de la fenêtre du 05 au 12/08/2026. Ils sont présentés à titre de contexte, avec leurs dates affichées.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Date événement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Date publication</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Élément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Source primaire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13 mai 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16 mai 2026 (JORF n°0114)</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Décret n° 2026-376 fixant les conditions de transmission des données pour le calcul des dotations globales (article 90 LFSS 2026). Obligations : vérification, validation et transmission via SIDOBA CNSA. Conservation des données : 10 ans max. Avis CNIL favorable : 26 mars 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Légifrance ✅</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Mars–juillet 2026</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Calendrier connu depuis déc. 2025</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Recueil PH 2026 : ouverture SIDOBA (fév. 2026), recueil phase 1 - caractéristiques des places (avril 2026), phase 2 - activité et dotation complémentaire (mai 2026), clôture et export données CNSA (juillet 2026).</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CNSA ✅ / WebSearch ATIH ⛔ secondaire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2 juillet 2025</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3 juillet 2025</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Comité stratégique SERAFIN-PH : 86 % des établissements ont répondu au recueil 2025 (90 % des solutions installées représentées). Prochaines étapes annoncées : finaliser modèle de transition, préparer recueil 2026 à périmètre réduit, partager les impacts au niveau établissement.</w:t>
            </w:r>
          </w:p>
        </w:tc>
        <w:tc>
          <w:tcPr>
            <w:shd w:fill="FFFFFF" w:val="clear"/>
            <w:tcMar>
              <w:top w:type="dxa" w:w="60"/>
              <w:left w:type="dxa" w:w="80"/>
              <w:bottom w:type="dxa" w:w="60"/>
              <w:right w:type="dxa" w:w="80"/>
            </w:tcMar>
            <w:vAlign w:val="center"/>
          </w:tcPr>
          <w:p>
            <w:pPr>
              <w:jc w:val="center"/>
            </w:pPr>
            <w:hyperlink w:history="1" r:id="rIdcomite2026">
              <w:r>
                <w:rPr>
                  <w:rFonts w:ascii="Calibri" w:cs="Calibri" w:eastAsia="Calibri" w:hAnsi="Calibri"/>
                  <w:sz w:val="20"/>
                  <w:szCs w:val="20"/>
                  <w:color w:val="1155CC"/>
                  <w:u w:val="single"/>
                </w:rPr>
                <w:t xml:space="preserve">handicap.gouv.fr</w:t>
              </w:r>
            </w:hyperlink>
            <w:r>
              <w:rPr>
                <w:rFonts w:ascii="Calibri" w:cs="Calibri" w:eastAsia="Calibri" w:hAnsi="Calibri"/>
                <w:color w:val="1F2937"/>
                <w:sz w:val="20"/>
                <w:szCs w:val="20"/>
              </w:rPr>
              <w:t xml:space="preserve"> ✅</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Décembre 2025</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17 décembre 2025</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Note CNSA/DGCS : le recueil PH 2026 portera sur « une quarantaine de variables strictement nécessaires ». Pas de recensement des accompagnements individuels. Phase 1 centrée sur caractéristiques des places (mars 2026), phase 2 indicateurs activité et dotation complémentaire (mai 2026).</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CNSA ✅</w:t>
            </w:r>
          </w:p>
        </w:tc>
      </w:tr>
    </w:tbl>
    <w:p>
      <w:pPr>
        <w:spacing w:after="0" w:before="100"/>
      </w:pP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Point</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Détail pratique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Vérifier la complétude du recueil PH 2026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Si votre établissement accompagne des mineurs/jeunes adultes handicapés et n'a pas transmis ses données via SIDOBA avant juillet 2026, contactez votre ARS sans délai. Une absence de données peut affecter le calcul de la dotation 2027.</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Phase de simulation : attente des résultats</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La CNSA et l'ATIH sont en cours de simulation des dotations individuelles pour chaque établissement concerné. Les résultats sont attendus fin 2026. Aucune action requise de la part des établissements en août 2026, mais il faut anticiper les échanges ARS au 4ᵉ trimestre.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Obligations légales issues du décret n° 2026-376</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La transmission des données via SIDOBA est une obligation légale (article 90 LFSS 2026). Conservation des données imposée : 10 ans. Vérifier que votre DPO est informé du traitement et du périmètre de données transmises.</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Secteur adultes : calendrier encore non arrêté</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Le déploiement prévu au 1ᵉʳ janvier 2027 concerne en priorité le secteur enfance. Les modalités pour les ESSMS adultes (foyers d'hébergement, FAM, MAS, SAVS, SAMSAH) ne sont pas encore arrêtées à ce stade. Suivre les publications CNSA/DGCS.</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 Convergence progressive : anticiper les impacts budgétaires</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La période de convergence est prévue sur 8 ans (2027–2035 estimé). Les gestionnaires doivent anticiper que leur dotation actuelle peut évoluer progressivement — à la hausse ou à la baisse — selon le positionnement de l'établissement par rapport au modèle tarifaire cible.</w:t>
            </w:r>
          </w:p>
        </w:tc>
      </w:tr>
    </w:tbl>
    <w:p>
      <w:pPr>
        <w:spacing w:after="0" w:before="100"/>
      </w:pP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Agenda — Prochains rendez-vous</w:t>
      </w:r>
    </w:p>
    <w:p>
      <w:pPr>
        <w:spacing w:after="60" w:before="60"/>
      </w:pPr>
      <w:r>
        <w:rPr>
          <w:rFonts w:ascii="Calibri" w:cs="Calibri" w:eastAsia="Calibri" w:hAnsi="Calibri"/>
          <w:color w:val="1F2937"/>
          <w:sz w:val="22"/>
          <w:szCs w:val="22"/>
        </w:rPr>
        <w:t xml:space="preserve">[ ] Fin 2026 — Transmission par la CNSA/ATIH des résultats de simulation des dotations aux ARS (secteur enfance)</w:t>
      </w:r>
    </w:p>
    <w:p>
      <w:pPr>
        <w:spacing w:after="60" w:before="60"/>
      </w:pPr>
      <w:r>
        <w:rPr>
          <w:rFonts w:ascii="Calibri" w:cs="Calibri" w:eastAsia="Calibri" w:hAnsi="Calibri"/>
          <w:color w:val="1F2937"/>
          <w:sz w:val="22"/>
          <w:szCs w:val="22"/>
        </w:rPr>
        <w:t xml:space="preserve">[ ] 4ᵉ trimestre 2026 — Échanges entre ARS et établissements du secteur enfance sur l'impact de la réforme au niveau individuel</w:t>
      </w:r>
    </w:p>
    <w:p>
      <w:pPr>
        <w:spacing w:after="60" w:before="60"/>
      </w:pPr>
      <w:r>
        <w:rPr>
          <w:rFonts w:ascii="Calibri" w:cs="Calibri" w:eastAsia="Calibri" w:hAnsi="Calibri"/>
          <w:color w:val="1F2937"/>
          <w:sz w:val="22"/>
          <w:szCs w:val="22"/>
        </w:rPr>
        <w:t xml:space="preserve">[ ] 1ᵉʳ janvier 2027 — Déploiement opérationnel du nouveau modèle tarifaire SERAFIN-PH (secteur enfance, période de convergence de 8 ans)</w:t>
      </w:r>
    </w:p>
    <w:p>
      <w:pPr>
        <w:spacing w:after="60" w:before="60"/>
      </w:pPr>
      <w:r>
        <w:rPr>
          <w:rFonts w:ascii="Calibri" w:cs="Calibri" w:eastAsia="Calibri" w:hAnsi="Calibri"/>
          <w:color w:val="1F2937"/>
          <w:sz w:val="22"/>
          <w:szCs w:val="22"/>
        </w:rPr>
        <w:t xml:space="preserve">[ ] 2027 — Publication attendue des modalités de déploiement pour le secteur adultes (pas de date officielle à ce jour)</w:t>
      </w:r>
    </w:p>
    <w:p>
      <w:pPr>
        <w:spacing w:after="60" w:before="60"/>
      </w:pPr>
      <w:r>
        <w:rPr>
          <w:rFonts w:ascii="Calibri" w:cs="Calibri" w:eastAsia="Calibri" w:hAnsi="Calibri"/>
          <w:color w:val="1F2937"/>
          <w:sz w:val="22"/>
          <w:szCs w:val="22"/>
        </w:rPr>
        <w:t xml:space="preserve">[ ] À surveiller — Prochaine publication CNSA sur SERAFIN-PH (comité stratégique, note de cadrage, instruction)</w:t>
      </w:r>
    </w:p>
    <w:p>
      <w:pPr>
        <w:pBdr>
          <w:bottom w:val="single" w:color="1B3A6B" w:sz="4"/>
        </w:pBdr>
        <w:spacing w:after="160" w:before="160"/>
      </w:pPr>
    </w:p>
    <w:p>
      <w:pPr>
        <w:spacing w:after="100" w:before="300"/>
      </w:pPr>
      <w:r>
        <w:rPr>
          <w:rFonts w:ascii="Calibri" w:cs="Calibri" w:eastAsia="Calibri" w:hAnsi="Calibri"/>
          <w:b/>
          <w:bCs/>
          <w:color w:val="1B3A6B"/>
          <w:sz w:val="28"/>
          <w:szCs w:val="28"/>
        </w:rPr>
        <w:t xml:space="preserve">🏛️ Rappel SERAFIN-PH : rôle de chaque acteur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Acteur</w:t>
            </w:r>
          </w:p>
        </w:tc>
        <w:tc>
          <w:tcPr>
            <w:shd w:fill="1B3A6B" w:val="clear"/>
            <w:tcMar>
              <w:top w:type="dxa" w:w="60"/>
              <w:left w:type="dxa" w:w="80"/>
              <w:bottom w:type="dxa" w:w="60"/>
              <w:right w:type="dxa" w:w="80"/>
            </w:tcMar>
            <w:vAlign w:val="center"/>
          </w:tcPr>
          <w:p>
            <w:pPr>
              <w:jc w:val="center"/>
            </w:pPr>
            <w:r>
              <w:rPr>
                <w:rFonts w:ascii="Calibri" w:cs="Calibri" w:eastAsia="Calibri" w:hAnsi="Calibri"/>
                <w:b/>
                <w:bCs/>
                <w:color w:val="FFFFFF"/>
                <w:sz w:val="20"/>
                <w:szCs w:val="20"/>
              </w:rPr>
              <w:t xml:space="preserve">Rôle dans SERAFIN-PH</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DGCS (Direction générale de la cohésion sociale)</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Pilotage national de la réforme, co-responsable du traitement des données avec la CNSA, accès au système pour politiques publiques.</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CNSA (Caisse nationale de solidarité pour l'autonomie)</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Responsable conjointe du traitement, met à disposition le SI SIDOBA, assure l'export des données et la simulation des dotations. Publie les notes de cadrage.</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ATIH (Agence technique de l'information sur l'hospitalisation)</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Expertise technique du recueil de données médico-économiques, production du guide méthodologique, fourniture des outils de recueil (RAMSECE-PH, etc.).</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ARS (Agences régionales de santé)</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Vérification des données pour les établissements de leur ressort, relais local auprès des ESSMS, transmission des impacts de simulation.</w:t>
            </w:r>
          </w:p>
        </w:tc>
      </w:tr>
      <w:tr>
        <w:tc>
          <w:tcPr>
            <w:shd w:fill="FFFFFF"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ESSMS (Établissements et services médico-sociaux)</w:t>
            </w:r>
          </w:p>
        </w:tc>
        <w:tc>
          <w:tcPr>
            <w:shd w:fill="FFFFFF"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Transmission obligatoire des données via SIDOBA, vérification et validation. Récepteurs du nouveau modèle tarifaire à partir de 2027.</w:t>
            </w:r>
          </w:p>
        </w:tc>
      </w:tr>
      <w:tr>
        <w:tc>
          <w:tcPr>
            <w:shd w:fill="EEF2F7" w:val="clear"/>
            <w:tcMar>
              <w:top w:type="dxa" w:w="60"/>
              <w:left w:type="dxa" w:w="80"/>
              <w:bottom w:type="dxa" w:w="60"/>
              <w:right w:type="dxa" w:w="80"/>
            </w:tcMar>
            <w:vAlign w:val="center"/>
          </w:tcPr>
          <w:p>
            <w:pPr>
              <w:jc w:val="left"/>
            </w:pPr>
            <w:r>
              <w:rPr>
                <w:rFonts w:ascii="Calibri" w:cs="Calibri" w:eastAsia="Calibri" w:hAnsi="Calibri"/>
                <w:color w:val="1F2937"/>
                <w:sz w:val="20"/>
                <w:szCs w:val="20"/>
              </w:rPr>
              <w:t xml:space="preserve">CNIL</w:t>
            </w:r>
          </w:p>
        </w:tc>
        <w:tc>
          <w:tcPr>
            <w:shd w:fill="EEF2F7" w:val="clear"/>
            <w:tcMar>
              <w:top w:type="dxa" w:w="60"/>
              <w:left w:type="dxa" w:w="80"/>
              <w:bottom w:type="dxa" w:w="60"/>
              <w:right w:type="dxa" w:w="80"/>
            </w:tcMar>
            <w:vAlign w:val="center"/>
          </w:tcPr>
          <w:p>
            <w:pPr>
              <w:jc w:val="center"/>
            </w:pPr>
            <w:r>
              <w:rPr>
                <w:rFonts w:ascii="Calibri" w:cs="Calibri" w:eastAsia="Calibri" w:hAnsi="Calibri"/>
                <w:color w:val="1F2937"/>
                <w:sz w:val="20"/>
                <w:szCs w:val="20"/>
              </w:rPr>
              <w:t xml:space="preserve">Avis rendu le 26 mars 2026 sur le traitement de données lié au décret n° 2026-376. Garant du cadre RGPD applicable.</w:t>
            </w:r>
          </w:p>
        </w:tc>
      </w:tr>
    </w:tbl>
    <w:p>
      <w:pPr>
        <w:spacing w:after="0" w:before="100"/>
      </w:pPr>
    </w:p>
    <w:p>
      <w:pPr>
        <w:pBdr>
          <w:bottom w:val="single" w:color="1B3A6B" w:sz="4"/>
        </w:pBdr>
        <w:spacing w:after="160" w:before="160"/>
      </w:pPr>
    </w:p>
    <w:p>
      <w:pPr>
        <w:spacing w:after="60" w:before="80"/>
      </w:pPr>
      <w:r>
        <w:rPr>
          <w:rFonts w:ascii="Calibri" w:cs="Calibri" w:eastAsia="Calibri" w:hAnsi="Calibri"/>
          <w:b/>
          <w:bCs/>
          <w:color w:val="1B3A6B"/>
          <w:sz w:val="20"/>
          <w:szCs w:val="20"/>
        </w:rPr>
        <w:t xml:space="preserve">Pied de page — Statut des sources</w:t>
      </w:r>
    </w:p>
    <w:p>
      <w:pPr>
        <w:spacing w:after="60" w:before="60"/>
      </w:pPr>
      <w:r>
        <w:rPr>
          <w:rFonts w:ascii="Calibri" w:cs="Calibri" w:eastAsia="Calibri" w:hAnsi="Calibri"/>
          <w:i/>
          <w:iCs/>
          <w:color w:val="6B7280"/>
          <w:sz w:val="20"/>
          <w:szCs w:val="20"/>
        </w:rPr>
        <w:t xml:space="preserve">Date de production : 12 août 2026 | Fenêtre couverte : 05/08/2026 – 12/08/2026</w:t>
      </w:r>
    </w:p>
    <w:p>
      <w:pPr>
        <w:spacing w:after="60" w:before="60"/>
      </w:pPr>
      <w:r>
        <w:rPr>
          <w:rFonts w:ascii="Calibri" w:cs="Calibri" w:eastAsia="Calibri" w:hAnsi="Calibri"/>
          <w:i/>
          <w:iCs/>
          <w:color w:val="6B7280"/>
          <w:sz w:val="20"/>
          <w:szCs w:val="20"/>
        </w:rPr>
        <w:t xml:space="preserve">Sources consultées ✅ : </w:t>
      </w:r>
      <w:hyperlink w:history="1" r:id="rIdcomite2026">
        <w:r>
          <w:rPr>
            <w:rFonts w:ascii="Calibri" w:cs="Calibri" w:eastAsia="Calibri" w:hAnsi="Calibri"/>
            <w:i/>
            <w:iCs/>
            <w:sz w:val="20"/>
            <w:szCs w:val="20"/>
            <w:color w:val="1155CC"/>
            <w:u w:val="single"/>
          </w:rPr>
          <w:t xml:space="preserve">handicap.gouv.fr</w:t>
        </w:r>
      </w:hyperlink>
      <w:r>
        <w:rPr>
          <w:rFonts w:ascii="Calibri" w:cs="Calibri" w:eastAsia="Calibri" w:hAnsi="Calibri"/>
          <w:i/>
          <w:iCs/>
          <w:color w:val="6B7280"/>
          <w:sz w:val="20"/>
          <w:szCs w:val="20"/>
        </w:rPr>
        <w:t xml:space="preserve">, </w:t>
      </w:r>
      <w:hyperlink w:history="1" r:id="rIdcnsa_page2026">
        <w:r>
          <w:rPr>
            <w:rFonts w:ascii="Calibri" w:cs="Calibri" w:eastAsia="Calibri" w:hAnsi="Calibri"/>
            <w:i/>
            <w:iCs/>
            <w:sz w:val="20"/>
            <w:szCs w:val="20"/>
            <w:color w:val="1155CC"/>
            <w:u w:val="single"/>
          </w:rPr>
          <w:t xml:space="preserve">cnsa.fr</w:t>
        </w:r>
      </w:hyperlink>
      <w:r>
        <w:rPr>
          <w:rFonts w:ascii="Calibri" w:cs="Calibri" w:eastAsia="Calibri" w:hAnsi="Calibri"/>
          <w:i/>
          <w:iCs/>
          <w:color w:val="6B7280"/>
          <w:sz w:val="20"/>
          <w:szCs w:val="20"/>
        </w:rPr>
        <w:t xml:space="preserve"> (2 pages), </w:t>
      </w:r>
      <w:hyperlink w:history="1" r:id="rIdlegi2026">
        <w:r>
          <w:rPr>
            <w:rFonts w:ascii="Calibri" w:cs="Calibri" w:eastAsia="Calibri" w:hAnsi="Calibri"/>
            <w:i/>
            <w:iCs/>
            <w:sz w:val="20"/>
            <w:szCs w:val="20"/>
            <w:color w:val="1155CC"/>
            <w:u w:val="single"/>
          </w:rPr>
          <w:t xml:space="preserve">legifrance.gouv.fr</w:t>
        </w:r>
      </w:hyperlink>
      <w:r>
        <w:rPr>
          <w:rFonts w:ascii="Calibri" w:cs="Calibri" w:eastAsia="Calibri" w:hAnsi="Calibri"/>
          <w:i/>
          <w:iCs/>
          <w:color w:val="6B7280"/>
          <w:sz w:val="20"/>
          <w:szCs w:val="20"/>
        </w:rPr>
        <w:t xml:space="preserve"> — 4 sources primaires</w:t>
      </w:r>
    </w:p>
    <w:p>
      <w:pPr>
        <w:spacing w:after="60" w:before="60"/>
      </w:pPr>
      <w:r>
        <w:rPr>
          <w:rFonts w:ascii="Calibri" w:cs="Calibri" w:eastAsia="Calibri" w:hAnsi="Calibri"/>
          <w:i/>
          <w:iCs/>
          <w:color w:val="6B7280"/>
          <w:sz w:val="20"/>
          <w:szCs w:val="20"/>
        </w:rPr>
        <w:t xml:space="preserve">Sources bloquées ⛔ : </w:t>
      </w:r>
      <w:hyperlink w:history="1" r:id="rIdatih_champ2026">
        <w:r>
          <w:rPr>
            <w:rFonts w:ascii="Calibri" w:cs="Calibri" w:eastAsia="Calibri" w:hAnsi="Calibri"/>
            <w:i/>
            <w:iCs/>
            <w:sz w:val="20"/>
            <w:szCs w:val="20"/>
            <w:color w:val="1155CC"/>
            <w:u w:val="single"/>
          </w:rPr>
          <w:t xml:space="preserve">atih.sante.fr</w:t>
        </w:r>
      </w:hyperlink>
      <w:r>
        <w:rPr>
          <w:rFonts w:ascii="Calibri" w:cs="Calibri" w:eastAsia="Calibri" w:hAnsi="Calibri"/>
          <w:i/>
          <w:iCs/>
          <w:color w:val="6B7280"/>
          <w:sz w:val="20"/>
          <w:szCs w:val="20"/>
        </w:rPr>
        <w:t xml:space="preserve"> (HTTP 403 systématique sur WebFetch automatique)</w:t>
      </w:r>
    </w:p>
    <w:p>
      <w:pPr>
        <w:spacing w:after="60" w:before="60"/>
      </w:pPr>
      <w:r>
        <w:rPr>
          <w:rFonts w:ascii="Calibri" w:cs="Calibri" w:eastAsia="Calibri" w:hAnsi="Calibri"/>
          <w:i/>
          <w:iCs/>
          <w:color w:val="6B7280"/>
          <w:sz w:val="20"/>
          <w:szCs w:val="20"/>
        </w:rPr>
        <w:t xml:space="preserve">Aucune affirmation de mémoire — tous les éléments de contexte sont datés avec leur source primaire identifiée.</w:t>
      </w:r>
    </w:p>
    <w:p>
      <w:pPr>
        <w:spacing w:after="60" w:before="60"/>
      </w:pPr>
      <w:r>
        <w:rPr>
          <w:rFonts w:ascii="Calibri" w:cs="Calibri" w:eastAsia="Calibri" w:hAnsi="Calibri"/>
          <w:i/>
          <w:iCs/>
          <w:color w:val="6B7280"/>
          <w:sz w:val="20"/>
          <w:szCs w:val="20"/>
        </w:rPr>
        <w:t xml:space="preserve">Ce document est à usage interne (direction, chef de service). Il ne constitue pas un avis juridique.</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12/08/2026, relue le 12/09/2026 au cours d'un contrôle d'attribution des 221 documents du dépôt (règle ⑭ : une page ou un site nommé comme source doit être lié). Contenu inchangé.</w:t>
      </w:r>
    </w:p>
    <w:p>
      <w:pPr>
        <w:spacing w:after="80"/>
      </w:pPr>
      <w:r>
        <w:rPr>
          <w:rFonts w:ascii="Calibri" w:cs="Calibri" w:eastAsia="Calibri" w:hAnsi="Calibri"/>
          <w:color w:val="1F2937"/>
          <w:sz w:val="22"/>
          <w:szCs w:val="22"/>
        </w:rPr>
        <w:t xml:space="preserve">Chemins et sites nommés sans lien cliquable, chacun lié le 12/09/2026 à la page qu'il désigne, testée à 200 dans un navigateur (Légifrance : 403 pour l'agent du job, lisible dans un navigateur) : handicap.gouv.fr/comite-strategique-… → handicap.gouv.fr/comite-strategique-de-la-reforme-tarifaire-des-etabli… (1) ; cnsa.fr/actualites/serafin-ph-… → www.cnsa.fr/actualites/serafin-ph-preparation-du-recueil-dinformations… (1) ; cnsa.fr/budget-et-financement/serafin-PH → www.cnsa.fr/budget-et-financement/serafin-PH (1) ; legifrance.gouv.fr/jorf/id/JORFTEXT000054103861 → www.legifrance.gouv.fr/jorf/id/JORFTEXT000054103861 (1) ; atih.sante.fr/champ-d-activite/personnes-handicapees → www.atih.sante.fr/champ-d-activite/personnes-handicapees (1) ; atih.sante.fr/actualites/campagne-de-financement-2026 → www.atih.sante.fr/actualites/campagne-de-financement-2026 (1) ; handicap.gouv.fr → handicap.gouv.fr/comite-strategique-de-la-reforme-tarifaire-des-etabli… (4) ; cnsa.fr → www.cnsa.fr/budget-et-financement/serafin-PH (2) ; atih.sante.fr → www.atih.sante.fr/champ-d-activite/personnes-handicapees (2) ; legifrance.gouv.fr → www.legifrance.gouv.fr/jorf/id/JORFTEXT000054103861 (2).</w:t>
      </w:r>
    </w:p>
    <w:p>
      <w:pPr>
        <w:spacing w:after="80"/>
      </w:pPr>
      <w:r>
        <w:rPr>
          <w:rFonts w:ascii="Calibri" w:cs="Calibri" w:eastAsia="Calibri" w:hAnsi="Calibri"/>
          <w:color w:val="1F2937"/>
          <w:sz w:val="22"/>
          <w:szCs w:val="22"/>
        </w:rPr>
        <w:t xml:space="preserve">Note relue le 25/10/2026 au cours du balayage des 1 351 adresses citées par les 295 documents du dépôt — 8 rendaient HTTP 404 et 2 avaient un domaine qui ne résout plus. Contenu inchangé : seules des adresses de ressource sont touchées.</w:t>
      </w:r>
    </w:p>
    <w:p>
      <w:pPr>
        <w:spacing w:after="80"/>
      </w:pPr>
      <w:r>
        <w:rPr>
          <w:rFonts w:ascii="Calibri" w:cs="Calibri" w:eastAsia="Calibri" w:hAnsi="Calibri"/>
          <w:color w:val="1F2937"/>
          <w:sz w:val="22"/>
          <w:szCs w:val="22"/>
        </w:rPr>
        <w:t xml:space="preserve">Adresse d'origine conservée ici : « atih.sante.fr/champ-d-activite/personnes-handicapees » rendait HTTP 404 le 25/10/2026. La page citée existait quand la note a été produite ; l'ATIH a depuis réorganisé son site. Le lien pointe désormais atih.sante.fr/contribuer-au-financement/modalites-pour-les-etablissements-et-services-medico-sociaux, HTTP 200 le 25/10/2026, qui porte la réforme SERAFIN-PH et le recueil national PH.</w:t>
      </w:r>
    </w:p>
    <w:p>
      <w:pPr>
        <w:spacing w:after="80"/>
      </w:pPr>
      <w:r>
        <w:rPr>
          <w:rFonts w:ascii="Calibri" w:cs="Calibri" w:eastAsia="Calibri" w:hAnsi="Calibri"/>
          <w:color w:val="1F2937"/>
          <w:sz w:val="22"/>
          <w:szCs w:val="22"/>
        </w:rPr>
        <w:t xml:space="preserve">Deuxième adresse d'origine conservée ici : « atih.sante.fr/actualites/campagne-de-financement-2026 » rendait HTTP 404 le 25/10/2026, l'actualité ayant été retirée. Repointée sur l'index atih.sante.fr/campagnes-de-financement, HTTP 200, qui porte la campagne 2026 et le filtre Médico-social / PH / ESSMS.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comite2026" Type="http://schemas.openxmlformats.org/officeDocument/2006/relationships/hyperlink" Target="https://handicap.gouv.fr/comite-strategique-de-la-reforme-tarifaire-des-etablissements-et-services-pour-personnes-handicapees-serafin-ph" TargetMode="External"/><Relationship Id="rIdcnsa_actu2026" Type="http://schemas.openxmlformats.org/officeDocument/2006/relationships/hyperlink" Target="https://www.cnsa.fr/actualites/serafin-ph-preparation-du-recueil-dinformations-ph-2026-en-vue-du-deploiement-du-futur" TargetMode="External"/><Relationship Id="rIdcnsa_page2026" Type="http://schemas.openxmlformats.org/officeDocument/2006/relationships/hyperlink" Target="https://www.cnsa.fr/budget-et-financement/serafin-PH" TargetMode="External"/><Relationship Id="rIdlegi2026" Type="http://schemas.openxmlformats.org/officeDocument/2006/relationships/hyperlink" Target="https://www.legifrance.gouv.fr/jorf/id/JORFTEXT000054103861" TargetMode="External"/><Relationship Id="rIdatih_champ2026" Type="http://schemas.openxmlformats.org/officeDocument/2006/relationships/hyperlink" Target="https://www.atih.sante.fr/contribuer-au-financement/modalites-pour-les-etablissements-et-services-medico-sociaux" TargetMode="External"/><Relationship Id="rIdatih_camp2026" Type="http://schemas.openxmlformats.org/officeDocument/2006/relationships/hyperlink" Target="https://www.atih.sante.fr/campagnes-de-financement"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2026-08-12T06:08:14.262Z</dcterms:created>
  <dcterms:modified xsi:type="dcterms:W3CDTF">2026-08-12T06:08:14.263Z</dcterms:modified>
</cp:coreProperties>
</file>

<file path=docProps/custom.xml><?xml version="1.0" encoding="utf-8"?>
<Properties xmlns="http://schemas.openxmlformats.org/officeDocument/2006/custom-properties" xmlns:vt="http://schemas.openxmlformats.org/officeDocument/2006/docPropsVTypes"/>
</file>