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32"/>
          <w:szCs w:val="32"/>
        </w:rPr>
        <w:t xml:space="preserve">Veille SERAFIN-PH — Synthèse hebdomadaire</w:t>
      </w:r>
    </w:p>
    <w:p>
      <w:pPr>
        <w:spacing w:after="80"/>
        <w:jc w:val="center"/>
      </w:pPr>
      <w:r>
        <w:rPr>
          <w:rFonts w:ascii="Calibri" w:cs="Calibri" w:eastAsia="Calibri" w:hAnsi="Calibri"/>
          <w:color w:val="1F2937"/>
          <w:sz w:val="22"/>
          <w:szCs w:val="22"/>
        </w:rPr>
        <w:t xml:space="preserve">Date de production : 30 septembre 2026</w:t>
      </w:r>
    </w:p>
    <w:p>
      <w:pPr>
        <w:spacing w:after="200"/>
        <w:jc w:val="center"/>
      </w:pPr>
      <w:r>
        <w:rPr>
          <w:rFonts w:ascii="Calibri" w:cs="Calibri" w:eastAsia="Calibri" w:hAnsi="Calibri"/>
          <w:color w:val="1F2937"/>
          <w:sz w:val="22"/>
          <w:szCs w:val="22"/>
        </w:rPr>
        <w:t xml:space="preserve">Fenêtre couverte : 23 septembre 2026 — 30 septembre 2026</w:t>
      </w:r>
    </w:p>
    <w:p>
      <w:pPr>
        <w:spacing w:after="120" w:before="240"/>
      </w:pPr>
      <w:r>
        <w:rPr>
          <w:rFonts w:ascii="Calibri" w:cs="Calibri" w:eastAsia="Calibri" w:hAnsi="Calibri"/>
          <w:b/>
          <w:bCs/>
          <w:color w:val="1B3A6B"/>
          <w:sz w:val="28"/>
          <w:szCs w:val="28"/>
        </w:rPr>
        <w:t xml:space="preserve">Sources consultées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Statut</w:t>
            </w:r>
          </w:p>
        </w:tc>
      </w:tr>
      <w:tr>
        <w:tc>
          <w:tcPr>
            <w:tcMar>
              <w:top w:type="dxa" w:w="80"/>
              <w:left w:type="dxa" w:w="120"/>
              <w:bottom w:type="dxa" w:w="80"/>
              <w:right w:type="dxa" w:w="120"/>
            </w:tcMar>
          </w:tcPr>
          <w:p>
            <w:r>
              <w:rPr>
                <w:rFonts w:ascii="Calibri" w:cs="Calibri" w:eastAsia="Calibri" w:hAnsi="Calibri"/>
                <w:color w:val="1F2937"/>
                <w:sz w:val="20"/>
                <w:szCs w:val="20"/>
              </w:rPr>
              <w:t xml:space="preserve">handicap.gouv.fr — 14e comité stratégique SERAFIN-PH (23 mars 2026)</w:t>
            </w:r>
          </w:p>
        </w:tc>
        <w:tc>
          <w:tcPr>
            <w:tcMar>
              <w:top w:type="dxa" w:w="80"/>
              <w:left w:type="dxa" w:w="120"/>
              <w:bottom w:type="dxa" w:w="80"/>
              <w:right w:type="dxa" w:w="120"/>
            </w:tcMar>
          </w:tcPr>
          <w:p>
            <w:hyperlink w:history="1" r:id="rIdpssyddmd9etsfvglx7uca">
              <w:r>
                <w:rPr>
                  <w:rFonts w:ascii="Calibri" w:cs="Calibri" w:eastAsia="Calibri" w:hAnsi="Calibri"/>
                  <w:color w:val="1155CC"/>
                  <w:sz w:val="20"/>
                  <w:szCs w:val="20"/>
                  <w:u w:val="single"/>
                </w:rPr>
                <w:t xml:space="preserve">https://handicap.gouv.fr/reforme-tarifaire-des-esms-serafin-ph-14e-reunion-du-comite-strategique</w:t>
              </w:r>
            </w:hyperlink>
          </w:p>
        </w:tc>
        <w:tc>
          <w:tcPr>
            <w:tcMar>
              <w:top w:type="dxa" w:w="80"/>
              <w:left w:type="dxa" w:w="120"/>
              <w:bottom w:type="dxa" w:w="80"/>
              <w:right w:type="dxa" w:w="120"/>
            </w:tcMar>
          </w:tcPr>
          <w:p>
            <w:r>
              <w:rPr>
                <w:rFonts w:ascii="Calibri" w:cs="Calibri" w:eastAsia="Calibri" w:hAnsi="Calibri"/>
                <w:color w:val="1F2937"/>
                <w:sz w:val="20"/>
                <w:szCs w:val="20"/>
              </w:rPr>
              <w:t xml:space="preserve">✅ Consultée — contenu repris</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cnsa.fr — Préparation du recueil PH 2026 (publié 17/12/2025)</w:t>
            </w:r>
          </w:p>
        </w:tc>
        <w:tc>
          <w:tcPr>
            <w:shd w:fill="EEF2F7" w:val="solid"/>
            <w:tcMar>
              <w:top w:type="dxa" w:w="80"/>
              <w:left w:type="dxa" w:w="120"/>
              <w:bottom w:type="dxa" w:w="80"/>
              <w:right w:type="dxa" w:w="120"/>
            </w:tcMar>
          </w:tcPr>
          <w:p>
            <w:hyperlink w:history="1" r:id="rIdojejkghgnbr0zvz3nhblu">
              <w:r>
                <w:rPr>
                  <w:rFonts w:ascii="Calibri" w:cs="Calibri" w:eastAsia="Calibri" w:hAnsi="Calibri"/>
                  <w:color w:val="1155CC"/>
                  <w:sz w:val="20"/>
                  <w:szCs w:val="20"/>
                  <w:u w:val="single"/>
                </w:rPr>
                <w:t xml:space="preserve">https://www.cnsa.fr/actualites/serafin-ph-preparation-du-recueil-dinformations-ph-2026-en-vue-du-deploiement-du-futur</w:t>
              </w:r>
            </w:hyperlink>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 Consultée — contenu repris</w:t>
            </w:r>
          </w:p>
        </w:tc>
      </w:tr>
      <w:tr>
        <w:tc>
          <w:tcPr>
            <w:tcMar>
              <w:top w:type="dxa" w:w="80"/>
              <w:left w:type="dxa" w:w="120"/>
              <w:bottom w:type="dxa" w:w="80"/>
              <w:right w:type="dxa" w:w="120"/>
            </w:tcMar>
          </w:tcPr>
          <w:p>
            <w:r>
              <w:rPr>
                <w:rFonts w:ascii="Calibri" w:cs="Calibri" w:eastAsia="Calibri" w:hAnsi="Calibri"/>
                <w:color w:val="1F2937"/>
                <w:sz w:val="20"/>
                <w:szCs w:val="20"/>
              </w:rPr>
              <w:t xml:space="preserve">cnsa.fr — Recueil de données obligatoire dans les ESMS enfants</w:t>
            </w:r>
          </w:p>
        </w:tc>
        <w:tc>
          <w:tcPr>
            <w:tcMar>
              <w:top w:type="dxa" w:w="80"/>
              <w:left w:type="dxa" w:w="120"/>
              <w:bottom w:type="dxa" w:w="80"/>
              <w:right w:type="dxa" w:w="120"/>
            </w:tcMar>
          </w:tcPr>
          <w:p>
            <w:hyperlink w:history="1" r:id="rIdxquirxv-za5eseppuiwvv">
              <w:r>
                <w:rPr>
                  <w:rFonts w:ascii="Calibri" w:cs="Calibri" w:eastAsia="Calibri" w:hAnsi="Calibri"/>
                  <w:color w:val="1155CC"/>
                  <w:sz w:val="20"/>
                  <w:szCs w:val="20"/>
                  <w:u w:val="single"/>
                </w:rPr>
                <w:t xml:space="preserve">https://www.cnsa.fr/actualites/serafin-ph-un-recueil-de-donnees-obligatoire-dans-les-esms-pour-enfants-et-adolescents</w:t>
              </w:r>
            </w:hyperlink>
          </w:p>
        </w:tc>
        <w:tc>
          <w:tcPr>
            <w:tcMar>
              <w:top w:type="dxa" w:w="80"/>
              <w:left w:type="dxa" w:w="120"/>
              <w:bottom w:type="dxa" w:w="80"/>
              <w:right w:type="dxa" w:w="120"/>
            </w:tcMar>
          </w:tcPr>
          <w:p>
            <w:r>
              <w:rPr>
                <w:rFonts w:ascii="Calibri" w:cs="Calibri" w:eastAsia="Calibri" w:hAnsi="Calibri"/>
                <w:color w:val="1F2937"/>
                <w:sz w:val="20"/>
                <w:szCs w:val="20"/>
              </w:rPr>
              <w:t xml:space="preserve">⛔ Accès refusé (HTTP 403) — non exploitée</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atih.sante.fr — Recueil national PH</w:t>
            </w:r>
          </w:p>
        </w:tc>
        <w:tc>
          <w:tcPr>
            <w:shd w:fill="EEF2F7" w:val="solid"/>
            <w:tcMar>
              <w:top w:type="dxa" w:w="80"/>
              <w:left w:type="dxa" w:w="120"/>
              <w:bottom w:type="dxa" w:w="80"/>
              <w:right w:type="dxa" w:w="120"/>
            </w:tcMar>
          </w:tcPr>
          <w:p>
            <w:hyperlink w:history="1" r:id="rIdhax_ej4wnyp3asyaowfux">
              <w:r>
                <w:rPr>
                  <w:rFonts w:ascii="Calibri" w:cs="Calibri" w:eastAsia="Calibri" w:hAnsi="Calibri"/>
                  <w:color w:val="1155CC"/>
                  <w:sz w:val="20"/>
                  <w:szCs w:val="20"/>
                  <w:u w:val="single"/>
                </w:rPr>
                <w:t xml:space="preserve">https://www.atih.sante.fr/contribuer-au-financement/modalites-pour-les-etablissements-et-services-medico-sociaux</w:t>
              </w:r>
            </w:hyperlink>
            <w:r>
              <w:rPr>
                <w:rFonts w:ascii="Calibri" w:cs="Calibri" w:eastAsia="Calibri" w:hAnsi="Calibri"/>
                <w:i/>
                <w:iCs/>
                <w:color w:val="6B7280"/>
                <w:sz w:val="20"/>
                <w:szCs w:val="20"/>
              </w:rPr>
              <w:t xml:space="preserve">   [Corrigé le 25/10/2026 : lien repointé. L'adresse d'origine atih.sante.fr/champ-d-activite/personnes-handicapees rend HTTP 404 le 25/10/2026 (trois essais, faisceau de certificats du dépôt, l'hôte répondant 200 à sa racine) : l'ATIH a réorganisé son site et la branche /champ-d-activite/ a disparu. Le lien pointe désormais « Modalités pour les établissements et services médico-sociaux », la page qui porte aujourd'hui la réforme SERAFIN-PH et les recueils de données PH — « un recueil national en 2025 » y est écrit, vérifié le 25/10/2026. Contenu de la note inchangé. La note du 30/09 DÉCLARAIT déjà ce 404 plus bas — « page introuvable (HTTP 404) » — mais l'hyperlien, lui, restait cliquable vers la page morte]</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 Page introuvable (HTTP 404) — non exploitée</w:t>
            </w:r>
          </w:p>
        </w:tc>
      </w:tr>
    </w:tbl>
    <w:p>
      <w:pPr>
        <w:spacing w:before="200"/>
      </w:pPr>
    </w:p>
    <w:p>
      <w:pPr>
        <w:spacing w:after="120" w:before="240"/>
      </w:pPr>
      <w:r>
        <w:rPr>
          <w:rFonts w:ascii="Calibri" w:cs="Calibri" w:eastAsia="Calibri" w:hAnsi="Calibri"/>
          <w:b/>
          <w:bCs/>
          <w:color w:val="1B3A6B"/>
          <w:sz w:val="28"/>
          <w:szCs w:val="28"/>
        </w:rPr>
        <w:t xml:space="preserve">🔵 En bref — Tableau de bord</w:t>
      </w:r>
    </w:p>
    <w:p>
      <w:pPr>
        <w:spacing w:after="60" w:before="60"/>
      </w:pPr>
      <w:r>
        <w:rPr>
          <w:rFonts w:ascii="Calibri" w:cs="Calibri" w:eastAsia="Calibri" w:hAnsi="Calibri"/>
          <w:color w:val="1F2937"/>
          <w:sz w:val="22"/>
          <w:szCs w:val="22"/>
        </w:rPr>
        <w:t xml:space="preserve">⬜ SEMAINE CREUSE — Aucune publication primaire n'a été identifiée dans la fenêtre 23-30 septembre 2026 sur les sources institutionnelles (handicap.gouv.fr, cnsa.fr). Le tableau ci-dessous reflète l'état connu à la date de production.</w:t>
      </w:r>
    </w:p>
    <w:p>
      <w:pPr>
        <w:spacing w:before="8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Thème</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Statut</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Échéance</w:t>
            </w:r>
          </w:p>
        </w:tc>
      </w:tr>
      <w:tr>
        <w:tc>
          <w:tcPr>
            <w:tcMar>
              <w:top w:type="dxa" w:w="80"/>
              <w:left w:type="dxa" w:w="120"/>
              <w:bottom w:type="dxa" w:w="80"/>
              <w:right w:type="dxa" w:w="120"/>
            </w:tcMar>
          </w:tcPr>
          <w:p>
            <w:r>
              <w:rPr>
                <w:rFonts w:ascii="Calibri" w:cs="Calibri" w:eastAsia="Calibri" w:hAnsi="Calibri"/>
                <w:color w:val="1F2937"/>
                <w:sz w:val="20"/>
                <w:szCs w:val="20"/>
              </w:rPr>
              <w:t xml:space="preserve">Actualité de la semaine (23-30 sept. 2026)</w:t>
            </w:r>
          </w:p>
        </w:tc>
        <w:tc>
          <w:tcPr>
            <w:tcMar>
              <w:top w:type="dxa" w:w="80"/>
              <w:left w:type="dxa" w:w="120"/>
              <w:bottom w:type="dxa" w:w="80"/>
              <w:right w:type="dxa" w:w="120"/>
            </w:tcMar>
          </w:tcPr>
          <w:p>
            <w:r>
              <w:rPr>
                <w:rFonts w:ascii="Calibri" w:cs="Calibri" w:eastAsia="Calibri" w:hAnsi="Calibri"/>
                <w:color w:val="1F2937"/>
                <w:sz w:val="20"/>
                <w:szCs w:val="20"/>
              </w:rPr>
              <w:t xml:space="preserve">⬜ Vide — semaine creuse</w:t>
            </w:r>
          </w:p>
        </w:tc>
        <w:tc>
          <w:tcPr>
            <w:tcMar>
              <w:top w:type="dxa" w:w="80"/>
              <w:left w:type="dxa" w:w="120"/>
              <w:bottom w:type="dxa" w:w="80"/>
              <w:right w:type="dxa" w:w="120"/>
            </w:tcMar>
          </w:tcPr>
          <w:p>
            <w:r>
              <w:rPr>
                <w:rFonts w:ascii="Calibri" w:cs="Calibri" w:eastAsia="Calibri" w:hAnsi="Calibri"/>
                <w:color w:val="1F2937"/>
                <w:sz w:val="20"/>
                <w:szCs w:val="20"/>
              </w:rPr>
              <w:t xml:space="preserve">—</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Recueil PH 2026 — phase saisie ESMS</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Terminé (3 juillet 2026)</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Mar>
              <w:top w:type="dxa" w:w="80"/>
              <w:left w:type="dxa" w:w="120"/>
              <w:bottom w:type="dxa" w:w="80"/>
              <w:right w:type="dxa" w:w="120"/>
            </w:tcMar>
          </w:tcPr>
          <w:p>
            <w:r>
              <w:rPr>
                <w:rFonts w:ascii="Calibri" w:cs="Calibri" w:eastAsia="Calibri" w:hAnsi="Calibri"/>
                <w:color w:val="1F2937"/>
                <w:sz w:val="20"/>
                <w:szCs w:val="20"/>
              </w:rPr>
              <w:t xml:space="preserve">Validation données — ARS</w:t>
            </w:r>
          </w:p>
        </w:tc>
        <w:tc>
          <w:tcPr>
            <w:tcMar>
              <w:top w:type="dxa" w:w="80"/>
              <w:left w:type="dxa" w:w="120"/>
              <w:bottom w:type="dxa" w:w="80"/>
              <w:right w:type="dxa" w:w="120"/>
            </w:tcMar>
          </w:tcPr>
          <w:p>
            <w:r>
              <w:rPr>
                <w:rFonts w:ascii="Calibri" w:cs="Calibri" w:eastAsia="Calibri" w:hAnsi="Calibri"/>
                <w:color w:val="1F2937"/>
                <w:sz w:val="20"/>
                <w:szCs w:val="20"/>
              </w:rPr>
              <w:t xml:space="preserve">En cours — finalisation automne 2026</w:t>
            </w:r>
          </w:p>
        </w:tc>
        <w:tc>
          <w:tcPr>
            <w:tcMar>
              <w:top w:type="dxa" w:w="80"/>
              <w:left w:type="dxa" w:w="120"/>
              <w:bottom w:type="dxa" w:w="80"/>
              <w:right w:type="dxa" w:w="120"/>
            </w:tcMar>
          </w:tcPr>
          <w:p>
            <w:r>
              <w:rPr>
                <w:rFonts w:ascii="Calibri" w:cs="Calibri" w:eastAsia="Calibri" w:hAnsi="Calibri"/>
                <w:color w:val="1F2937"/>
                <w:sz w:val="20"/>
                <w:szCs w:val="20"/>
              </w:rPr>
              <w:t xml:space="preserve">Automne 2026</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Simulations dotations par établissement</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À partir de juillet 2026 (CNSA)</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Automne 2026</w:t>
            </w:r>
          </w:p>
        </w:tc>
      </w:tr>
      <w:tr>
        <w:tc>
          <w:tcPr>
            <w:tcMar>
              <w:top w:type="dxa" w:w="80"/>
              <w:left w:type="dxa" w:w="120"/>
              <w:bottom w:type="dxa" w:w="80"/>
              <w:right w:type="dxa" w:w="120"/>
            </w:tcMar>
          </w:tcPr>
          <w:p>
            <w:r>
              <w:rPr>
                <w:rFonts w:ascii="Calibri" w:cs="Calibri" w:eastAsia="Calibri" w:hAnsi="Calibri"/>
                <w:color w:val="1F2937"/>
                <w:sz w:val="20"/>
                <w:szCs w:val="20"/>
              </w:rPr>
              <w:t xml:space="preserve">Déploiement modèle tarifaire — secteur enfance</w:t>
            </w:r>
          </w:p>
        </w:tc>
        <w:tc>
          <w:tcPr>
            <w:tcMar>
              <w:top w:type="dxa" w:w="80"/>
              <w:left w:type="dxa" w:w="120"/>
              <w:bottom w:type="dxa" w:w="80"/>
              <w:right w:type="dxa" w:w="120"/>
            </w:tcMar>
          </w:tcPr>
          <w:p>
            <w:r>
              <w:rPr>
                <w:rFonts w:ascii="Calibri" w:cs="Calibri" w:eastAsia="Calibri" w:hAnsi="Calibri"/>
                <w:color w:val="1F2937"/>
                <w:sz w:val="20"/>
                <w:szCs w:val="20"/>
              </w:rPr>
              <w:t xml:space="preserve">Confirmé</w:t>
            </w:r>
          </w:p>
        </w:tc>
        <w:tc>
          <w:tcPr>
            <w:tcMar>
              <w:top w:type="dxa" w:w="80"/>
              <w:left w:type="dxa" w:w="120"/>
              <w:bottom w:type="dxa" w:w="80"/>
              <w:right w:type="dxa" w:w="120"/>
            </w:tcMar>
          </w:tcPr>
          <w:p>
            <w:r>
              <w:rPr>
                <w:rFonts w:ascii="Calibri" w:cs="Calibri" w:eastAsia="Calibri" w:hAnsi="Calibri"/>
                <w:color w:val="1F2937"/>
                <w:sz w:val="20"/>
                <w:szCs w:val="20"/>
              </w:rPr>
              <w:t xml:space="preserve">1er janvier 2027</w:t>
            </w:r>
          </w:p>
        </w:tc>
      </w:tr>
    </w:tbl>
    <w:p>
      <w:pPr>
        <w:spacing w:before="200"/>
      </w:pPr>
    </w:p>
    <w:p>
      <w:pPr>
        <w:spacing w:after="120" w:before="240"/>
      </w:pPr>
      <w:r>
        <w:rPr>
          <w:rFonts w:ascii="Calibri" w:cs="Calibri" w:eastAsia="Calibri" w:hAnsi="Calibri"/>
          <w:b/>
          <w:bCs/>
          <w:color w:val="1B3A6B"/>
          <w:sz w:val="28"/>
          <w:szCs w:val="28"/>
        </w:rPr>
        <w:t xml:space="preserve">Rappel — 14e Comité stratégique SERAFIN-PH (23 mars 2026)</w:t>
      </w:r>
    </w:p>
    <w:p>
      <w:pPr>
        <w:spacing w:after="60" w:before="60"/>
      </w:pPr>
      <w:r>
        <w:rPr>
          <w:rFonts w:ascii="Calibri" w:cs="Calibri" w:eastAsia="Calibri" w:hAnsi="Calibri"/>
          <w:color w:val="1F2937"/>
          <w:sz w:val="22"/>
          <w:szCs w:val="22"/>
        </w:rPr>
        <w:t xml:space="preserve">Source : handicap.gouv.fr — consultée le 30 septembre 2026 (HTTP 200)</w:t>
      </w:r>
    </w:p>
    <w:p>
      <w:pPr>
        <w:spacing w:after="40" w:before="40"/>
      </w:pPr>
      <w:hyperlink w:history="1" r:id="rIdo7vcmf-5-cszgltsshjnq">
        <w:r>
          <w:rPr>
            <w:rFonts w:ascii="Calibri" w:cs="Calibri" w:eastAsia="Calibri" w:hAnsi="Calibri"/>
            <w:color w:val="1155CC"/>
            <w:sz w:val="22"/>
            <w:szCs w:val="22"/>
            <w:u w:val="single"/>
          </w:rPr>
          <w:t xml:space="preserve">Accéder à la page</w:t>
        </w:r>
      </w:hyperlink>
    </w:p>
    <w:p>
      <w:pPr>
        <w:spacing w:before="80"/>
      </w:pPr>
    </w:p>
    <w:p>
      <w:pPr>
        <w:spacing w:after="80" w:before="200"/>
      </w:pPr>
      <w:r>
        <w:rPr>
          <w:rFonts w:ascii="Calibri" w:cs="Calibri" w:eastAsia="Calibri" w:hAnsi="Calibri"/>
          <w:b/>
          <w:bCs/>
          <w:color w:val="1B3A6B"/>
          <w:sz w:val="24"/>
          <w:szCs w:val="24"/>
        </w:rPr>
        <w:t xml:space="preserve">Présidence</w:t>
      </w:r>
    </w:p>
    <w:p>
      <w:pPr>
        <w:pStyle w:val="ListParagraph"/>
        <w:numPr>
          <w:ilvl w:val="0"/>
          <w:numId w:val="1"/>
        </w:numPr>
        <w:spacing w:after="40" w:before="40"/>
      </w:pPr>
      <w:r>
        <w:rPr>
          <w:rFonts w:ascii="Calibri" w:cs="Calibri" w:eastAsia="Calibri" w:hAnsi="Calibri"/>
          <w:color w:val="1F2937"/>
          <w:sz w:val="22"/>
          <w:szCs w:val="22"/>
        </w:rPr>
        <w:t xml:space="preserve">Camille Galliard-Minier, ministre chargée de l'Autonomie et des Personnes handicapées</w:t>
      </w:r>
    </w:p>
    <w:p>
      <w:pPr>
        <w:spacing w:after="80" w:before="200"/>
      </w:pPr>
      <w:r>
        <w:rPr>
          <w:rFonts w:ascii="Calibri" w:cs="Calibri" w:eastAsia="Calibri" w:hAnsi="Calibri"/>
          <w:b/>
          <w:bCs/>
          <w:color w:val="1B3A6B"/>
          <w:sz w:val="24"/>
          <w:szCs w:val="24"/>
        </w:rPr>
        <w:t xml:space="preserve">Décision principale</w:t>
      </w:r>
    </w:p>
    <w:p>
      <w:pPr>
        <w:pStyle w:val="ListParagraph"/>
        <w:numPr>
          <w:ilvl w:val="0"/>
          <w:numId w:val="1"/>
        </w:numPr>
        <w:spacing w:after="40" w:before="40"/>
      </w:pPr>
      <w:r>
        <w:rPr>
          <w:rFonts w:ascii="Calibri" w:cs="Calibri" w:eastAsia="Calibri" w:hAnsi="Calibri"/>
          <w:color w:val="1F2937"/>
          <w:sz w:val="22"/>
          <w:szCs w:val="22"/>
        </w:rPr>
        <w:t xml:space="preserve">Confirmation du déploiement opérationnel de la réforme tarifaire au 1er janvier 2027 pour les ESMS du secteur enfance (co-construction continue avec les parties prenantes).</w:t>
      </w:r>
    </w:p>
    <w:p>
      <w:pPr>
        <w:spacing w:after="80" w:before="200"/>
      </w:pPr>
      <w:r>
        <w:rPr>
          <w:rFonts w:ascii="Calibri" w:cs="Calibri" w:eastAsia="Calibri" w:hAnsi="Calibri"/>
          <w:b/>
          <w:bCs/>
          <w:color w:val="1B3A6B"/>
          <w:sz w:val="24"/>
          <w:szCs w:val="24"/>
        </w:rPr>
        <w:t xml:space="preserve">Calendrier confirmé lors de ce comité</w:t>
      </w:r>
    </w:p>
    <w:p>
      <w:pPr>
        <w:pStyle w:val="ListParagraph"/>
        <w:numPr>
          <w:ilvl w:val="0"/>
          <w:numId w:val="1"/>
        </w:numPr>
        <w:spacing w:after="40" w:before="40"/>
      </w:pPr>
      <w:r>
        <w:rPr>
          <w:rFonts w:ascii="Calibri" w:cs="Calibri" w:eastAsia="Calibri" w:hAnsi="Calibri"/>
          <w:color w:val="1F2937"/>
          <w:sz w:val="22"/>
          <w:szCs w:val="22"/>
        </w:rPr>
        <w:t xml:space="preserve">30 mars 2026 : lancement du recueil de données</w:t>
      </w:r>
    </w:p>
    <w:p>
      <w:pPr>
        <w:pStyle w:val="ListParagraph"/>
        <w:numPr>
          <w:ilvl w:val="0"/>
          <w:numId w:val="1"/>
        </w:numPr>
        <w:spacing w:after="40" w:before="40"/>
      </w:pPr>
      <w:r>
        <w:rPr>
          <w:rFonts w:ascii="Calibri" w:cs="Calibri" w:eastAsia="Calibri" w:hAnsi="Calibri"/>
          <w:color w:val="1F2937"/>
          <w:sz w:val="22"/>
          <w:szCs w:val="22"/>
        </w:rPr>
        <w:t xml:space="preserve">Automne 2026 : finalisation et fiabilisation des données par les ESMS et les ARS</w:t>
      </w:r>
    </w:p>
    <w:p>
      <w:pPr>
        <w:pStyle w:val="ListParagraph"/>
        <w:numPr>
          <w:ilvl w:val="0"/>
          <w:numId w:val="1"/>
        </w:numPr>
        <w:spacing w:after="40" w:before="40"/>
      </w:pPr>
      <w:r>
        <w:rPr>
          <w:rFonts w:ascii="Calibri" w:cs="Calibri" w:eastAsia="Calibri" w:hAnsi="Calibri"/>
          <w:color w:val="1F2937"/>
          <w:sz w:val="22"/>
          <w:szCs w:val="22"/>
        </w:rPr>
        <w:t xml:space="preserve">1er janvier 2027 : entrée en vigueur de la réforme tarifaire pour le secteur enfance</w:t>
      </w:r>
    </w:p>
    <w:p>
      <w:pPr>
        <w:spacing w:after="80" w:before="200"/>
      </w:pPr>
      <w:r>
        <w:rPr>
          <w:rFonts w:ascii="Calibri" w:cs="Calibri" w:eastAsia="Calibri" w:hAnsi="Calibri"/>
          <w:b/>
          <w:bCs/>
          <w:color w:val="1B3A6B"/>
          <w:sz w:val="24"/>
          <w:szCs w:val="24"/>
        </w:rPr>
        <w:t xml:space="preserve">Actions prévues en 2026</w:t>
      </w:r>
    </w:p>
    <w:p>
      <w:pPr>
        <w:pStyle w:val="ListParagraph"/>
        <w:numPr>
          <w:ilvl w:val="0"/>
          <w:numId w:val="1"/>
        </w:numPr>
        <w:spacing w:after="40" w:before="40"/>
      </w:pPr>
      <w:r>
        <w:rPr>
          <w:rFonts w:ascii="Calibri" w:cs="Calibri" w:eastAsia="Calibri" w:hAnsi="Calibri"/>
          <w:color w:val="1F2937"/>
          <w:sz w:val="22"/>
          <w:szCs w:val="22"/>
        </w:rPr>
        <w:t xml:space="preserve">Finalisation des paramètres du modèle via le Groupe technique national</w:t>
      </w:r>
    </w:p>
    <w:p>
      <w:pPr>
        <w:pStyle w:val="ListParagraph"/>
        <w:numPr>
          <w:ilvl w:val="0"/>
          <w:numId w:val="1"/>
        </w:numPr>
        <w:spacing w:after="40" w:before="40"/>
      </w:pPr>
      <w:r>
        <w:rPr>
          <w:rFonts w:ascii="Calibri" w:cs="Calibri" w:eastAsia="Calibri" w:hAnsi="Calibri"/>
          <w:color w:val="1F2937"/>
          <w:sz w:val="22"/>
          <w:szCs w:val="22"/>
        </w:rPr>
        <w:t xml:space="preserve">Groupes de travail dédiés : modulations de financement, éléments de preuve pour l'auto-évaluation, accompagnement au changement</w:t>
      </w:r>
    </w:p>
    <w:p>
      <w:pPr>
        <w:pStyle w:val="ListParagraph"/>
        <w:numPr>
          <w:ilvl w:val="0"/>
          <w:numId w:val="1"/>
        </w:numPr>
        <w:spacing w:after="40" w:before="40"/>
      </w:pPr>
      <w:r>
        <w:rPr>
          <w:rFonts w:ascii="Calibri" w:cs="Calibri" w:eastAsia="Calibri" w:hAnsi="Calibri"/>
          <w:color w:val="1F2937"/>
          <w:sz w:val="22"/>
          <w:szCs w:val="22"/>
        </w:rPr>
        <w:t xml:space="preserve">Chaque ESMS concerné recevra une simulation de l'impact financier de la réforme</w:t>
      </w:r>
    </w:p>
    <w:p>
      <w:pPr>
        <w:pStyle w:val="ListParagraph"/>
        <w:numPr>
          <w:ilvl w:val="0"/>
          <w:numId w:val="1"/>
        </w:numPr>
        <w:spacing w:after="40" w:before="40"/>
      </w:pPr>
      <w:r>
        <w:rPr>
          <w:rFonts w:ascii="Calibri" w:cs="Calibri" w:eastAsia="Calibri" w:hAnsi="Calibri"/>
          <w:color w:val="1F2937"/>
          <w:sz w:val="22"/>
          <w:szCs w:val="22"/>
        </w:rPr>
        <w:t xml:space="preserve">Offre de formation structurée (webinaires, réunions régionales, ressources pédagogiques)</w:t>
      </w:r>
    </w:p>
    <w:p>
      <w:pPr>
        <w:spacing w:before="200"/>
      </w:pPr>
    </w:p>
    <w:p>
      <w:pPr>
        <w:spacing w:after="120" w:before="240"/>
      </w:pPr>
      <w:r>
        <w:rPr>
          <w:rFonts w:ascii="Calibri" w:cs="Calibri" w:eastAsia="Calibri" w:hAnsi="Calibri"/>
          <w:b/>
          <w:bCs/>
          <w:color w:val="1B3A6B"/>
          <w:sz w:val="28"/>
          <w:szCs w:val="28"/>
        </w:rPr>
        <w:t xml:space="preserve">Rappel — Recueil PH 2026 : préparation du futur modèle de tarification</w:t>
      </w:r>
    </w:p>
    <w:p>
      <w:pPr>
        <w:spacing w:after="60" w:before="60"/>
      </w:pPr>
      <w:r>
        <w:rPr>
          <w:rFonts w:ascii="Calibri" w:cs="Calibri" w:eastAsia="Calibri" w:hAnsi="Calibri"/>
          <w:color w:val="1F2937"/>
          <w:sz w:val="22"/>
          <w:szCs w:val="22"/>
        </w:rPr>
        <w:t xml:space="preserve">Source : cnsa.fr — article publié le 17 décembre 2025, consulté le 30 septembre 2026 (HTTP 200)</w:t>
      </w:r>
    </w:p>
    <w:p>
      <w:pPr>
        <w:spacing w:after="40" w:before="40"/>
      </w:pPr>
      <w:hyperlink w:history="1" r:id="rIdbvoed2obagj4miadrif0e">
        <w:r>
          <w:rPr>
            <w:rFonts w:ascii="Calibri" w:cs="Calibri" w:eastAsia="Calibri" w:hAnsi="Calibri"/>
            <w:color w:val="1155CC"/>
            <w:sz w:val="22"/>
            <w:szCs w:val="22"/>
            <w:u w:val="single"/>
          </w:rPr>
          <w:t xml:space="preserve">Accéder à l'article</w:t>
        </w:r>
      </w:hyperlink>
    </w:p>
    <w:p>
      <w:pPr>
        <w:spacing w:before="80"/>
      </w:pPr>
    </w:p>
    <w:p>
      <w:pPr>
        <w:spacing w:after="80" w:before="200"/>
      </w:pPr>
      <w:r>
        <w:rPr>
          <w:rFonts w:ascii="Calibri" w:cs="Calibri" w:eastAsia="Calibri" w:hAnsi="Calibri"/>
          <w:b/>
          <w:bCs/>
          <w:color w:val="1B3A6B"/>
          <w:sz w:val="24"/>
          <w:szCs w:val="24"/>
        </w:rPr>
        <w:t xml:space="preserve">Objet</w:t>
      </w:r>
    </w:p>
    <w:p>
      <w:pPr>
        <w:pStyle w:val="ListParagraph"/>
        <w:numPr>
          <w:ilvl w:val="0"/>
          <w:numId w:val="1"/>
        </w:numPr>
        <w:spacing w:after="40" w:before="40"/>
      </w:pPr>
      <w:r>
        <w:rPr>
          <w:rFonts w:ascii="Calibri" w:cs="Calibri" w:eastAsia="Calibri" w:hAnsi="Calibri"/>
          <w:color w:val="1F2937"/>
          <w:sz w:val="22"/>
          <w:szCs w:val="22"/>
        </w:rPr>
        <w:t xml:space="preserve">Collecte de données auprès des ESMS accompagnant des enfants handicapés pour calibrer le futur modèle tarifaire. Année blanche : aucun impact financier en 2026.</w:t>
      </w:r>
    </w:p>
    <w:p>
      <w:pPr>
        <w:spacing w:after="80" w:before="200"/>
      </w:pPr>
      <w:r>
        <w:rPr>
          <w:rFonts w:ascii="Calibri" w:cs="Calibri" w:eastAsia="Calibri" w:hAnsi="Calibri"/>
          <w:b/>
          <w:bCs/>
          <w:color w:val="1B3A6B"/>
          <w:sz w:val="24"/>
          <w:szCs w:val="24"/>
        </w:rPr>
        <w:t xml:space="preserve">Deux phases du recueil (mars - mai 2026)</w:t>
      </w:r>
    </w:p>
    <w:p>
      <w:pPr>
        <w:pStyle w:val="ListParagraph"/>
        <w:numPr>
          <w:ilvl w:val="0"/>
          <w:numId w:val="1"/>
        </w:numPr>
        <w:spacing w:after="40" w:before="40"/>
      </w:pPr>
      <w:r>
        <w:rPr>
          <w:rFonts w:ascii="Calibri" w:cs="Calibri" w:eastAsia="Calibri" w:hAnsi="Calibri"/>
          <w:color w:val="1F2937"/>
          <w:sz w:val="22"/>
          <w:szCs w:val="22"/>
        </w:rPr>
        <w:t xml:space="preserve">Phase 1 (mars 2026) : caractéristiques des places accompagnées</w:t>
      </w:r>
    </w:p>
    <w:p>
      <w:pPr>
        <w:pStyle w:val="ListParagraph"/>
        <w:numPr>
          <w:ilvl w:val="0"/>
          <w:numId w:val="1"/>
        </w:numPr>
        <w:spacing w:after="40" w:before="40"/>
      </w:pPr>
      <w:r>
        <w:rPr>
          <w:rFonts w:ascii="Calibri" w:cs="Calibri" w:eastAsia="Calibri" w:hAnsi="Calibri"/>
          <w:color w:val="1F2937"/>
          <w:sz w:val="22"/>
          <w:szCs w:val="22"/>
        </w:rPr>
        <w:t xml:space="preserve">Phase 2 (mai 2026) : indicateurs d'activité et dotations complémentaires</w:t>
      </w:r>
    </w:p>
    <w:p>
      <w:pPr>
        <w:spacing w:after="80" w:before="200"/>
      </w:pPr>
      <w:r>
        <w:rPr>
          <w:rFonts w:ascii="Calibri" w:cs="Calibri" w:eastAsia="Calibri" w:hAnsi="Calibri"/>
          <w:b/>
          <w:bCs/>
          <w:color w:val="1B3A6B"/>
          <w:sz w:val="24"/>
          <w:szCs w:val="24"/>
        </w:rPr>
        <w:t xml:space="preserve">Outil</w:t>
      </w:r>
    </w:p>
    <w:p>
      <w:pPr>
        <w:pStyle w:val="ListParagraph"/>
        <w:numPr>
          <w:ilvl w:val="0"/>
          <w:numId w:val="1"/>
        </w:numPr>
        <w:spacing w:after="40" w:before="40"/>
      </w:pPr>
      <w:r>
        <w:rPr>
          <w:rFonts w:ascii="Calibri" w:cs="Calibri" w:eastAsia="Calibri" w:hAnsi="Calibri"/>
          <w:color w:val="1F2937"/>
          <w:sz w:val="22"/>
          <w:szCs w:val="22"/>
        </w:rPr>
        <w:t xml:space="preserve">Application SIDOBA (Système d'Information De l'Offre de la Branche Autonomie) — environ 40 variables collectées</w:t>
      </w:r>
    </w:p>
    <w:p>
      <w:pPr>
        <w:spacing w:after="80" w:before="200"/>
      </w:pPr>
      <w:r>
        <w:rPr>
          <w:rFonts w:ascii="Calibri" w:cs="Calibri" w:eastAsia="Calibri" w:hAnsi="Calibri"/>
          <w:b/>
          <w:bCs/>
          <w:color w:val="1B3A6B"/>
          <w:sz w:val="24"/>
          <w:szCs w:val="24"/>
        </w:rPr>
        <w:t xml:space="preserve">Vers les simulations</w:t>
      </w:r>
    </w:p>
    <w:p>
      <w:pPr>
        <w:pStyle w:val="ListParagraph"/>
        <w:numPr>
          <w:ilvl w:val="0"/>
          <w:numId w:val="1"/>
        </w:numPr>
        <w:spacing w:after="40" w:before="40"/>
      </w:pPr>
      <w:r>
        <w:rPr>
          <w:rFonts w:ascii="Calibri" w:cs="Calibri" w:eastAsia="Calibri" w:hAnsi="Calibri"/>
          <w:color w:val="1F2937"/>
          <w:sz w:val="22"/>
          <w:szCs w:val="22"/>
        </w:rPr>
        <w:t xml:space="preserve">À partir de juillet 2026, la CNSA exporte les données et produit les simulations d'impact par établissement (source : 14e comité stratégique, 23 mars 2026)</w:t>
      </w:r>
    </w:p>
    <w:p>
      <w:pPr>
        <w:spacing w:before="200"/>
      </w:pPr>
    </w:p>
    <w:p>
      <w:pPr>
        <w:spacing w:after="120" w:before="240"/>
      </w:pPr>
      <w:r>
        <w:rPr>
          <w:rFonts w:ascii="Calibri" w:cs="Calibri" w:eastAsia="Calibri" w:hAnsi="Calibri"/>
          <w:b/>
          <w:bCs/>
          <w:color w:val="1B3A6B"/>
          <w:sz w:val="28"/>
          <w:szCs w:val="28"/>
        </w:rPr>
        <w:t xml:space="preserve">Sources inaccessibles cette semaine</w:t>
      </w:r>
    </w:p>
    <w:p>
      <w:pPr>
        <w:pStyle w:val="ListParagraph"/>
        <w:numPr>
          <w:ilvl w:val="0"/>
          <w:numId w:val="1"/>
        </w:numPr>
        <w:spacing w:after="40" w:before="40"/>
      </w:pPr>
      <w:r>
        <w:rPr>
          <w:rFonts w:ascii="Calibri" w:cs="Calibri" w:eastAsia="Calibri" w:hAnsi="Calibri"/>
          <w:color w:val="1F2937"/>
          <w:sz w:val="22"/>
          <w:szCs w:val="22"/>
        </w:rPr>
        <w:t xml:space="preserve">⛔ cnsa.fr — Article sur le recueil obligatoire dans les ESMS enfants et adolescents : accès refusé (HTTP 403). URL testée : https://www.cnsa.fr/actualites/serafin-ph-un-recueil-de-donnees-obligatoire-dans-les-esms-pour-enfants-et-adolescents</w:t>
      </w:r>
    </w:p>
    <w:p>
      <w:pPr>
        <w:pStyle w:val="ListParagraph"/>
        <w:numPr>
          <w:ilvl w:val="0"/>
          <w:numId w:val="1"/>
        </w:numPr>
        <w:spacing w:after="40" w:before="40"/>
      </w:pPr>
      <w:r>
        <w:rPr>
          <w:rFonts w:ascii="Calibri" w:cs="Calibri" w:eastAsia="Calibri" w:hAnsi="Calibri"/>
          <w:color w:val="1F2937"/>
          <w:sz w:val="22"/>
          <w:szCs w:val="22"/>
        </w:rPr>
        <w:t xml:space="preserve">⛔ atih.sante.fr — Page Personnes handicapées : page introuvable (HTTP 404). URL testée : https://www.atih.sante.fr/champ-d-activite/personnes-handicapees</w:t>
      </w:r>
    </w:p>
    <w:p>
      <w:pPr>
        <w:spacing w:before="200"/>
      </w:pPr>
    </w:p>
    <w:p>
      <w:pPr>
        <w:spacing w:after="120" w:before="240"/>
      </w:pPr>
      <w:r>
        <w:rPr>
          <w:rFonts w:ascii="Calibri" w:cs="Calibri" w:eastAsia="Calibri" w:hAnsi="Calibri"/>
          <w:b/>
          <w:bCs/>
          <w:color w:val="1B3A6B"/>
          <w:sz w:val="28"/>
          <w:szCs w:val="28"/>
        </w:rPr>
        <w:t xml:space="preserve">Points de vigilance pour les directions d'ESSMS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 Point de vigilance</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Détail pratique</w:t>
            </w:r>
          </w:p>
        </w:tc>
      </w:tr>
      <w:tr>
        <w:tc>
          <w:tcPr>
            <w:tcMar>
              <w:top w:type="dxa" w:w="80"/>
              <w:left w:type="dxa" w:w="120"/>
              <w:bottom w:type="dxa" w:w="80"/>
              <w:right w:type="dxa" w:w="120"/>
            </w:tcMar>
          </w:tcPr>
          <w:p>
            <w:r>
              <w:rPr>
                <w:rFonts w:ascii="Calibri" w:cs="Calibri" w:eastAsia="Calibri" w:hAnsi="Calibri"/>
                <w:color w:val="1F2937"/>
                <w:sz w:val="20"/>
                <w:szCs w:val="20"/>
              </w:rPr>
              <w:t xml:space="preserve">Simulations de dotations à attendre</w:t>
            </w:r>
          </w:p>
        </w:tc>
        <w:tc>
          <w:tcPr>
            <w:tcMar>
              <w:top w:type="dxa" w:w="80"/>
              <w:left w:type="dxa" w:w="120"/>
              <w:bottom w:type="dxa" w:w="80"/>
              <w:right w:type="dxa" w:w="120"/>
            </w:tcMar>
          </w:tcPr>
          <w:p>
            <w:r>
              <w:rPr>
                <w:rFonts w:ascii="Calibri" w:cs="Calibri" w:eastAsia="Calibri" w:hAnsi="Calibri"/>
                <w:color w:val="1F2937"/>
                <w:sz w:val="20"/>
                <w:szCs w:val="20"/>
              </w:rPr>
              <w:t xml:space="preserve">Chaque ESMS concerné doit recevoir, via la CNSA, une simulation de l'impact financier de la réforme sur sa dotation. Si vous n'avez pas encore reçu cette simulation, vérifiez auprès de votre ARS que vos données SIDOBA ont bien été validées.</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Déploiement au 1er janvier 2027 : préparer les budgets</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La date de mise en œuvre opérationnelle est ferme pour le secteur ESMS enfance. Intégrez dès la campagne budgétaire 2027 le passage à la dotation globale et à la dotation complémentaire.</w:t>
            </w:r>
          </w:p>
        </w:tc>
      </w:tr>
      <w:tr>
        <w:tc>
          <w:tcPr>
            <w:tcMar>
              <w:top w:type="dxa" w:w="80"/>
              <w:left w:type="dxa" w:w="120"/>
              <w:bottom w:type="dxa" w:w="80"/>
              <w:right w:type="dxa" w:w="120"/>
            </w:tcMar>
          </w:tcPr>
          <w:p>
            <w:r>
              <w:rPr>
                <w:rFonts w:ascii="Calibri" w:cs="Calibri" w:eastAsia="Calibri" w:hAnsi="Calibri"/>
                <w:color w:val="1F2937"/>
                <w:sz w:val="20"/>
                <w:szCs w:val="20"/>
              </w:rPr>
              <w:t xml:space="preserve">Vocabulaire du modèle : dotation globale / dotation complémentaire</w:t>
            </w:r>
          </w:p>
        </w:tc>
        <w:tc>
          <w:tcPr>
            <w:tcMar>
              <w:top w:type="dxa" w:w="80"/>
              <w:left w:type="dxa" w:w="120"/>
              <w:bottom w:type="dxa" w:w="80"/>
              <w:right w:type="dxa" w:w="120"/>
            </w:tcMar>
          </w:tcPr>
          <w:p>
            <w:r>
              <w:rPr>
                <w:rFonts w:ascii="Calibri" w:cs="Calibri" w:eastAsia="Calibri" w:hAnsi="Calibri"/>
                <w:color w:val="1F2937"/>
                <w:sz w:val="20"/>
                <w:szCs w:val="20"/>
              </w:rPr>
              <w:t xml:space="preserve">Le modèle distingue une DOTATION GLOBALE (financement de l'activité principale) et une DOTATION COMPLÉMENTAIRE (modulée sur indicateurs). Ne pas confondre avec les anciennes appellations. Erreur fréquente : « allocation complémentaire » — terme incorrect dans le cadre SERAFIN-PH.</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Accompagnement au changement</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Des webinaires, réunions régionales et ressources pédagogiques sont prévus par la CNSA et les ARS pour préparer la bascule. Restez attentifs aux communications de votre ARS de rattachement.</w:t>
            </w:r>
          </w:p>
        </w:tc>
      </w:tr>
    </w:tbl>
    <w:p>
      <w:pPr>
        <w:spacing w:before="200"/>
      </w:pPr>
    </w:p>
    <w:p>
      <w:pPr>
        <w:spacing w:after="120" w:before="240"/>
      </w:pPr>
      <w:r>
        <w:rPr>
          <w:rFonts w:ascii="Calibri" w:cs="Calibri" w:eastAsia="Calibri" w:hAnsi="Calibri"/>
          <w:b/>
          <w:bCs/>
          <w:color w:val="1B3A6B"/>
          <w:sz w:val="28"/>
          <w:szCs w:val="28"/>
        </w:rPr>
        <w:t xml:space="preserve">Agenda — Prochains rendez-vous</w:t>
      </w:r>
    </w:p>
    <w:p>
      <w:pPr>
        <w:spacing w:after="60" w:before="60"/>
      </w:pPr>
      <w:r>
        <w:rPr>
          <w:rFonts w:ascii="Calibri" w:cs="Calibri" w:eastAsia="Calibri" w:hAnsi="Calibri"/>
          <w:color w:val="1F2937"/>
          <w:sz w:val="22"/>
          <w:szCs w:val="22"/>
        </w:rPr>
        <w:t xml:space="preserve">Dates vérifiées par rapport au 30 septembre 2026 — seules les échéances futures sont listées.</w:t>
      </w:r>
    </w:p>
    <w:p>
      <w:pPr>
        <w:spacing w:after="40" w:before="40"/>
      </w:pPr>
      <w:r>
        <w:rPr>
          <w:rFonts w:ascii="Calibri" w:cs="Calibri" w:eastAsia="Calibri" w:hAnsi="Calibri"/>
          <w:color w:val="1F2937"/>
          <w:sz w:val="22"/>
          <w:szCs w:val="22"/>
        </w:rPr>
        <w:t xml:space="preserve">[ ] Automne 2026 — Finalisation des données recueil PH 2026 : vérifier la validation des données de votre ESMS par l'ARS (source : 14e comité stratégique, 23 mars 2026)</w:t>
      </w:r>
    </w:p>
    <w:p>
      <w:pPr>
        <w:spacing w:after="40" w:before="40"/>
      </w:pPr>
      <w:r>
        <w:rPr>
          <w:rFonts w:ascii="Calibri" w:cs="Calibri" w:eastAsia="Calibri" w:hAnsi="Calibri"/>
          <w:color w:val="1F2937"/>
          <w:sz w:val="22"/>
          <w:szCs w:val="22"/>
        </w:rPr>
        <w:t xml:space="preserve">[ ] Automne 2026 — Réception des simulations de dotations : chaque ESMS doit recevoir une simulation de l'impact financier de la réforme (source : 14e comité stratégique, 23 mars 2026)</w:t>
      </w:r>
    </w:p>
    <w:p>
      <w:pPr>
        <w:spacing w:after="40" w:before="40"/>
      </w:pPr>
      <w:r>
        <w:rPr>
          <w:rFonts w:ascii="Calibri" w:cs="Calibri" w:eastAsia="Calibri" w:hAnsi="Calibri"/>
          <w:color w:val="1F2937"/>
          <w:sz w:val="22"/>
          <w:szCs w:val="22"/>
        </w:rPr>
        <w:t xml:space="preserve">[ ] 1er janvier 2027 — Déploiement du modèle tarifaire SERAFIN-PH pour les ESMS du secteur enfance (source : 14e comité stratégique, 23 mars 2026)</w:t>
      </w:r>
    </w:p>
    <w:p>
      <w:pPr>
        <w:spacing w:after="60" w:before="60"/>
      </w:pPr>
      <w:r>
        <w:rPr>
          <w:rFonts w:ascii="Calibri" w:cs="Calibri" w:eastAsia="Calibri" w:hAnsi="Calibri"/>
          <w:color w:val="1F2937"/>
          <w:sz w:val="22"/>
          <w:szCs w:val="22"/>
        </w:rPr>
        <w:t xml:space="preserve">Note agenda : le 15e comité stratégique n'a pas encore été annoncé à la date de production. Surveiller handicap.gouv.fr pour la publication de la prochaine réunion.</w:t>
      </w:r>
    </w:p>
    <w:p>
      <w:pPr>
        <w:spacing w:before="200"/>
      </w:pPr>
    </w:p>
    <w:p>
      <w:pPr>
        <w:spacing w:after="120" w:before="240"/>
      </w:pPr>
      <w:r>
        <w:rPr>
          <w:rFonts w:ascii="Calibri" w:cs="Calibri" w:eastAsia="Calibri" w:hAnsi="Calibri"/>
          <w:b/>
          <w:bCs/>
          <w:color w:val="1B3A6B"/>
          <w:sz w:val="28"/>
          <w:szCs w:val="28"/>
        </w:rPr>
        <w:t xml:space="preserve">Rappel SERAFIN-PH — Rôle des acteurs institutionnels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Acteur</w:t>
            </w:r>
          </w:p>
        </w:tc>
        <w:tc>
          <w:tcPr>
            <w:shd w:fill="1B3A6B" w:val="solid"/>
            <w:tcMar>
              <w:top w:type="dxa" w:w="80"/>
              <w:left w:type="dxa" w:w="120"/>
              <w:bottom w:type="dxa" w:w="80"/>
              <w:right w:type="dxa" w:w="120"/>
            </w:tcMar>
          </w:tcPr>
          <w:p>
            <w:r>
              <w:rPr>
                <w:rFonts w:ascii="Calibri" w:cs="Calibri" w:eastAsia="Calibri" w:hAnsi="Calibri"/>
                <w:b/>
                <w:bCs/>
                <w:color w:val="FFFFFF"/>
                <w:sz w:val="20"/>
                <w:szCs w:val="20"/>
              </w:rPr>
              <w:t xml:space="preserve">Rôle dans SERAFIN-PH</w:t>
            </w:r>
          </w:p>
        </w:tc>
      </w:tr>
      <w:tr>
        <w:tc>
          <w:tcPr>
            <w:tcMar>
              <w:top w:type="dxa" w:w="80"/>
              <w:left w:type="dxa" w:w="120"/>
              <w:bottom w:type="dxa" w:w="80"/>
              <w:right w:type="dxa" w:w="120"/>
            </w:tcMar>
          </w:tcPr>
          <w:p>
            <w:r>
              <w:rPr>
                <w:rFonts w:ascii="Calibri" w:cs="Calibri" w:eastAsia="Calibri" w:hAnsi="Calibri"/>
                <w:color w:val="1F2937"/>
                <w:sz w:val="20"/>
                <w:szCs w:val="20"/>
              </w:rPr>
              <w:t xml:space="preserve">DGCS (Direction générale de la cohésion sociale)</w:t>
            </w:r>
          </w:p>
        </w:tc>
        <w:tc>
          <w:tcPr>
            <w:tcMar>
              <w:top w:type="dxa" w:w="80"/>
              <w:left w:type="dxa" w:w="120"/>
              <w:bottom w:type="dxa" w:w="80"/>
              <w:right w:type="dxa" w:w="120"/>
            </w:tcMar>
          </w:tcPr>
          <w:p>
            <w:r>
              <w:rPr>
                <w:rFonts w:ascii="Calibri" w:cs="Calibri" w:eastAsia="Calibri" w:hAnsi="Calibri"/>
                <w:color w:val="1F2937"/>
                <w:sz w:val="20"/>
                <w:szCs w:val="20"/>
              </w:rPr>
              <w:t xml:space="preserve">Co-pilote de la réforme avec la CNSA. Porte la réglementation et la conception du modèle tarifaire.</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CNSA (Caisse nationale de solidarité pour l'autonomie)</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Co-pilote. Anime les groupes de travail, organise les recueils de données, calcule et diffuse les simulations de dotations aux établissements.</w:t>
            </w:r>
          </w:p>
        </w:tc>
      </w:tr>
      <w:tr>
        <w:tc>
          <w:tcPr>
            <w:tcMar>
              <w:top w:type="dxa" w:w="80"/>
              <w:left w:type="dxa" w:w="120"/>
              <w:bottom w:type="dxa" w:w="80"/>
              <w:right w:type="dxa" w:w="120"/>
            </w:tcMar>
          </w:tcPr>
          <w:p>
            <w:r>
              <w:rPr>
                <w:rFonts w:ascii="Calibri" w:cs="Calibri" w:eastAsia="Calibri" w:hAnsi="Calibri"/>
                <w:color w:val="1F2937"/>
                <w:sz w:val="20"/>
                <w:szCs w:val="20"/>
              </w:rPr>
              <w:t xml:space="preserve">ATIH (Agence technique de l'information sur l'hospitalisation)</w:t>
            </w:r>
          </w:p>
        </w:tc>
        <w:tc>
          <w:tcPr>
            <w:tcMar>
              <w:top w:type="dxa" w:w="80"/>
              <w:left w:type="dxa" w:w="120"/>
              <w:bottom w:type="dxa" w:w="80"/>
              <w:right w:type="dxa" w:w="120"/>
            </w:tcMar>
          </w:tcPr>
          <w:p>
            <w:r>
              <w:rPr>
                <w:rFonts w:ascii="Calibri" w:cs="Calibri" w:eastAsia="Calibri" w:hAnsi="Calibri"/>
                <w:color w:val="1F2937"/>
                <w:sz w:val="20"/>
                <w:szCs w:val="20"/>
              </w:rPr>
              <w:t xml:space="preserve">Gère les recueils nationaux d'activité PH et les outils de collecte (dont SIDOBA). Source technique des données de cadrage.</w:t>
            </w:r>
          </w:p>
        </w:tc>
      </w:tr>
      <w:tr>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ARS (Agences régionales de santé)</w:t>
            </w:r>
          </w:p>
        </w:tc>
        <w:tc>
          <w:tcPr>
            <w:shd w:fill="EEF2F7" w:val="solid"/>
            <w:tcMar>
              <w:top w:type="dxa" w:w="80"/>
              <w:left w:type="dxa" w:w="120"/>
              <w:bottom w:type="dxa" w:w="80"/>
              <w:right w:type="dxa" w:w="120"/>
            </w:tcMar>
          </w:tcPr>
          <w:p>
            <w:r>
              <w:rPr>
                <w:rFonts w:ascii="Calibri" w:cs="Calibri" w:eastAsia="Calibri" w:hAnsi="Calibri"/>
                <w:color w:val="1F2937"/>
                <w:sz w:val="20"/>
                <w:szCs w:val="20"/>
              </w:rPr>
              <w:t xml:space="preserve">Reçoivent, vérifient et valident les données soumises par les ESMS via SIDOBA. Relaient les communications nationales au niveau territorial.</w:t>
            </w:r>
          </w:p>
        </w:tc>
      </w:tr>
      <w:tr>
        <w:tc>
          <w:tcPr>
            <w:tcMar>
              <w:top w:type="dxa" w:w="80"/>
              <w:left w:type="dxa" w:w="120"/>
              <w:bottom w:type="dxa" w:w="80"/>
              <w:right w:type="dxa" w:w="120"/>
            </w:tcMar>
          </w:tcPr>
          <w:p>
            <w:r>
              <w:rPr>
                <w:rFonts w:ascii="Calibri" w:cs="Calibri" w:eastAsia="Calibri" w:hAnsi="Calibri"/>
                <w:color w:val="1F2937"/>
                <w:sz w:val="20"/>
                <w:szCs w:val="20"/>
              </w:rPr>
              <w:t xml:space="preserve">Comité stratégique</w:t>
            </w:r>
          </w:p>
        </w:tc>
        <w:tc>
          <w:tcPr>
            <w:tcMar>
              <w:top w:type="dxa" w:w="80"/>
              <w:left w:type="dxa" w:w="120"/>
              <w:bottom w:type="dxa" w:w="80"/>
              <w:right w:type="dxa" w:w="120"/>
            </w:tcMar>
          </w:tcPr>
          <w:p>
            <w:r>
              <w:rPr>
                <w:rFonts w:ascii="Calibri" w:cs="Calibri" w:eastAsia="Calibri" w:hAnsi="Calibri"/>
                <w:color w:val="1F2937"/>
                <w:sz w:val="20"/>
                <w:szCs w:val="20"/>
              </w:rPr>
              <w:t xml:space="preserve">Instance de gouvernance présidée par le ou la ministre chargé(e) de l'Autonomie et des Personnes handicapées. Valide les orientations et calendriers de la réforme.</w:t>
            </w:r>
          </w:p>
        </w:tc>
      </w:tr>
    </w:tbl>
    <w:p>
      <w:pPr>
        <w:spacing w:before="200"/>
      </w:pPr>
    </w:p>
    <w:p>
      <w:pPr>
        <w:jc w:val="center"/>
      </w:pPr>
      <w:r>
        <w:rPr>
          <w:rFonts w:ascii="Calibri" w:cs="Calibri" w:eastAsia="Calibri" w:hAnsi="Calibri"/>
          <w:color w:val="777777"/>
          <w:sz w:val="18"/>
          <w:szCs w:val="18"/>
        </w:rPr>
        <w:t xml:space="preserve">Veille produite le 30 septembre 2026 | Sources exploitées : 2/4 | ✅ handicap.gouv.fr · cnsa.fr | ⛔ cnsa.fr (403) · atih.sante.fr (404)</w:t>
      </w:r>
    </w:p>
    <w:p>
      <w:pPr>
        <w:spacing w:after="120" w:before="320"/>
      </w:pPr>
      <w:r>
        <w:rPr>
          <w:rFonts w:ascii="Calibri" w:cs="Calibri" w:eastAsia="Calibri" w:hAnsi="Calibri"/>
          <w:b/>
          <w:bCs/>
          <w:color w:val="1B3A6B"/>
          <w:sz w:val="28"/>
          <w:szCs w:val="28"/>
        </w:rPr>
        <w:t xml:space="preserve">📝 Journal des corrections — 25 octobre 2026</w:t>
      </w:r>
    </w:p>
    <w:p>
      <w:pPr>
        <w:spacing w:after="80"/>
      </w:pPr>
      <w:r>
        <w:rPr>
          <w:rFonts w:ascii="Calibri" w:cs="Calibri" w:eastAsia="Calibri" w:hAnsi="Calibri"/>
          <w:color w:val="1F2937"/>
          <w:sz w:val="22"/>
          <w:szCs w:val="22"/>
        </w:rPr>
        <w:t xml:space="preserve">Note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Calibri" w:cs="Calibri" w:eastAsia="Calibri" w:hAnsi="Calibri"/>
          <w:color w:val="1F2937"/>
          <w:sz w:val="22"/>
          <w:szCs w:val="22"/>
        </w:rPr>
        <w:t xml:space="preserve">Adresse d'origine conservée ici : « atih.sante.fr/champ-d-activite/personnes-handicapees » rendait HTTP 404 le 25/10/2026. La page citée existait quand la note a été produite ; l'ATIH a depuis réorganisé son site. Le lien pointe désormais atih.sante.fr/contribuer-au-financement/modalites-pour-les-etablissements-et-services-medico-sociaux, HTTP 200 le 25/10/2026, qui porte la réforme SERAFIN-PH et le recueil national PH.</w:t>
      </w:r>
    </w:p>
    <w:sectPr>
      <w:footerReference w:type="default" r:id="rId7"/>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Produit le 30 septembre 2026 | Sources exploitées : 2/4 (2 ✅, 2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ssyddmd9etsfvglx7uca" Type="http://schemas.openxmlformats.org/officeDocument/2006/relationships/hyperlink" Target="https://handicap.gouv.fr/reforme-tarifaire-des-esms-serafin-ph-14e-reunion-du-comite-strategique" TargetMode="External"/><Relationship Id="rIdojejkghgnbr0zvz3nhblu" Type="http://schemas.openxmlformats.org/officeDocument/2006/relationships/hyperlink" Target="https://www.cnsa.fr/actualites/serafin-ph-preparation-du-recueil-dinformations-ph-2026-en-vue-du-deploiement-du-futur" TargetMode="External"/><Relationship Id="rIdxquirxv-za5eseppuiwvv" Type="http://schemas.openxmlformats.org/officeDocument/2006/relationships/hyperlink" Target="https://www.cnsa.fr/actualites/serafin-ph-un-recueil-de-donnees-obligatoire-dans-les-esms-pour-enfants-et-adolescents" TargetMode="External"/><Relationship Id="rIdhax_ej4wnyp3asyaowfux" Type="http://schemas.openxmlformats.org/officeDocument/2006/relationships/hyperlink" Target="https://www.atih.sante.fr/contribuer-au-financement/modalites-pour-les-etablissements-et-services-medico-sociaux" TargetMode="External"/><Relationship Id="rIdo7vcmf-5-cszgltsshjnq" Type="http://schemas.openxmlformats.org/officeDocument/2006/relationships/hyperlink" Target="https://handicap.gouv.fr/reforme-tarifaire-des-esms-serafin-ph-14e-reunion-du-comite-strategique" TargetMode="External"/><Relationship Id="rIdbvoed2obagj4miadrif0e" Type="http://schemas.openxmlformats.org/officeDocument/2006/relationships/hyperlink" Target="https://www.cnsa.fr/actualites/serafin-ph-preparation-du-recueil-dinformations-ph-2026-en-vue-du-deploiement-du-futu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2026-09-30T06:06:50.788Z</dcterms:created>
  <dcterms:modified xsi:type="dcterms:W3CDTF">2026-09-30T06:06:50.789Z</dcterms:modified>
</cp:coreProperties>
</file>

<file path=docProps/custom.xml><?xml version="1.0" encoding="utf-8"?>
<Properties xmlns="http://schemas.openxmlformats.org/officeDocument/2006/custom-properties" xmlns:vt="http://schemas.openxmlformats.org/officeDocument/2006/docPropsVTypes"/>
</file>