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40"/>
        <w:jc w:val="center"/>
      </w:pPr>
      <w:r>
        <w:rPr>
          <w:rFonts w:ascii="Times New Roman" w:cs="Times New Roman" w:eastAsia="Times New Roman" w:hAnsi="Times New Roman"/>
          <w:b/>
          <w:bCs/>
          <w:color w:val="1B3A6B"/>
          <w:sz w:val="52"/>
          <w:szCs w:val="52"/>
        </w:rPr>
        <w:t xml:space="preserve">Leçon Psychopathologie clinique n°18</w:t>
      </w:r>
    </w:p>
    <w:p>
      <w:pPr>
        <w:pStyle w:val="Heading1"/>
        <w:spacing w:after="200" w:before="240"/>
        <w:jc w:val="center"/>
      </w:pPr>
      <w:r>
        <w:rPr>
          <w:rFonts w:ascii="Times New Roman" w:cs="Times New Roman" w:eastAsia="Times New Roman" w:hAnsi="Times New Roman"/>
          <w:b/>
          <w:bCs/>
          <w:color w:val="1B3A6B"/>
          <w:sz w:val="52"/>
          <w:szCs w:val="52"/>
        </w:rPr>
        <w:t xml:space="preserve">Réhabilitation psychosociale et paradigme du rétablissement</w:t>
      </w:r>
    </w:p>
    <w:p>
      <w:pPr>
        <w:spacing w:after="80" w:before="80"/>
      </w:pPr>
      <w:r>
        <w:rPr>
          <w:rFonts w:ascii="Times New Roman" w:cs="Times New Roman" w:eastAsia="Times New Roman" w:hAnsi="Times New Roman"/>
          <w:b/>
          <w:bCs/>
          <w:color w:val="1F2937"/>
          <w:sz w:val="22"/>
          <w:szCs w:val="22"/>
        </w:rPr>
        <w:t xml:space="preserve">Date : 28 septembre 2026   |   Leçon 18 / 20</w:t>
      </w:r>
    </w:p>
    <w:p>
      <w:pPr>
        <w:spacing w:after="80" w:before="80"/>
      </w:pPr>
      <w:r>
        <w:t xml:space="preserve"/>
      </w:r>
    </w:p>
    <w:p>
      <w:pPr>
        <w:pStyle w:val="Heading2"/>
        <w:spacing w:after="120" w:before="280"/>
      </w:pPr>
      <w:r>
        <w:rPr>
          <w:rFonts w:ascii="Times New Roman" w:cs="Times New Roman" w:eastAsia="Times New Roman" w:hAnsi="Times New Roman"/>
          <w:b/>
          <w:bCs/>
          <w:color w:val="1B3A6B"/>
          <w:sz w:val="30"/>
          <w:szCs w:val="30"/>
        </w:rPr>
        <w:t xml:space="preserve">🎯 Objectif &amp; continuité</w:t>
      </w:r>
    </w:p>
    <w:p>
      <w:pPr>
        <w:spacing w:after="80" w:before="80"/>
      </w:pPr>
      <w:r>
        <w:rPr>
          <w:rFonts w:ascii="Times New Roman" w:cs="Times New Roman" w:eastAsia="Times New Roman" w:hAnsi="Times New Roman"/>
          <w:color w:val="1F2937"/>
          <w:sz w:val="22"/>
          <w:szCs w:val="22"/>
        </w:rPr>
        <w:t xml:space="preserve">La leçon 17 a exploré les psychotropes — les outils médicamenteux qui stabilisent les symptômes. Cette leçon aborde la face complémentaire : les approches non médicamenteuses qui soutiennent la reconstruction d'une vie pleine de sens malgré la maladie.</w:t>
      </w:r>
    </w:p>
    <w:p>
      <w:pPr>
        <w:spacing w:after="80" w:before="80"/>
      </w:pPr>
      <w:r>
        <w:t xml:space="preserve"/>
      </w:r>
    </w:p>
    <w:p>
      <w:pPr>
        <w:spacing w:after="80" w:before="80"/>
      </w:pPr>
      <w:r>
        <w:rPr>
          <w:rFonts w:ascii="Times New Roman" w:cs="Times New Roman" w:eastAsia="Times New Roman" w:hAnsi="Times New Roman"/>
          <w:color w:val="1F2937"/>
          <w:sz w:val="22"/>
          <w:szCs w:val="22"/>
        </w:rPr>
        <w:t xml:space="preserve">À l'issue de cette leçon, tu seras capable de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distinguer réhabilitation psychosociale et rétablissement (recovery) — deux concepts proches mais distincts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identifier les principales interventions validées de réhabilitation psychosociale et ce qu'elles ciblent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décrire le modèle du rétablissement en cinq étapes et ses deux dimensions (clinique / personnelle)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comprendre le rôle et le fondement de la pair-aidance dans les soins et l'accompagnement.</w:t>
      </w:r>
    </w:p>
    <w:p>
      <w:pPr>
        <w:spacing w:after="80" w:before="80"/>
      </w:pPr>
      <w:r>
        <w:t xml:space="preserve"/>
      </w:r>
    </w:p>
    <w:p>
      <w:pPr>
        <w:shd w:fill="F3F4F6" w:val="clear"/>
        <w:spacing w:after="120" w:before="120"/>
        <w:ind w:left="431" w:right="431"/>
      </w:pPr>
      <w:r>
        <w:rPr>
          <w:rFonts w:ascii="Times New Roman" w:cs="Times New Roman" w:eastAsia="Times New Roman" w:hAnsi="Times New Roman"/>
          <w:color w:val="1F2937"/>
          <w:sz w:val="22"/>
          <w:szCs w:val="22"/>
        </w:rPr>
        <w:t xml:space="preserve">Rappel déontologique : cette leçon vise à comprendre et observer — pas à poser un diagnostic ni à évaluer l'état mental d'une personne, actes réservés aux médecins psychiatres et psychologues cliniciens.</w:t>
      </w:r>
    </w:p>
    <w:p>
      <w:pPr>
        <w:spacing w:after="80" w:before="80"/>
      </w:pPr>
      <w:r>
        <w:t xml:space="preserve"/>
      </w:r>
    </w:p>
    <w:p>
      <w:pPr>
        <w:pStyle w:val="Heading2"/>
        <w:spacing w:after="120" w:before="280"/>
      </w:pPr>
      <w:r>
        <w:rPr>
          <w:rFonts w:ascii="Times New Roman" w:cs="Times New Roman" w:eastAsia="Times New Roman" w:hAnsi="Times New Roman"/>
          <w:b/>
          <w:bCs/>
          <w:color w:val="1B3A6B"/>
          <w:sz w:val="30"/>
          <w:szCs w:val="30"/>
        </w:rPr>
        <w:t xml:space="preserve">🔬 Théorie (20 %)</w:t>
      </w:r>
    </w:p>
    <w:p>
      <w:pPr>
        <w:pStyle w:val="Heading3"/>
        <w:spacing w:after="80" w:before="200"/>
      </w:pPr>
      <w:r>
        <w:rPr>
          <w:rFonts w:ascii="Times New Roman" w:cs="Times New Roman" w:eastAsia="Times New Roman" w:hAnsi="Times New Roman"/>
          <w:b/>
          <w:bCs/>
          <w:color w:val="1F2937"/>
          <w:sz w:val="26"/>
          <w:szCs w:val="26"/>
        </w:rPr>
        <w:t xml:space="preserve">1. La réhabilitation psychosociale : définition et repères</w:t>
      </w:r>
    </w:p>
    <w:p>
      <w:pPr>
        <w:spacing w:after="80" w:before="80"/>
      </w:pPr>
      <w:r>
        <w:rPr>
          <w:rFonts w:ascii="Times New Roman" w:cs="Times New Roman" w:eastAsia="Times New Roman" w:hAnsi="Times New Roman"/>
          <w:color w:val="1F2937"/>
          <w:sz w:val="22"/>
          <w:szCs w:val="22"/>
        </w:rPr>
        <w:t xml:space="preserve">La réhabilitation psychosociale (RPS) regroupe des pratiques et techniques validées qui soutiennent les personnes vivant avec des troubles mentaux sévères pour atteindre le rétablissement, grâce à des soins centrés sur la personne respectueux des droits humains (AP-HM Rehab Sud, consulté sept. 2026).</w:t>
      </w:r>
    </w:p>
    <w:p>
      <w:pPr>
        <w:spacing w:after="80" w:before="80"/>
      </w:pPr>
      <w:r>
        <w:t xml:space="preserve"/>
      </w:r>
    </w:p>
    <w:p>
      <w:pPr>
        <w:spacing w:after="80" w:before="80"/>
      </w:pPr>
      <w:r>
        <w:rPr>
          <w:rFonts w:ascii="Times New Roman" w:cs="Times New Roman" w:eastAsia="Times New Roman" w:hAnsi="Times New Roman"/>
          <w:color w:val="1F2937"/>
          <w:sz w:val="22"/>
          <w:szCs w:val="22"/>
        </w:rPr>
        <w:t xml:space="preserve">Ses objectifs principaux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améliorer la qualité de vie et l'inclusion sociale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renforcer l'autonomie dans la vie quotidienne en agissant sur les fonctions cognitives, les compétences sociales, l'accès à l'emploi, au logement et aux droits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prévenir les rechutes et faciliter les transitions entre niveaux de soins.</w:t>
      </w:r>
    </w:p>
    <w:p>
      <w:pPr>
        <w:spacing w:after="80" w:before="80"/>
      </w:pPr>
      <w:r>
        <w:t xml:space="preserve"/>
      </w:r>
    </w:p>
    <w:p>
      <w:pPr>
        <w:spacing w:after="80" w:before="80"/>
      </w:pPr>
      <w:r>
        <w:rPr>
          <w:rFonts w:ascii="Times New Roman" w:cs="Times New Roman" w:eastAsia="Times New Roman" w:hAnsi="Times New Roman"/>
          <w:color w:val="1F2937"/>
          <w:sz w:val="22"/>
          <w:szCs w:val="22"/>
        </w:rPr>
        <w:t xml:space="preserve">Repère historique (HAS, note de cadrage pair-aidance, validée 14 janvier 2025) : dans les années 1940, le Clubhouse « Fountain House » aux États-Unis avait déjà mis en avant la réhabilitation psychosociale comme alternative à la chronicisation institutionnelle. Le mouvement de désinstitutionnalisation des années 1960-1970 a élargi ces pratiques en les ancrant dans la communauté.</w:t>
      </w:r>
    </w:p>
    <w:p>
      <w:pPr>
        <w:spacing w:after="80" w:before="80"/>
      </w:pPr>
      <w:r>
        <w:t xml:space="preserve"/>
      </w:r>
    </w:p>
    <w:p>
      <w:pPr>
        <w:spacing w:after="80" w:before="80"/>
      </w:pPr>
      <w:r>
        <w:rPr>
          <w:rFonts w:ascii="Times New Roman" w:cs="Times New Roman" w:eastAsia="Times New Roman" w:hAnsi="Times New Roman"/>
          <w:color w:val="1F2937"/>
          <w:sz w:val="22"/>
          <w:szCs w:val="22"/>
        </w:rPr>
        <w:t xml:space="preserve">Réhabilitation psychosociale ≠ rétablissement : la RPS désigne un ensemble de services et d'interventions ; le rétablissement (recovery) désigne l'expérience vécue par la personne. L'une est une offre, l'autre est un processus subjectif. La RPS est un des leviers du rétablissement, non son synonyme (Unafam, consulté sept. 2026).</w:t>
      </w:r>
    </w:p>
    <w:p>
      <w:pPr>
        <w:spacing w:after="80" w:before="80"/>
      </w:pPr>
      <w:r>
        <w:t xml:space="preserve"/>
      </w:r>
    </w:p>
    <w:p>
      <w:pPr>
        <w:pStyle w:val="Heading3"/>
        <w:spacing w:after="80" w:before="200"/>
      </w:pPr>
      <w:r>
        <w:rPr>
          <w:rFonts w:ascii="Times New Roman" w:cs="Times New Roman" w:eastAsia="Times New Roman" w:hAnsi="Times New Roman"/>
          <w:b/>
          <w:bCs/>
          <w:color w:val="1F2937"/>
          <w:sz w:val="26"/>
          <w:szCs w:val="26"/>
        </w:rPr>
        <w:t xml:space="preserve">2. Le paradigme du rétablissement (recovery)</w:t>
      </w:r>
    </w:p>
    <w:p>
      <w:pPr>
        <w:spacing w:after="80" w:before="80"/>
      </w:pPr>
      <w:r>
        <w:rPr>
          <w:rFonts w:ascii="Times New Roman" w:cs="Times New Roman" w:eastAsia="Times New Roman" w:hAnsi="Times New Roman"/>
          <w:color w:val="1F2937"/>
          <w:sz w:val="22"/>
          <w:szCs w:val="22"/>
        </w:rPr>
        <w:t xml:space="preserve">Le rétablissement est un paradigme qui vise à vivre une vie satisfaisante, pleine d'espoir et contributive, même si des symptômes persistent. Cette définition est développée par Unafam (consulté sept. 2026) dans une perspective de reconstruction de la personne au-delà de la maladie.</w:t>
      </w:r>
    </w:p>
    <w:p>
      <w:pPr>
        <w:spacing w:after="80" w:before="80"/>
      </w:pPr>
      <w:r>
        <w:t xml:space="preserve"/>
      </w:r>
    </w:p>
    <w:p>
      <w:pPr>
        <w:spacing w:after="80" w:before="80"/>
      </w:pPr>
      <w:r>
        <w:rPr>
          <w:rFonts w:ascii="Times New Roman" w:cs="Times New Roman" w:eastAsia="Times New Roman" w:hAnsi="Times New Roman"/>
          <w:color w:val="1F2937"/>
          <w:sz w:val="22"/>
          <w:szCs w:val="22"/>
        </w:rPr>
        <w:t xml:space="preserve">Deux dimensions à distinguer :</w:t>
      </w:r>
    </w:p>
    <w:p>
      <w:pPr>
        <w:pStyle w:val="ListParagraph"/>
        <w:numPr>
          <w:ilvl w:val="0"/>
          <w:numId w:val="1"/>
        </w:numPr>
        <w:spacing w:after="40" w:before="40"/>
      </w:pPr>
      <w:r>
        <w:rPr>
          <w:rFonts w:ascii="Times New Roman" w:cs="Times New Roman" w:eastAsia="Times New Roman" w:hAnsi="Times New Roman"/>
          <w:b/>
          <w:bCs/>
          <w:color w:val="1F2937"/>
          <w:sz w:val="22"/>
          <w:szCs w:val="22"/>
        </w:rPr>
        <w:t xml:space="preserve">Rétablissement clinique :</w:t>
      </w:r>
      <w:r>
        <w:rPr>
          <w:rFonts w:ascii="Times New Roman" w:cs="Times New Roman" w:eastAsia="Times New Roman" w:hAnsi="Times New Roman"/>
          <w:color w:val="1F2937"/>
          <w:sz w:val="22"/>
          <w:szCs w:val="22"/>
        </w:rPr>
        <w:t xml:space="preserve"> rémission des symptômes, amélioration du fonctionnement évaluée par des outils standardisés (scores GAF, PANSS...), diminution des rechutes. C'est une évaluation EXTERNE, portée par les professionnels.</w:t>
      </w:r>
    </w:p>
    <w:p>
      <w:pPr>
        <w:pStyle w:val="ListParagraph"/>
        <w:numPr>
          <w:ilvl w:val="0"/>
          <w:numId w:val="1"/>
        </w:numPr>
        <w:spacing w:after="40" w:before="40"/>
      </w:pPr>
      <w:r>
        <w:rPr>
          <w:rFonts w:ascii="Times New Roman" w:cs="Times New Roman" w:eastAsia="Times New Roman" w:hAnsi="Times New Roman"/>
          <w:b/>
          <w:bCs/>
          <w:color w:val="1F2937"/>
          <w:sz w:val="22"/>
          <w:szCs w:val="22"/>
        </w:rPr>
        <w:t xml:space="preserve">Rétablissement personnel (recovery) :</w:t>
      </w:r>
      <w:r>
        <w:rPr>
          <w:rFonts w:ascii="Times New Roman" w:cs="Times New Roman" w:eastAsia="Times New Roman" w:hAnsi="Times New Roman"/>
          <w:color w:val="1F2937"/>
          <w:sz w:val="22"/>
          <w:szCs w:val="22"/>
        </w:rPr>
        <w:t xml:space="preserve"> processus subjectif de reconstruction identitaire et de reprise du pouvoir d'agir (empowerment). La personne peut être en rétablissement personnel même si des symptômes persistent. C'est une évaluation INTERNE, portée par la personne elle-même.</w:t>
      </w:r>
    </w:p>
    <w:p>
      <w:pPr>
        <w:spacing w:after="80" w:before="80"/>
      </w:pPr>
      <w:r>
        <w:t xml:space="preserve"/>
      </w:r>
    </w:p>
    <w:p>
      <w:pPr>
        <w:shd w:fill="F3F4F6" w:val="clear"/>
        <w:spacing w:after="120" w:before="120"/>
        <w:ind w:left="431" w:right="431"/>
      </w:pPr>
      <w:r>
        <w:rPr>
          <w:rFonts w:ascii="Times New Roman" w:cs="Times New Roman" w:eastAsia="Times New Roman" w:hAnsi="Times New Roman"/>
          <w:color w:val="1F2937"/>
          <w:sz w:val="22"/>
          <w:szCs w:val="22"/>
        </w:rPr>
        <w:t xml:space="preserve">Patricia Deegan, chercheuse ayant elle-même vécu la schizophrénie, a décrit dès 1988 le rétablissement comme une attitude, une manière d'aborder la journée et ses difficultés — une formulation qui a fondé le mouvement recovery anglophone. (Deegan, Psychosocial Rehabilitation Journal, 1988 — paraphrase depuis Wikipedia FR, citant l'article original en anglais.)</w:t>
      </w:r>
    </w:p>
    <w:p>
      <w:pPr>
        <w:spacing w:after="80" w:before="80"/>
      </w:pPr>
      <w:r>
        <w:t xml:space="preserve"/>
      </w:r>
    </w:p>
    <w:p>
      <w:pPr>
        <w:spacing w:after="80" w:before="80"/>
      </w:pPr>
      <w:r>
        <w:rPr>
          <w:rFonts w:ascii="Times New Roman" w:cs="Times New Roman" w:eastAsia="Times New Roman" w:hAnsi="Times New Roman"/>
          <w:color w:val="1F2937"/>
          <w:sz w:val="22"/>
          <w:szCs w:val="22"/>
        </w:rPr>
        <w:t xml:space="preserve">Cinq principes du rétablissement (Andresen, Caputi et Oades, 2006 — cités par Unafam, consulté sept. 2026)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Espoir : croire que des objectifs de vie significatifs restent atteignables.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Responsabilité personnelle : agir activement, avec le soutien des autres.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Éducation : apprendre sur ses expériences pour prendre des décisions éclairées.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Autodétermination : communiquer ses besoins et faire ses propres choix.</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Soutien : accepter et offrir un soutien mutuel.</w:t>
      </w:r>
    </w:p>
    <w:p>
      <w:pPr>
        <w:spacing w:after="80" w:before="80"/>
      </w:pPr>
      <w:r>
        <w:t xml:space="preserve"/>
      </w:r>
    </w:p>
    <w:p>
      <w:pPr>
        <w:spacing w:after="80" w:before="80"/>
      </w:pPr>
      <w:r>
        <w:rPr>
          <w:rFonts w:ascii="Times New Roman" w:cs="Times New Roman" w:eastAsia="Times New Roman" w:hAnsi="Times New Roman"/>
          <w:color w:val="1F2937"/>
          <w:sz w:val="22"/>
          <w:szCs w:val="22"/>
        </w:rPr>
        <w:t xml:space="preserve">Cinq étapes du rétablissement (Andresen, Caputi et Oades, 2006 — cités par Unafam, consulté sept. 2026)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3A6B"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0"/>
                <w:szCs w:val="20"/>
              </w:rPr>
              <w:t xml:space="preserve">Étape</w:t>
            </w:r>
          </w:p>
        </w:tc>
        <w:tc>
          <w:tcPr>
            <w:shd w:fill="1B3A6B"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0"/>
                <w:szCs w:val="20"/>
              </w:rPr>
              <w:t xml:space="preserve">Nom</w:t>
            </w:r>
          </w:p>
        </w:tc>
        <w:tc>
          <w:tcPr>
            <w:shd w:fill="1B3A6B"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0"/>
                <w:szCs w:val="20"/>
              </w:rPr>
              <w:t xml:space="preserve">Caractéristiques</w:t>
            </w:r>
          </w:p>
        </w:tc>
      </w:tr>
      <w:tr>
        <w:tc>
          <w:tcPr>
            <w:tcMar>
              <w:top w:type="dxa" w:w="60"/>
              <w:left w:type="dxa" w:w="100"/>
              <w:bottom w:type="dxa" w:w="60"/>
              <w:right w:type="dxa" w:w="100"/>
            </w:tcMar>
            <w:vAlign w:val="center"/>
          </w:tcPr>
          <w:p>
            <w:r>
              <w:rPr>
                <w:rFonts w:ascii="Times New Roman" w:cs="Times New Roman" w:eastAsia="Times New Roman" w:hAnsi="Times New Roman"/>
                <w:color w:val="1F2937"/>
                <w:sz w:val="20"/>
                <w:szCs w:val="20"/>
              </w:rPr>
              <w:t xml:space="preserve">1</w:t>
            </w:r>
          </w:p>
        </w:tc>
        <w:tc>
          <w:tcPr>
            <w:tcMar>
              <w:top w:type="dxa" w:w="60"/>
              <w:left w:type="dxa" w:w="100"/>
              <w:bottom w:type="dxa" w:w="60"/>
              <w:right w:type="dxa" w:w="100"/>
            </w:tcMar>
            <w:vAlign w:val="center"/>
          </w:tcPr>
          <w:p>
            <w:r>
              <w:rPr>
                <w:rFonts w:ascii="Times New Roman" w:cs="Times New Roman" w:eastAsia="Times New Roman" w:hAnsi="Times New Roman"/>
                <w:color w:val="1F2937"/>
                <w:sz w:val="20"/>
                <w:szCs w:val="20"/>
              </w:rPr>
              <w:t xml:space="preserve">Retrait / désespoir</w:t>
            </w:r>
          </w:p>
        </w:tc>
        <w:tc>
          <w:tcPr>
            <w:tcMar>
              <w:top w:type="dxa" w:w="60"/>
              <w:left w:type="dxa" w:w="100"/>
              <w:bottom w:type="dxa" w:w="60"/>
              <w:right w:type="dxa" w:w="100"/>
            </w:tcMar>
            <w:vAlign w:val="center"/>
          </w:tcPr>
          <w:p>
            <w:r>
              <w:rPr>
                <w:rFonts w:ascii="Times New Roman" w:cs="Times New Roman" w:eastAsia="Times New Roman" w:hAnsi="Times New Roman"/>
                <w:color w:val="1F2937"/>
                <w:sz w:val="20"/>
                <w:szCs w:val="20"/>
              </w:rPr>
              <w:t xml:space="preserve">Phase de crise ou d'enfermement dans la maladie — perte d'espoir, déni ou honte</w:t>
            </w:r>
          </w:p>
        </w:tc>
      </w:tr>
      <w:tr>
        <w:tc>
          <w:tcPr>
            <w:shd w:fill="EEF2F7" w:val="clear"/>
            <w:tcMar>
              <w:top w:type="dxa" w:w="60"/>
              <w:left w:type="dxa" w:w="100"/>
              <w:bottom w:type="dxa" w:w="60"/>
              <w:right w:type="dxa" w:w="100"/>
            </w:tcMar>
            <w:vAlign w:val="center"/>
          </w:tcPr>
          <w:p>
            <w:r>
              <w:rPr>
                <w:rFonts w:ascii="Times New Roman" w:cs="Times New Roman" w:eastAsia="Times New Roman" w:hAnsi="Times New Roman"/>
                <w:color w:val="1F2937"/>
                <w:sz w:val="20"/>
                <w:szCs w:val="20"/>
              </w:rPr>
              <w:t xml:space="preserve">2</w:t>
            </w:r>
          </w:p>
        </w:tc>
        <w:tc>
          <w:tcPr>
            <w:shd w:fill="EEF2F7" w:val="clear"/>
            <w:tcMar>
              <w:top w:type="dxa" w:w="60"/>
              <w:left w:type="dxa" w:w="100"/>
              <w:bottom w:type="dxa" w:w="60"/>
              <w:right w:type="dxa" w:w="100"/>
            </w:tcMar>
            <w:vAlign w:val="center"/>
          </w:tcPr>
          <w:p>
            <w:r>
              <w:rPr>
                <w:rFonts w:ascii="Times New Roman" w:cs="Times New Roman" w:eastAsia="Times New Roman" w:hAnsi="Times New Roman"/>
                <w:color w:val="1F2937"/>
                <w:sz w:val="20"/>
                <w:szCs w:val="20"/>
              </w:rPr>
              <w:t xml:space="preserve">Prise de conscience</w:t>
            </w:r>
          </w:p>
        </w:tc>
        <w:tc>
          <w:tcPr>
            <w:shd w:fill="EEF2F7" w:val="clear"/>
            <w:tcMar>
              <w:top w:type="dxa" w:w="60"/>
              <w:left w:type="dxa" w:w="100"/>
              <w:bottom w:type="dxa" w:w="60"/>
              <w:right w:type="dxa" w:w="100"/>
            </w:tcMar>
            <w:vAlign w:val="center"/>
          </w:tcPr>
          <w:p>
            <w:r>
              <w:rPr>
                <w:rFonts w:ascii="Times New Roman" w:cs="Times New Roman" w:eastAsia="Times New Roman" w:hAnsi="Times New Roman"/>
                <w:color w:val="1F2937"/>
                <w:sz w:val="20"/>
                <w:szCs w:val="20"/>
              </w:rPr>
              <w:t xml:space="preserve">Reconnaissance qu'un rétablissement est possible — premiers signaux d'espoir</w:t>
            </w:r>
          </w:p>
        </w:tc>
      </w:tr>
      <w:tr>
        <w:tc>
          <w:tcPr>
            <w:tcMar>
              <w:top w:type="dxa" w:w="60"/>
              <w:left w:type="dxa" w:w="100"/>
              <w:bottom w:type="dxa" w:w="60"/>
              <w:right w:type="dxa" w:w="100"/>
            </w:tcMar>
            <w:vAlign w:val="center"/>
          </w:tcPr>
          <w:p>
            <w:r>
              <w:rPr>
                <w:rFonts w:ascii="Times New Roman" w:cs="Times New Roman" w:eastAsia="Times New Roman" w:hAnsi="Times New Roman"/>
                <w:color w:val="1F2937"/>
                <w:sz w:val="20"/>
                <w:szCs w:val="20"/>
              </w:rPr>
              <w:t xml:space="preserve">3</w:t>
            </w:r>
          </w:p>
        </w:tc>
        <w:tc>
          <w:tcPr>
            <w:tcMar>
              <w:top w:type="dxa" w:w="60"/>
              <w:left w:type="dxa" w:w="100"/>
              <w:bottom w:type="dxa" w:w="60"/>
              <w:right w:type="dxa" w:w="100"/>
            </w:tcMar>
            <w:vAlign w:val="center"/>
          </w:tcPr>
          <w:p>
            <w:r>
              <w:rPr>
                <w:rFonts w:ascii="Times New Roman" w:cs="Times New Roman" w:eastAsia="Times New Roman" w:hAnsi="Times New Roman"/>
                <w:color w:val="1F2937"/>
                <w:sz w:val="20"/>
                <w:szCs w:val="20"/>
              </w:rPr>
              <w:t xml:space="preserve">Reconstruction</w:t>
            </w:r>
          </w:p>
        </w:tc>
        <w:tc>
          <w:tcPr>
            <w:tcMar>
              <w:top w:type="dxa" w:w="60"/>
              <w:left w:type="dxa" w:w="100"/>
              <w:bottom w:type="dxa" w:w="60"/>
              <w:right w:type="dxa" w:w="100"/>
            </w:tcMar>
            <w:vAlign w:val="center"/>
          </w:tcPr>
          <w:p>
            <w:r>
              <w:rPr>
                <w:rFonts w:ascii="Times New Roman" w:cs="Times New Roman" w:eastAsia="Times New Roman" w:hAnsi="Times New Roman"/>
                <w:color w:val="1F2937"/>
                <w:sz w:val="20"/>
                <w:szCs w:val="20"/>
              </w:rPr>
              <w:t xml:space="preserve">Engagement actif dans un projet de vie, malgré les symptômes encore présents</w:t>
            </w:r>
          </w:p>
        </w:tc>
      </w:tr>
      <w:tr>
        <w:tc>
          <w:tcPr>
            <w:shd w:fill="EEF2F7" w:val="clear"/>
            <w:tcMar>
              <w:top w:type="dxa" w:w="60"/>
              <w:left w:type="dxa" w:w="100"/>
              <w:bottom w:type="dxa" w:w="60"/>
              <w:right w:type="dxa" w:w="100"/>
            </w:tcMar>
            <w:vAlign w:val="center"/>
          </w:tcPr>
          <w:p>
            <w:r>
              <w:rPr>
                <w:rFonts w:ascii="Times New Roman" w:cs="Times New Roman" w:eastAsia="Times New Roman" w:hAnsi="Times New Roman"/>
                <w:color w:val="1F2937"/>
                <w:sz w:val="20"/>
                <w:szCs w:val="20"/>
              </w:rPr>
              <w:t xml:space="preserve">4</w:t>
            </w:r>
          </w:p>
        </w:tc>
        <w:tc>
          <w:tcPr>
            <w:shd w:fill="EEF2F7" w:val="clear"/>
            <w:tcMar>
              <w:top w:type="dxa" w:w="60"/>
              <w:left w:type="dxa" w:w="100"/>
              <w:bottom w:type="dxa" w:w="60"/>
              <w:right w:type="dxa" w:w="100"/>
            </w:tcMar>
            <w:vAlign w:val="center"/>
          </w:tcPr>
          <w:p>
            <w:r>
              <w:rPr>
                <w:rFonts w:ascii="Times New Roman" w:cs="Times New Roman" w:eastAsia="Times New Roman" w:hAnsi="Times New Roman"/>
                <w:color w:val="1F2937"/>
                <w:sz w:val="20"/>
                <w:szCs w:val="20"/>
              </w:rPr>
              <w:t xml:space="preserve">Préparation</w:t>
            </w:r>
          </w:p>
        </w:tc>
        <w:tc>
          <w:tcPr>
            <w:shd w:fill="EEF2F7" w:val="clear"/>
            <w:tcMar>
              <w:top w:type="dxa" w:w="60"/>
              <w:left w:type="dxa" w:w="100"/>
              <w:bottom w:type="dxa" w:w="60"/>
              <w:right w:type="dxa" w:w="100"/>
            </w:tcMar>
            <w:vAlign w:val="center"/>
          </w:tcPr>
          <w:p>
            <w:r>
              <w:rPr>
                <w:rFonts w:ascii="Times New Roman" w:cs="Times New Roman" w:eastAsia="Times New Roman" w:hAnsi="Times New Roman"/>
                <w:color w:val="1F2937"/>
                <w:sz w:val="20"/>
                <w:szCs w:val="20"/>
              </w:rPr>
              <w:t xml:space="preserve">Développement des compétences pour concrétiser le projet de vie</w:t>
            </w:r>
          </w:p>
        </w:tc>
      </w:tr>
      <w:tr>
        <w:tc>
          <w:tcPr>
            <w:tcMar>
              <w:top w:type="dxa" w:w="60"/>
              <w:left w:type="dxa" w:w="100"/>
              <w:bottom w:type="dxa" w:w="60"/>
              <w:right w:type="dxa" w:w="100"/>
            </w:tcMar>
            <w:vAlign w:val="center"/>
          </w:tcPr>
          <w:p>
            <w:r>
              <w:rPr>
                <w:rFonts w:ascii="Times New Roman" w:cs="Times New Roman" w:eastAsia="Times New Roman" w:hAnsi="Times New Roman"/>
                <w:color w:val="1F2937"/>
                <w:sz w:val="20"/>
                <w:szCs w:val="20"/>
              </w:rPr>
              <w:t xml:space="preserve">5</w:t>
            </w:r>
          </w:p>
        </w:tc>
        <w:tc>
          <w:tcPr>
            <w:tcMar>
              <w:top w:type="dxa" w:w="60"/>
              <w:left w:type="dxa" w:w="100"/>
              <w:bottom w:type="dxa" w:w="60"/>
              <w:right w:type="dxa" w:w="100"/>
            </w:tcMar>
            <w:vAlign w:val="center"/>
          </w:tcPr>
          <w:p>
            <w:r>
              <w:rPr>
                <w:rFonts w:ascii="Times New Roman" w:cs="Times New Roman" w:eastAsia="Times New Roman" w:hAnsi="Times New Roman"/>
                <w:color w:val="1F2937"/>
                <w:sz w:val="20"/>
                <w:szCs w:val="20"/>
              </w:rPr>
              <w:t xml:space="preserve">Croissance</w:t>
            </w:r>
          </w:p>
        </w:tc>
        <w:tc>
          <w:tcPr>
            <w:tcMar>
              <w:top w:type="dxa" w:w="60"/>
              <w:left w:type="dxa" w:w="100"/>
              <w:bottom w:type="dxa" w:w="60"/>
              <w:right w:type="dxa" w:w="100"/>
            </w:tcMar>
            <w:vAlign w:val="center"/>
          </w:tcPr>
          <w:p>
            <w:r>
              <w:rPr>
                <w:rFonts w:ascii="Times New Roman" w:cs="Times New Roman" w:eastAsia="Times New Roman" w:hAnsi="Times New Roman"/>
                <w:color w:val="1F2937"/>
                <w:sz w:val="20"/>
                <w:szCs w:val="20"/>
              </w:rPr>
              <w:t xml:space="preserve">Auto-gestion, résilience, contribution à la communauté</w:t>
            </w:r>
          </w:p>
        </w:tc>
      </w:tr>
    </w:tbl>
    <w:p>
      <w:pPr>
        <w:spacing w:after="80" w:before="80"/>
      </w:pPr>
      <w:r>
        <w:t xml:space="preserve"/>
      </w:r>
    </w:p>
    <w:p>
      <w:pPr>
        <w:spacing w:after="80" w:before="80"/>
      </w:pPr>
      <w:r>
        <w:rPr>
          <w:rFonts w:ascii="Times New Roman" w:cs="Times New Roman" w:eastAsia="Times New Roman" w:hAnsi="Times New Roman"/>
          <w:color w:val="1F2937"/>
          <w:sz w:val="22"/>
          <w:szCs w:val="22"/>
        </w:rPr>
        <w:t xml:space="preserve">Les études longitudinales de l'OMS sur la schizophrénie (à partir des années 1970, citées sur Wikipedia FR) ont montré que les trajectoires sont très variables. Des différences culturelles notables ont été documentées : les taux de rétablissement semblent plus élevés au Nigeria, en Inde et en Colombie qu'en Angleterre ou aux États-Unis, ce qui suggère que la stigmatisation et les conditions sociales jouent un rôle important — au-delà des seuls facteurs biologiques. Ces données sont indicatives ; elles concernent principalement la schizophrénie et doivent être interprétées avec prudence au regard de leur ancienneté et des critères de rétablissement retenus.</w:t>
      </w:r>
    </w:p>
    <w:p>
      <w:pPr>
        <w:spacing w:after="80" w:before="80"/>
      </w:pPr>
      <w:r>
        <w:t xml:space="preserve"/>
      </w:r>
    </w:p>
    <w:p>
      <w:pPr>
        <w:pStyle w:val="Heading3"/>
        <w:spacing w:after="80" w:before="200"/>
      </w:pPr>
      <w:r>
        <w:rPr>
          <w:rFonts w:ascii="Times New Roman" w:cs="Times New Roman" w:eastAsia="Times New Roman" w:hAnsi="Times New Roman"/>
          <w:b/>
          <w:bCs/>
          <w:color w:val="1F2937"/>
          <w:sz w:val="26"/>
          <w:szCs w:val="26"/>
        </w:rPr>
        <w:t xml:space="preserve">3. Les interventions validées de réhabilitation psychosociale</w:t>
      </w:r>
    </w:p>
    <w:p>
      <w:pPr>
        <w:spacing w:after="80" w:before="80"/>
      </w:pPr>
      <w:r>
        <w:rPr>
          <w:rFonts w:ascii="Times New Roman" w:cs="Times New Roman" w:eastAsia="Times New Roman" w:hAnsi="Times New Roman"/>
          <w:color w:val="1F2937"/>
          <w:sz w:val="22"/>
          <w:szCs w:val="22"/>
        </w:rPr>
        <w:t xml:space="preserve">Les interventions suivantes disposent d'un corpus de preuves cliniques (sources : AP-HM Rehab Sud, C3RB Bretagne — consultés sept. 2026)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3A6B"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0"/>
                <w:szCs w:val="20"/>
              </w:rPr>
              <w:t xml:space="preserve">Intervention</w:t>
            </w:r>
          </w:p>
        </w:tc>
        <w:tc>
          <w:tcPr>
            <w:shd w:fill="1B3A6B"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0"/>
                <w:szCs w:val="20"/>
              </w:rPr>
              <w:t xml:space="preserve">Cible principale</w:t>
            </w:r>
          </w:p>
        </w:tc>
        <w:tc>
          <w:tcPr>
            <w:shd w:fill="1B3A6B"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0"/>
                <w:szCs w:val="20"/>
              </w:rPr>
              <w:t xml:space="preserve">Modalité</w:t>
            </w:r>
          </w:p>
        </w:tc>
      </w:tr>
      <w:tr>
        <w:tc>
          <w:tcPr>
            <w:tcMar>
              <w:top w:type="dxa" w:w="60"/>
              <w:left w:type="dxa" w:w="100"/>
              <w:bottom w:type="dxa" w:w="60"/>
              <w:right w:type="dxa" w:w="100"/>
            </w:tcMar>
            <w:vAlign w:val="center"/>
          </w:tcPr>
          <w:p>
            <w:r>
              <w:rPr>
                <w:rFonts w:ascii="Times New Roman" w:cs="Times New Roman" w:eastAsia="Times New Roman" w:hAnsi="Times New Roman"/>
                <w:color w:val="1F2937"/>
                <w:sz w:val="20"/>
                <w:szCs w:val="20"/>
              </w:rPr>
              <w:t xml:space="preserve">Remédiation cognitive</w:t>
            </w:r>
          </w:p>
        </w:tc>
        <w:tc>
          <w:tcPr>
            <w:tcMar>
              <w:top w:type="dxa" w:w="60"/>
              <w:left w:type="dxa" w:w="100"/>
              <w:bottom w:type="dxa" w:w="60"/>
              <w:right w:type="dxa" w:w="100"/>
            </w:tcMar>
            <w:vAlign w:val="center"/>
          </w:tcPr>
          <w:p>
            <w:r>
              <w:rPr>
                <w:rFonts w:ascii="Times New Roman" w:cs="Times New Roman" w:eastAsia="Times New Roman" w:hAnsi="Times New Roman"/>
                <w:color w:val="1F2937"/>
                <w:sz w:val="20"/>
                <w:szCs w:val="20"/>
              </w:rPr>
              <w:t xml:space="preserve">Mémoire, attention, fonctions exécutives, vitesse de traitement</w:t>
            </w:r>
          </w:p>
        </w:tc>
        <w:tc>
          <w:tcPr>
            <w:tcMar>
              <w:top w:type="dxa" w:w="60"/>
              <w:left w:type="dxa" w:w="100"/>
              <w:bottom w:type="dxa" w:w="60"/>
              <w:right w:type="dxa" w:w="100"/>
            </w:tcMar>
            <w:vAlign w:val="center"/>
          </w:tcPr>
          <w:p>
            <w:r>
              <w:rPr>
                <w:rFonts w:ascii="Times New Roman" w:cs="Times New Roman" w:eastAsia="Times New Roman" w:hAnsi="Times New Roman"/>
                <w:color w:val="1F2937"/>
                <w:sz w:val="20"/>
                <w:szCs w:val="20"/>
              </w:rPr>
              <w:t xml:space="preserve">Individuel ou groupe, outils spécialisés (CRT, RECOS, Cogpack...)</w:t>
            </w:r>
          </w:p>
        </w:tc>
      </w:tr>
      <w:tr>
        <w:tc>
          <w:tcPr>
            <w:shd w:fill="EEF2F7" w:val="clear"/>
            <w:tcMar>
              <w:top w:type="dxa" w:w="60"/>
              <w:left w:type="dxa" w:w="100"/>
              <w:bottom w:type="dxa" w:w="60"/>
              <w:right w:type="dxa" w:w="100"/>
            </w:tcMar>
            <w:vAlign w:val="center"/>
          </w:tcPr>
          <w:p>
            <w:r>
              <w:rPr>
                <w:rFonts w:ascii="Times New Roman" w:cs="Times New Roman" w:eastAsia="Times New Roman" w:hAnsi="Times New Roman"/>
                <w:color w:val="1F2937"/>
                <w:sz w:val="20"/>
                <w:szCs w:val="20"/>
              </w:rPr>
              <w:t xml:space="preserve">Psychoéducation</w:t>
            </w:r>
          </w:p>
        </w:tc>
        <w:tc>
          <w:tcPr>
            <w:shd w:fill="EEF2F7" w:val="clear"/>
            <w:tcMar>
              <w:top w:type="dxa" w:w="60"/>
              <w:left w:type="dxa" w:w="100"/>
              <w:bottom w:type="dxa" w:w="60"/>
              <w:right w:type="dxa" w:w="100"/>
            </w:tcMar>
            <w:vAlign w:val="center"/>
          </w:tcPr>
          <w:p>
            <w:r>
              <w:rPr>
                <w:rFonts w:ascii="Times New Roman" w:cs="Times New Roman" w:eastAsia="Times New Roman" w:hAnsi="Times New Roman"/>
                <w:color w:val="1F2937"/>
                <w:sz w:val="20"/>
                <w:szCs w:val="20"/>
              </w:rPr>
              <w:t xml:space="preserve">Connaissance de la maladie, traitements, signaux d'alerte, prévention des rechutes</w:t>
            </w:r>
          </w:p>
        </w:tc>
        <w:tc>
          <w:tcPr>
            <w:shd w:fill="EEF2F7" w:val="clear"/>
            <w:tcMar>
              <w:top w:type="dxa" w:w="60"/>
              <w:left w:type="dxa" w:w="100"/>
              <w:bottom w:type="dxa" w:w="60"/>
              <w:right w:type="dxa" w:w="100"/>
            </w:tcMar>
            <w:vAlign w:val="center"/>
          </w:tcPr>
          <w:p>
            <w:r>
              <w:rPr>
                <w:rFonts w:ascii="Times New Roman" w:cs="Times New Roman" w:eastAsia="Times New Roman" w:hAnsi="Times New Roman"/>
                <w:color w:val="1F2937"/>
                <w:sz w:val="20"/>
                <w:szCs w:val="20"/>
              </w:rPr>
              <w:t xml:space="preserve">Groupes structurés (ex. : programmes PACT, Profamille)</w:t>
            </w:r>
          </w:p>
        </w:tc>
      </w:tr>
      <w:tr>
        <w:tc>
          <w:tcPr>
            <w:tcMar>
              <w:top w:type="dxa" w:w="60"/>
              <w:left w:type="dxa" w:w="100"/>
              <w:bottom w:type="dxa" w:w="60"/>
              <w:right w:type="dxa" w:w="100"/>
            </w:tcMar>
            <w:vAlign w:val="center"/>
          </w:tcPr>
          <w:p>
            <w:r>
              <w:rPr>
                <w:rFonts w:ascii="Times New Roman" w:cs="Times New Roman" w:eastAsia="Times New Roman" w:hAnsi="Times New Roman"/>
                <w:color w:val="1F2937"/>
                <w:sz w:val="20"/>
                <w:szCs w:val="20"/>
              </w:rPr>
              <w:t xml:space="preserve">Entraînement aux compétences sociales</w:t>
            </w:r>
          </w:p>
        </w:tc>
        <w:tc>
          <w:tcPr>
            <w:tcMar>
              <w:top w:type="dxa" w:w="60"/>
              <w:left w:type="dxa" w:w="100"/>
              <w:bottom w:type="dxa" w:w="60"/>
              <w:right w:type="dxa" w:w="100"/>
            </w:tcMar>
            <w:vAlign w:val="center"/>
          </w:tcPr>
          <w:p>
            <w:r>
              <w:rPr>
                <w:rFonts w:ascii="Times New Roman" w:cs="Times New Roman" w:eastAsia="Times New Roman" w:hAnsi="Times New Roman"/>
                <w:color w:val="1F2937"/>
                <w:sz w:val="20"/>
                <w:szCs w:val="20"/>
              </w:rPr>
              <w:t xml:space="preserve">Gestion des situations sociales, communication, résolution de problèmes</w:t>
            </w:r>
          </w:p>
        </w:tc>
        <w:tc>
          <w:tcPr>
            <w:tcMar>
              <w:top w:type="dxa" w:w="60"/>
              <w:left w:type="dxa" w:w="100"/>
              <w:bottom w:type="dxa" w:w="60"/>
              <w:right w:type="dxa" w:w="100"/>
            </w:tcMar>
            <w:vAlign w:val="center"/>
          </w:tcPr>
          <w:p>
            <w:r>
              <w:rPr>
                <w:rFonts w:ascii="Times New Roman" w:cs="Times New Roman" w:eastAsia="Times New Roman" w:hAnsi="Times New Roman"/>
                <w:color w:val="1F2937"/>
                <w:sz w:val="20"/>
                <w:szCs w:val="20"/>
              </w:rPr>
              <w:t xml:space="preserve">Jeux de rôles, mise en situation, feedback</w:t>
            </w:r>
          </w:p>
        </w:tc>
      </w:tr>
      <w:tr>
        <w:tc>
          <w:tcPr>
            <w:shd w:fill="EEF2F7" w:val="clear"/>
            <w:tcMar>
              <w:top w:type="dxa" w:w="60"/>
              <w:left w:type="dxa" w:w="100"/>
              <w:bottom w:type="dxa" w:w="60"/>
              <w:right w:type="dxa" w:w="100"/>
            </w:tcMar>
            <w:vAlign w:val="center"/>
          </w:tcPr>
          <w:p>
            <w:r>
              <w:rPr>
                <w:rFonts w:ascii="Times New Roman" w:cs="Times New Roman" w:eastAsia="Times New Roman" w:hAnsi="Times New Roman"/>
                <w:color w:val="1F2937"/>
                <w:sz w:val="20"/>
                <w:szCs w:val="20"/>
              </w:rPr>
              <w:t xml:space="preserve">Entretien motivationnel</w:t>
            </w:r>
          </w:p>
        </w:tc>
        <w:tc>
          <w:tcPr>
            <w:shd w:fill="EEF2F7" w:val="clear"/>
            <w:tcMar>
              <w:top w:type="dxa" w:w="60"/>
              <w:left w:type="dxa" w:w="100"/>
              <w:bottom w:type="dxa" w:w="60"/>
              <w:right w:type="dxa" w:w="100"/>
            </w:tcMar>
            <w:vAlign w:val="center"/>
          </w:tcPr>
          <w:p>
            <w:r>
              <w:rPr>
                <w:rFonts w:ascii="Times New Roman" w:cs="Times New Roman" w:eastAsia="Times New Roman" w:hAnsi="Times New Roman"/>
                <w:color w:val="1F2937"/>
                <w:sz w:val="20"/>
                <w:szCs w:val="20"/>
              </w:rPr>
              <w:t xml:space="preserve">Motivation intrinsèque au changement, ambivalence</w:t>
            </w:r>
          </w:p>
        </w:tc>
        <w:tc>
          <w:tcPr>
            <w:shd w:fill="EEF2F7" w:val="clear"/>
            <w:tcMar>
              <w:top w:type="dxa" w:w="60"/>
              <w:left w:type="dxa" w:w="100"/>
              <w:bottom w:type="dxa" w:w="60"/>
              <w:right w:type="dxa" w:w="100"/>
            </w:tcMar>
            <w:vAlign w:val="center"/>
          </w:tcPr>
          <w:p>
            <w:r>
              <w:rPr>
                <w:rFonts w:ascii="Times New Roman" w:cs="Times New Roman" w:eastAsia="Times New Roman" w:hAnsi="Times New Roman"/>
                <w:color w:val="1F2937"/>
                <w:sz w:val="20"/>
                <w:szCs w:val="20"/>
              </w:rPr>
              <w:t xml:space="preserve">Individuel, posture non directive et collaborative</w:t>
            </w:r>
          </w:p>
        </w:tc>
      </w:tr>
      <w:tr>
        <w:tc>
          <w:tcPr>
            <w:tcMar>
              <w:top w:type="dxa" w:w="60"/>
              <w:left w:type="dxa" w:w="100"/>
              <w:bottom w:type="dxa" w:w="60"/>
              <w:right w:type="dxa" w:w="100"/>
            </w:tcMar>
            <w:vAlign w:val="center"/>
          </w:tcPr>
          <w:p>
            <w:r>
              <w:rPr>
                <w:rFonts w:ascii="Times New Roman" w:cs="Times New Roman" w:eastAsia="Times New Roman" w:hAnsi="Times New Roman"/>
                <w:color w:val="1F2937"/>
                <w:sz w:val="20"/>
                <w:szCs w:val="20"/>
              </w:rPr>
              <w:t xml:space="preserve">IPS (Individual Placement and Support)</w:t>
            </w:r>
          </w:p>
        </w:tc>
        <w:tc>
          <w:tcPr>
            <w:tcMar>
              <w:top w:type="dxa" w:w="60"/>
              <w:left w:type="dxa" w:w="100"/>
              <w:bottom w:type="dxa" w:w="60"/>
              <w:right w:type="dxa" w:w="100"/>
            </w:tcMar>
            <w:vAlign w:val="center"/>
          </w:tcPr>
          <w:p>
            <w:r>
              <w:rPr>
                <w:rFonts w:ascii="Times New Roman" w:cs="Times New Roman" w:eastAsia="Times New Roman" w:hAnsi="Times New Roman"/>
                <w:color w:val="1F2937"/>
                <w:sz w:val="20"/>
                <w:szCs w:val="20"/>
              </w:rPr>
              <w:t xml:space="preserve">Insertion professionnelle en milieu ordinaire</w:t>
            </w:r>
          </w:p>
        </w:tc>
        <w:tc>
          <w:tcPr>
            <w:tcMar>
              <w:top w:type="dxa" w:w="60"/>
              <w:left w:type="dxa" w:w="100"/>
              <w:bottom w:type="dxa" w:w="60"/>
              <w:right w:type="dxa" w:w="100"/>
            </w:tcMar>
            <w:vAlign w:val="center"/>
          </w:tcPr>
          <w:p>
            <w:r>
              <w:rPr>
                <w:rFonts w:ascii="Times New Roman" w:cs="Times New Roman" w:eastAsia="Times New Roman" w:hAnsi="Times New Roman"/>
                <w:color w:val="1F2937"/>
                <w:sz w:val="20"/>
                <w:szCs w:val="20"/>
              </w:rPr>
              <w:t xml:space="preserve">Recherche d'emploi rapide, soutien en emploi, sans prérequis d'aptitude</w:t>
            </w:r>
          </w:p>
        </w:tc>
      </w:tr>
      <w:tr>
        <w:tc>
          <w:tcPr>
            <w:shd w:fill="EEF2F7" w:val="clear"/>
            <w:tcMar>
              <w:top w:type="dxa" w:w="60"/>
              <w:left w:type="dxa" w:w="100"/>
              <w:bottom w:type="dxa" w:w="60"/>
              <w:right w:type="dxa" w:w="100"/>
            </w:tcMar>
            <w:vAlign w:val="center"/>
          </w:tcPr>
          <w:p>
            <w:r>
              <w:rPr>
                <w:rFonts w:ascii="Times New Roman" w:cs="Times New Roman" w:eastAsia="Times New Roman" w:hAnsi="Times New Roman"/>
                <w:color w:val="1F2937"/>
                <w:sz w:val="20"/>
                <w:szCs w:val="20"/>
              </w:rPr>
              <w:t xml:space="preserve">TCC adaptée</w:t>
            </w:r>
          </w:p>
        </w:tc>
        <w:tc>
          <w:tcPr>
            <w:shd w:fill="EEF2F7" w:val="clear"/>
            <w:tcMar>
              <w:top w:type="dxa" w:w="60"/>
              <w:left w:type="dxa" w:w="100"/>
              <w:bottom w:type="dxa" w:w="60"/>
              <w:right w:type="dxa" w:w="100"/>
            </w:tcMar>
            <w:vAlign w:val="center"/>
          </w:tcPr>
          <w:p>
            <w:r>
              <w:rPr>
                <w:rFonts w:ascii="Times New Roman" w:cs="Times New Roman" w:eastAsia="Times New Roman" w:hAnsi="Times New Roman"/>
                <w:color w:val="1F2937"/>
                <w:sz w:val="20"/>
                <w:szCs w:val="20"/>
              </w:rPr>
              <w:t xml:space="preserve">Pensées, émotions et comportements</w:t>
            </w:r>
          </w:p>
        </w:tc>
        <w:tc>
          <w:tcPr>
            <w:shd w:fill="EEF2F7" w:val="clear"/>
            <w:tcMar>
              <w:top w:type="dxa" w:w="60"/>
              <w:left w:type="dxa" w:w="100"/>
              <w:bottom w:type="dxa" w:w="60"/>
              <w:right w:type="dxa" w:w="100"/>
            </w:tcMar>
            <w:vAlign w:val="center"/>
          </w:tcPr>
          <w:p>
            <w:r>
              <w:rPr>
                <w:rFonts w:ascii="Times New Roman" w:cs="Times New Roman" w:eastAsia="Times New Roman" w:hAnsi="Times New Roman"/>
                <w:color w:val="1F2937"/>
                <w:sz w:val="20"/>
                <w:szCs w:val="20"/>
              </w:rPr>
              <w:t xml:space="preserve">Travail sur les croyances liées aux symptômes ou aux situations de vie</w:t>
            </w:r>
          </w:p>
        </w:tc>
      </w:tr>
      <w:tr>
        <w:tc>
          <w:tcPr>
            <w:tcMar>
              <w:top w:type="dxa" w:w="60"/>
              <w:left w:type="dxa" w:w="100"/>
              <w:bottom w:type="dxa" w:w="60"/>
              <w:right w:type="dxa" w:w="100"/>
            </w:tcMar>
            <w:vAlign w:val="center"/>
          </w:tcPr>
          <w:p>
            <w:r>
              <w:rPr>
                <w:rFonts w:ascii="Times New Roman" w:cs="Times New Roman" w:eastAsia="Times New Roman" w:hAnsi="Times New Roman"/>
                <w:color w:val="1F2937"/>
                <w:sz w:val="20"/>
                <w:szCs w:val="20"/>
              </w:rPr>
              <w:t xml:space="preserve">Soutien aux familles et proches</w:t>
            </w:r>
          </w:p>
        </w:tc>
        <w:tc>
          <w:tcPr>
            <w:tcMar>
              <w:top w:type="dxa" w:w="60"/>
              <w:left w:type="dxa" w:w="100"/>
              <w:bottom w:type="dxa" w:w="60"/>
              <w:right w:type="dxa" w:w="100"/>
            </w:tcMar>
            <w:vAlign w:val="center"/>
          </w:tcPr>
          <w:p>
            <w:r>
              <w:rPr>
                <w:rFonts w:ascii="Times New Roman" w:cs="Times New Roman" w:eastAsia="Times New Roman" w:hAnsi="Times New Roman"/>
                <w:color w:val="1F2937"/>
                <w:sz w:val="20"/>
                <w:szCs w:val="20"/>
              </w:rPr>
              <w:t xml:space="preserve">Compréhension de la maladie, réduction du fardeau, communication</w:t>
            </w:r>
          </w:p>
        </w:tc>
        <w:tc>
          <w:tcPr>
            <w:tcMar>
              <w:top w:type="dxa" w:w="60"/>
              <w:left w:type="dxa" w:w="100"/>
              <w:bottom w:type="dxa" w:w="60"/>
              <w:right w:type="dxa" w:w="100"/>
            </w:tcMar>
            <w:vAlign w:val="center"/>
          </w:tcPr>
          <w:p>
            <w:r>
              <w:rPr>
                <w:rFonts w:ascii="Times New Roman" w:cs="Times New Roman" w:eastAsia="Times New Roman" w:hAnsi="Times New Roman"/>
                <w:color w:val="1F2937"/>
                <w:sz w:val="20"/>
                <w:szCs w:val="20"/>
              </w:rPr>
              <w:t xml:space="preserve">Groupes psychoéducatifs (ex. : Profamille)</w:t>
            </w:r>
          </w:p>
        </w:tc>
      </w:tr>
    </w:tbl>
    <w:p>
      <w:pPr>
        <w:spacing w:after="80" w:before="80"/>
      </w:pPr>
      <w:r>
        <w:t xml:space="preserve"/>
      </w:r>
    </w:p>
    <w:p>
      <w:pPr>
        <w:spacing w:after="80" w:before="80"/>
      </w:pPr>
      <w:r>
        <w:rPr>
          <w:rFonts w:ascii="Times New Roman" w:cs="Times New Roman" w:eastAsia="Times New Roman" w:hAnsi="Times New Roman"/>
          <w:color w:val="1F2937"/>
          <w:sz w:val="22"/>
          <w:szCs w:val="22"/>
        </w:rPr>
        <w:t xml:space="preserve">Ces interventions sont dispensées individuellement ou en groupe, dans des unités dédiées ou en milieu communautaire. Elles s'inscrivent dans une approche écologique : l'objectif est que les apprentissages se généralisent à la vie réelle, pas uniquement en cabinet.</w:t>
      </w:r>
    </w:p>
    <w:p>
      <w:pPr>
        <w:spacing w:after="80" w:before="80"/>
      </w:pPr>
      <w:r>
        <w:t xml:space="preserve"/>
      </w:r>
    </w:p>
    <w:p>
      <w:pPr>
        <w:pStyle w:val="Heading3"/>
        <w:spacing w:after="80" w:before="200"/>
      </w:pPr>
      <w:r>
        <w:rPr>
          <w:rFonts w:ascii="Times New Roman" w:cs="Times New Roman" w:eastAsia="Times New Roman" w:hAnsi="Times New Roman"/>
          <w:b/>
          <w:bCs/>
          <w:color w:val="1F2937"/>
          <w:sz w:val="26"/>
          <w:szCs w:val="26"/>
        </w:rPr>
        <w:t xml:space="preserve">4. La pair-aidance</w:t>
      </w:r>
    </w:p>
    <w:p>
      <w:pPr>
        <w:spacing w:after="80" w:before="80"/>
      </w:pPr>
      <w:r>
        <w:rPr>
          <w:rFonts w:ascii="Times New Roman" w:cs="Times New Roman" w:eastAsia="Times New Roman" w:hAnsi="Times New Roman"/>
          <w:color w:val="1F2937"/>
          <w:sz w:val="22"/>
          <w:szCs w:val="22"/>
        </w:rPr>
        <w:t xml:space="preserve">Définition officielle (HAS, note de cadrage « Pair-aidance dans les organisations sanitaires, sociales et médico-sociales », validée le 14 janvier 2025) :</w:t>
      </w:r>
    </w:p>
    <w:p>
      <w:pPr>
        <w:shd w:fill="F3F4F6" w:val="clear"/>
        <w:spacing w:after="120" w:before="120"/>
        <w:ind w:left="431" w:right="431"/>
      </w:pPr>
      <w:r>
        <w:rPr>
          <w:rFonts w:ascii="Times New Roman" w:cs="Times New Roman" w:eastAsia="Times New Roman" w:hAnsi="Times New Roman"/>
          <w:color w:val="1F2937"/>
          <w:sz w:val="22"/>
          <w:szCs w:val="22"/>
        </w:rPr>
        <w:t xml:space="preserve">« La pair-aidance regroupe un ensemble de pratiques qui procède de formes d'accompagnement ou encore d'entraide et de soutien, par lesquelles une personne s'appuie sur son savoir expérientiel vécu, c'est-à-dire le savoir qu'elle a retiré de sa propre expérience d'une situation vécue, habituellement considérée comme difficile et/ou stigmatisante ou négative [...] pour aider d'autres personnes vivant des parcours similaires, des situations comparables. »</w:t>
      </w:r>
    </w:p>
    <w:p>
      <w:pPr>
        <w:spacing w:after="80" w:before="80"/>
      </w:pPr>
      <w:r>
        <w:t xml:space="preserve"/>
      </w:r>
    </w:p>
    <w:p>
      <w:pPr>
        <w:spacing w:after="80" w:before="80"/>
      </w:pPr>
      <w:r>
        <w:rPr>
          <w:rFonts w:ascii="Times New Roman" w:cs="Times New Roman" w:eastAsia="Times New Roman" w:hAnsi="Times New Roman"/>
          <w:color w:val="1F2937"/>
          <w:sz w:val="22"/>
          <w:szCs w:val="22"/>
        </w:rPr>
        <w:t xml:space="preserve">Points essentiels de la note de cadrage HAS (janvier 2025)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L'expérience de vie ne constitue pas en elle-même un savoir : c'est sa transformation en compétences qui fonde la valeur du pair-aidant.</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La pair-aidance s'inscrit dans une dynamique d'empowerment (pouvoir d'agir) et de démocratie en santé.</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Elle peut représenter un espoir pour la personne dans une perspective de rétablissement.</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Différents rôles existent : médiateur santé-pair (MSP), pair-aidant, patient expert, pair-intervenant — les missions et compétences attendues diffèrent.</w:t>
      </w:r>
    </w:p>
    <w:p>
      <w:pPr>
        <w:spacing w:after="80" w:before="80"/>
      </w:pPr>
      <w:r>
        <w:t xml:space="preserve"/>
      </w:r>
    </w:p>
    <w:p>
      <w:pPr>
        <w:spacing w:after="80" w:before="80"/>
      </w:pPr>
      <w:r>
        <w:rPr>
          <w:rFonts w:ascii="Times New Roman" w:cs="Times New Roman" w:eastAsia="Times New Roman" w:hAnsi="Times New Roman"/>
          <w:color w:val="1F2937"/>
          <w:sz w:val="22"/>
          <w:szCs w:val="22"/>
        </w:rPr>
        <w:t xml:space="preserve">Repères législatifs (HAS, note de cadrage, janvier 2025)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1935 : fondation des Alcooliques Anonymes (AA) — modèle d'entraide entre pairs.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Années 1940 : Clubhouse « Fountain House » aux États-Unis — réhabilitation psychosociale et pair-aidance.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France — loi du 11 février 2005 et circulaire du 29 août 2005 : création des Groupes d'Entraide Mutuelle (GEM) en psychiatrie, structures non médicalisées fondées sur l'entraide.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Lois 2002-2 (rénovation de l'action sociale) et 2009 (loi HPST) : impulsion progressive de l'implication des personnes et des associations.</w:t>
      </w:r>
    </w:p>
    <w:p>
      <w:pPr>
        <w:spacing w:after="80" w:before="80"/>
      </w:pPr>
      <w:r>
        <w:t xml:space="preserve"/>
      </w:r>
    </w:p>
    <w:p>
      <w:pPr>
        <w:pStyle w:val="Heading2"/>
        <w:spacing w:after="120" w:before="280"/>
      </w:pPr>
      <w:r>
        <w:rPr>
          <w:rFonts w:ascii="Times New Roman" w:cs="Times New Roman" w:eastAsia="Times New Roman" w:hAnsi="Times New Roman"/>
          <w:b/>
          <w:bCs/>
          <w:color w:val="1B3A6B"/>
          <w:sz w:val="30"/>
          <w:szCs w:val="30"/>
        </w:rPr>
        <w:t xml:space="preserve">🛠️ Pratique (80 %)</w:t>
      </w:r>
    </w:p>
    <w:p>
      <w:pPr>
        <w:pStyle w:val="Heading3"/>
        <w:spacing w:after="80" w:before="200"/>
      </w:pPr>
      <w:r>
        <w:rPr>
          <w:rFonts w:ascii="Times New Roman" w:cs="Times New Roman" w:eastAsia="Times New Roman" w:hAnsi="Times New Roman"/>
          <w:b/>
          <w:bCs/>
          <w:color w:val="1F2937"/>
          <w:sz w:val="26"/>
          <w:szCs w:val="26"/>
        </w:rPr>
        <w:t xml:space="preserve">Exercice 1 — Vignette : Sébastien, 28 ans</w:t>
      </w:r>
    </w:p>
    <w:p>
      <w:pPr>
        <w:shd w:fill="F3F4F6" w:val="clear"/>
        <w:spacing w:after="120" w:before="120"/>
        <w:ind w:left="431" w:right="431"/>
      </w:pPr>
      <w:r>
        <w:rPr>
          <w:rFonts w:ascii="Times New Roman" w:cs="Times New Roman" w:eastAsia="Times New Roman" w:hAnsi="Times New Roman"/>
          <w:color w:val="1F2937"/>
          <w:sz w:val="22"/>
          <w:szCs w:val="22"/>
        </w:rPr>
        <w:t xml:space="preserve">Sébastien, 28 ans, a reçu un diagnostic de schizophrénie il y a 3 ans. Son traitement antipsychotique est stabilisé depuis 6 mois. Il vit en foyer d'hébergement, a interrompu ses études après l'apparition de la maladie, et exprime vouloir « faire quelque chose de sa vie ». Il a du mal à suivre une conversation longue, oublie facilement les rendez-vous, et se dit « épuisé » par les interactions sociales même courtes.</w:t>
      </w:r>
    </w:p>
    <w:p>
      <w:pPr>
        <w:spacing w:after="80" w:before="80"/>
      </w:pPr>
      <w:r>
        <w:t xml:space="preserve"/>
      </w:r>
    </w:p>
    <w:p>
      <w:pPr>
        <w:spacing w:after="80" w:before="80"/>
      </w:pPr>
      <w:r>
        <w:rPr>
          <w:rFonts w:ascii="Times New Roman" w:cs="Times New Roman" w:eastAsia="Times New Roman" w:hAnsi="Times New Roman"/>
          <w:color w:val="1F2937"/>
          <w:sz w:val="22"/>
          <w:szCs w:val="22"/>
        </w:rPr>
        <w:t xml:space="preserve">Questions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a) Quelles fonctions cognitives semblent altérées chez Sébastien ? Quelle intervention de réhabilitation serait directement pertinente pour cette difficulté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b) Sébastien exprime un souhait d'emploi. Quelle modalité d'insertion est la plus adaptée selon les pratiques de réhabilitation psychosociale ? Justifie en une phrase.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c) À quel stade du modèle en cinq étapes (Andresen, Caputi et Oades, 2006, via Unafam) Sébastien semble-t-il se situer ? Justifie.</w:t>
      </w:r>
    </w:p>
    <w:p>
      <w:pPr>
        <w:spacing w:after="80" w:before="80"/>
      </w:pPr>
      <w:r>
        <w:t xml:space="preserve"/>
      </w:r>
    </w:p>
    <w:p>
      <w:pPr>
        <w:spacing w:after="80" w:before="80"/>
      </w:pPr>
      <w:r>
        <w:rPr>
          <w:rFonts w:ascii="Times New Roman" w:cs="Times New Roman" w:eastAsia="Times New Roman" w:hAnsi="Times New Roman"/>
          <w:color w:val="1F2937"/>
          <w:sz w:val="22"/>
          <w:szCs w:val="22"/>
        </w:rPr>
        <w:t xml:space="preserve">Corrigé — Exercice 1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a) Fonctions altérées : mémoire de travail (oubli des rendez-vous), attention soutenue (difficulté à suivre une conversation), probablement vitesse de traitement (fatigue lors des échanges). Intervention pertinente : remédiation cognitive — elle cible précisément ces fonctions par des exercices structurés avec stratégies compensatoires.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b) L'IPS (Individual Placement and Support) est particulièrement pertinent ici : il soutient l'insertion en emploi ordinaire sans prérequis d'aptitude préalable, en accompagnant la personne directement dans sa recherche et dans les premiers temps de l'emploi.</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c) Stade de reconstruction (étape 3) : Sébastien est stabilisé et exprime un désir actif pour son avenir (« faire quelque chose de sa vie »), ce qui dépasse la simple prise de conscience (étape 2). Il n'est pas encore en phase de préparation opérationnelle (étape 4) car les difficultés cognitives restent un obstacle concret à travailler.</w:t>
      </w:r>
    </w:p>
    <w:p>
      <w:pPr>
        <w:spacing w:after="80" w:before="80"/>
      </w:pPr>
      <w:r>
        <w:t xml:space="preserve"/>
      </w:r>
    </w:p>
    <w:p>
      <w:pPr>
        <w:pStyle w:val="Heading3"/>
        <w:spacing w:after="80" w:before="200"/>
      </w:pPr>
      <w:r>
        <w:rPr>
          <w:rFonts w:ascii="Times New Roman" w:cs="Times New Roman" w:eastAsia="Times New Roman" w:hAnsi="Times New Roman"/>
          <w:b/>
          <w:bCs/>
          <w:color w:val="1F2937"/>
          <w:sz w:val="26"/>
          <w:szCs w:val="26"/>
        </w:rPr>
        <w:t xml:space="preserve">Exercice 2 — Rétablissement clinique ou personnel ?</w:t>
      </w:r>
    </w:p>
    <w:p>
      <w:pPr>
        <w:spacing w:after="80" w:before="80"/>
      </w:pPr>
      <w:r>
        <w:rPr>
          <w:rFonts w:ascii="Times New Roman" w:cs="Times New Roman" w:eastAsia="Times New Roman" w:hAnsi="Times New Roman"/>
          <w:color w:val="1F2937"/>
          <w:sz w:val="22"/>
          <w:szCs w:val="22"/>
        </w:rPr>
        <w:t xml:space="preserve">Pour chacune des cinq situations ci-dessous, détermine s'il s'agit d'un indicateur de rétablissement clinique (C), personnel (P) ou des deux (C+P). Justifie en une phrase.</w:t>
      </w:r>
    </w:p>
    <w:p>
      <w:pPr>
        <w:spacing w:after="80" w:before="80"/>
      </w:pPr>
      <w:r>
        <w:t xml:space="preserve"/>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a) Julie n'a plus été hospitalisée depuis 2 ans et ne présente plus de symptômes positifs actifs.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b) Marc vit de façon autonome, prend son traitement, a repris une activité associative et dit : « Je ne suis plus juste mon diagnostic.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c) Fatou entend encore des voix, mais a appris à les gérer et travaille à mi-temps dans une association.</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d) Karim refuse toujours son traitement mais dit pour la première fois : « Je voudrais aller mieux.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e) L'équipe note une amélioration de 15 points au score GAF d'un résident au cours des 6 derniers mois.</w:t>
      </w:r>
    </w:p>
    <w:p>
      <w:pPr>
        <w:spacing w:after="80" w:before="80"/>
      </w:pPr>
      <w:r>
        <w:t xml:space="preserve"/>
      </w:r>
    </w:p>
    <w:p>
      <w:pPr>
        <w:spacing w:after="80" w:before="80"/>
      </w:pPr>
      <w:r>
        <w:rPr>
          <w:rFonts w:ascii="Times New Roman" w:cs="Times New Roman" w:eastAsia="Times New Roman" w:hAnsi="Times New Roman"/>
          <w:color w:val="1F2937"/>
          <w:sz w:val="22"/>
          <w:szCs w:val="22"/>
        </w:rPr>
        <w:t xml:space="preserve">Corrigé — Exercice 2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3A6B"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0"/>
                <w:szCs w:val="20"/>
              </w:rPr>
              <w:t xml:space="preserve">Situation</w:t>
            </w:r>
          </w:p>
        </w:tc>
        <w:tc>
          <w:tcPr>
            <w:shd w:fill="1B3A6B"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0"/>
                <w:szCs w:val="20"/>
              </w:rPr>
              <w:t xml:space="preserve">Type</w:t>
            </w:r>
          </w:p>
        </w:tc>
        <w:tc>
          <w:tcPr>
            <w:shd w:fill="1B3A6B"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0"/>
                <w:szCs w:val="20"/>
              </w:rPr>
              <w:t xml:space="preserve">Justification</w:t>
            </w:r>
          </w:p>
        </w:tc>
      </w:tr>
      <w:tr>
        <w:tc>
          <w:tcPr>
            <w:tcMar>
              <w:top w:type="dxa" w:w="60"/>
              <w:left w:type="dxa" w:w="100"/>
              <w:bottom w:type="dxa" w:w="60"/>
              <w:right w:type="dxa" w:w="100"/>
            </w:tcMar>
            <w:vAlign w:val="center"/>
          </w:tcPr>
          <w:p>
            <w:r>
              <w:rPr>
                <w:rFonts w:ascii="Times New Roman" w:cs="Times New Roman" w:eastAsia="Times New Roman" w:hAnsi="Times New Roman"/>
                <w:color w:val="1F2937"/>
                <w:sz w:val="20"/>
                <w:szCs w:val="20"/>
              </w:rPr>
              <w:t xml:space="preserve">a) Julie — plus de symptômes actifs, plus d'hospitalisation</w:t>
            </w:r>
          </w:p>
        </w:tc>
        <w:tc>
          <w:tcPr>
            <w:tcMar>
              <w:top w:type="dxa" w:w="60"/>
              <w:left w:type="dxa" w:w="100"/>
              <w:bottom w:type="dxa" w:w="60"/>
              <w:right w:type="dxa" w:w="100"/>
            </w:tcMar>
            <w:vAlign w:val="center"/>
          </w:tcPr>
          <w:p>
            <w:r>
              <w:rPr>
                <w:rFonts w:ascii="Times New Roman" w:cs="Times New Roman" w:eastAsia="Times New Roman" w:hAnsi="Times New Roman"/>
                <w:color w:val="1F2937"/>
                <w:sz w:val="20"/>
                <w:szCs w:val="20"/>
              </w:rPr>
              <w:t xml:space="preserve">Clinique (C)</w:t>
            </w:r>
          </w:p>
        </w:tc>
        <w:tc>
          <w:tcPr>
            <w:tcMar>
              <w:top w:type="dxa" w:w="60"/>
              <w:left w:type="dxa" w:w="100"/>
              <w:bottom w:type="dxa" w:w="60"/>
              <w:right w:type="dxa" w:w="100"/>
            </w:tcMar>
            <w:vAlign w:val="center"/>
          </w:tcPr>
          <w:p>
            <w:r>
              <w:rPr>
                <w:rFonts w:ascii="Times New Roman" w:cs="Times New Roman" w:eastAsia="Times New Roman" w:hAnsi="Times New Roman"/>
                <w:color w:val="1F2937"/>
                <w:sz w:val="20"/>
                <w:szCs w:val="20"/>
              </w:rPr>
              <w:t xml:space="preserve">Évaluation externe portant sur la rémission symptomatique et la stabilisation du parcours de soins</w:t>
            </w:r>
          </w:p>
        </w:tc>
      </w:tr>
      <w:tr>
        <w:tc>
          <w:tcPr>
            <w:shd w:fill="EEF2F7" w:val="clear"/>
            <w:tcMar>
              <w:top w:type="dxa" w:w="60"/>
              <w:left w:type="dxa" w:w="100"/>
              <w:bottom w:type="dxa" w:w="60"/>
              <w:right w:type="dxa" w:w="100"/>
            </w:tcMar>
            <w:vAlign w:val="center"/>
          </w:tcPr>
          <w:p>
            <w:r>
              <w:rPr>
                <w:rFonts w:ascii="Times New Roman" w:cs="Times New Roman" w:eastAsia="Times New Roman" w:hAnsi="Times New Roman"/>
                <w:color w:val="1F2937"/>
                <w:sz w:val="20"/>
                <w:szCs w:val="20"/>
              </w:rPr>
              <w:t xml:space="preserve">b) Marc — autonomie, traitement, association, identité reconstruite</w:t>
            </w:r>
          </w:p>
        </w:tc>
        <w:tc>
          <w:tcPr>
            <w:shd w:fill="EEF2F7" w:val="clear"/>
            <w:tcMar>
              <w:top w:type="dxa" w:w="60"/>
              <w:left w:type="dxa" w:w="100"/>
              <w:bottom w:type="dxa" w:w="60"/>
              <w:right w:type="dxa" w:w="100"/>
            </w:tcMar>
            <w:vAlign w:val="center"/>
          </w:tcPr>
          <w:p>
            <w:r>
              <w:rPr>
                <w:rFonts w:ascii="Times New Roman" w:cs="Times New Roman" w:eastAsia="Times New Roman" w:hAnsi="Times New Roman"/>
                <w:color w:val="1F2937"/>
                <w:sz w:val="20"/>
                <w:szCs w:val="20"/>
              </w:rPr>
              <w:t xml:space="preserve">C + P</w:t>
            </w:r>
          </w:p>
        </w:tc>
        <w:tc>
          <w:tcPr>
            <w:shd w:fill="EEF2F7" w:val="clear"/>
            <w:tcMar>
              <w:top w:type="dxa" w:w="60"/>
              <w:left w:type="dxa" w:w="100"/>
              <w:bottom w:type="dxa" w:w="60"/>
              <w:right w:type="dxa" w:w="100"/>
            </w:tcMar>
            <w:vAlign w:val="center"/>
          </w:tcPr>
          <w:p>
            <w:r>
              <w:rPr>
                <w:rFonts w:ascii="Times New Roman" w:cs="Times New Roman" w:eastAsia="Times New Roman" w:hAnsi="Times New Roman"/>
                <w:color w:val="1F2937"/>
                <w:sz w:val="20"/>
                <w:szCs w:val="20"/>
              </w:rPr>
              <w:t xml:space="preserve">Fonctionnement objectif amélioré (C) ET reconstruction identitaire exprimée à la première personne (P)</w:t>
            </w:r>
          </w:p>
        </w:tc>
      </w:tr>
      <w:tr>
        <w:tc>
          <w:tcPr>
            <w:tcMar>
              <w:top w:type="dxa" w:w="60"/>
              <w:left w:type="dxa" w:w="100"/>
              <w:bottom w:type="dxa" w:w="60"/>
              <w:right w:type="dxa" w:w="100"/>
            </w:tcMar>
            <w:vAlign w:val="center"/>
          </w:tcPr>
          <w:p>
            <w:r>
              <w:rPr>
                <w:rFonts w:ascii="Times New Roman" w:cs="Times New Roman" w:eastAsia="Times New Roman" w:hAnsi="Times New Roman"/>
                <w:color w:val="1F2937"/>
                <w:sz w:val="20"/>
                <w:szCs w:val="20"/>
              </w:rPr>
              <w:t xml:space="preserve">c) Fatou — voix présentes, travaille à mi-temps</w:t>
            </w:r>
          </w:p>
        </w:tc>
        <w:tc>
          <w:tcPr>
            <w:tcMar>
              <w:top w:type="dxa" w:w="60"/>
              <w:left w:type="dxa" w:w="100"/>
              <w:bottom w:type="dxa" w:w="60"/>
              <w:right w:type="dxa" w:w="100"/>
            </w:tcMar>
            <w:vAlign w:val="center"/>
          </w:tcPr>
          <w:p>
            <w:r>
              <w:rPr>
                <w:rFonts w:ascii="Times New Roman" w:cs="Times New Roman" w:eastAsia="Times New Roman" w:hAnsi="Times New Roman"/>
                <w:color w:val="1F2937"/>
                <w:sz w:val="20"/>
                <w:szCs w:val="20"/>
              </w:rPr>
              <w:t xml:space="preserve">Personnel (P)</w:t>
            </w:r>
          </w:p>
        </w:tc>
        <w:tc>
          <w:tcPr>
            <w:tcMar>
              <w:top w:type="dxa" w:w="60"/>
              <w:left w:type="dxa" w:w="100"/>
              <w:bottom w:type="dxa" w:w="60"/>
              <w:right w:type="dxa" w:w="100"/>
            </w:tcMar>
            <w:vAlign w:val="center"/>
          </w:tcPr>
          <w:p>
            <w:r>
              <w:rPr>
                <w:rFonts w:ascii="Times New Roman" w:cs="Times New Roman" w:eastAsia="Times New Roman" w:hAnsi="Times New Roman"/>
                <w:color w:val="1F2937"/>
                <w:sz w:val="20"/>
                <w:szCs w:val="20"/>
              </w:rPr>
              <w:t xml:space="preserve">Des symptômes persistent (pas de rétablissement clinique complet), mais Fatou a retrouvé un fonctionnement et un sens — définition du rétablissement personnel</w:t>
            </w:r>
          </w:p>
        </w:tc>
      </w:tr>
      <w:tr>
        <w:tc>
          <w:tcPr>
            <w:shd w:fill="EEF2F7" w:val="clear"/>
            <w:tcMar>
              <w:top w:type="dxa" w:w="60"/>
              <w:left w:type="dxa" w:w="100"/>
              <w:bottom w:type="dxa" w:w="60"/>
              <w:right w:type="dxa" w:w="100"/>
            </w:tcMar>
            <w:vAlign w:val="center"/>
          </w:tcPr>
          <w:p>
            <w:r>
              <w:rPr>
                <w:rFonts w:ascii="Times New Roman" w:cs="Times New Roman" w:eastAsia="Times New Roman" w:hAnsi="Times New Roman"/>
                <w:color w:val="1F2937"/>
                <w:sz w:val="20"/>
                <w:szCs w:val="20"/>
              </w:rPr>
              <w:t xml:space="preserve">d) Karim — exprime pour la première fois vouloir aller mieux</w:t>
            </w:r>
          </w:p>
        </w:tc>
        <w:tc>
          <w:tcPr>
            <w:shd w:fill="EEF2F7" w:val="clear"/>
            <w:tcMar>
              <w:top w:type="dxa" w:w="60"/>
              <w:left w:type="dxa" w:w="100"/>
              <w:bottom w:type="dxa" w:w="60"/>
              <w:right w:type="dxa" w:w="100"/>
            </w:tcMar>
            <w:vAlign w:val="center"/>
          </w:tcPr>
          <w:p>
            <w:r>
              <w:rPr>
                <w:rFonts w:ascii="Times New Roman" w:cs="Times New Roman" w:eastAsia="Times New Roman" w:hAnsi="Times New Roman"/>
                <w:color w:val="1F2937"/>
                <w:sz w:val="20"/>
                <w:szCs w:val="20"/>
              </w:rPr>
              <w:t xml:space="preserve">Début P (étape 2)</w:t>
            </w:r>
          </w:p>
        </w:tc>
        <w:tc>
          <w:tcPr>
            <w:shd w:fill="EEF2F7" w:val="clear"/>
            <w:tcMar>
              <w:top w:type="dxa" w:w="60"/>
              <w:left w:type="dxa" w:w="100"/>
              <w:bottom w:type="dxa" w:w="60"/>
              <w:right w:type="dxa" w:w="100"/>
            </w:tcMar>
            <w:vAlign w:val="center"/>
          </w:tcPr>
          <w:p>
            <w:r>
              <w:rPr>
                <w:rFonts w:ascii="Times New Roman" w:cs="Times New Roman" w:eastAsia="Times New Roman" w:hAnsi="Times New Roman"/>
                <w:color w:val="1F2937"/>
                <w:sz w:val="20"/>
                <w:szCs w:val="20"/>
              </w:rPr>
              <w:t xml:space="preserve">Prise de conscience que le rétablissement est possible — pas encore d'engagement actif, mais l'espoir émerge</w:t>
            </w:r>
          </w:p>
        </w:tc>
      </w:tr>
      <w:tr>
        <w:tc>
          <w:tcPr>
            <w:tcMar>
              <w:top w:type="dxa" w:w="60"/>
              <w:left w:type="dxa" w:w="100"/>
              <w:bottom w:type="dxa" w:w="60"/>
              <w:right w:type="dxa" w:w="100"/>
            </w:tcMar>
            <w:vAlign w:val="center"/>
          </w:tcPr>
          <w:p>
            <w:r>
              <w:rPr>
                <w:rFonts w:ascii="Times New Roman" w:cs="Times New Roman" w:eastAsia="Times New Roman" w:hAnsi="Times New Roman"/>
                <w:color w:val="1F2937"/>
                <w:sz w:val="20"/>
                <w:szCs w:val="20"/>
              </w:rPr>
              <w:t xml:space="preserve">e) Score GAF amélioré de 15 points</w:t>
            </w:r>
          </w:p>
        </w:tc>
        <w:tc>
          <w:tcPr>
            <w:tcMar>
              <w:top w:type="dxa" w:w="60"/>
              <w:left w:type="dxa" w:w="100"/>
              <w:bottom w:type="dxa" w:w="60"/>
              <w:right w:type="dxa" w:w="100"/>
            </w:tcMar>
            <w:vAlign w:val="center"/>
          </w:tcPr>
          <w:p>
            <w:r>
              <w:rPr>
                <w:rFonts w:ascii="Times New Roman" w:cs="Times New Roman" w:eastAsia="Times New Roman" w:hAnsi="Times New Roman"/>
                <w:color w:val="1F2937"/>
                <w:sz w:val="20"/>
                <w:szCs w:val="20"/>
              </w:rPr>
              <w:t xml:space="preserve">Clinique (C)</w:t>
            </w:r>
          </w:p>
        </w:tc>
        <w:tc>
          <w:tcPr>
            <w:tcMar>
              <w:top w:type="dxa" w:w="60"/>
              <w:left w:type="dxa" w:w="100"/>
              <w:bottom w:type="dxa" w:w="60"/>
              <w:right w:type="dxa" w:w="100"/>
            </w:tcMar>
            <w:vAlign w:val="center"/>
          </w:tcPr>
          <w:p>
            <w:r>
              <w:rPr>
                <w:rFonts w:ascii="Times New Roman" w:cs="Times New Roman" w:eastAsia="Times New Roman" w:hAnsi="Times New Roman"/>
                <w:color w:val="1F2937"/>
                <w:sz w:val="20"/>
                <w:szCs w:val="20"/>
              </w:rPr>
              <w:t xml:space="preserve">Évaluation standardisée externe — ne renseigne pas sur le vécu subjectif de la personne</w:t>
            </w:r>
          </w:p>
        </w:tc>
      </w:tr>
    </w:tbl>
    <w:p>
      <w:pPr>
        <w:spacing w:after="80" w:before="80"/>
      </w:pPr>
      <w:r>
        <w:t xml:space="preserve"/>
      </w:r>
    </w:p>
    <w:p>
      <w:pPr>
        <w:pStyle w:val="Heading3"/>
        <w:spacing w:after="80" w:before="200"/>
      </w:pPr>
      <w:r>
        <w:rPr>
          <w:rFonts w:ascii="Times New Roman" w:cs="Times New Roman" w:eastAsia="Times New Roman" w:hAnsi="Times New Roman"/>
          <w:b/>
          <w:bCs/>
          <w:color w:val="1F2937"/>
          <w:sz w:val="26"/>
          <w:szCs w:val="26"/>
        </w:rPr>
        <w:t xml:space="preserve">Exercice 3 — La pair-aidance en équipe</w:t>
      </w:r>
    </w:p>
    <w:p>
      <w:pPr>
        <w:shd w:fill="F3F4F6" w:val="clear"/>
        <w:spacing w:after="120" w:before="120"/>
        <w:ind w:left="431" w:right="431"/>
      </w:pPr>
      <w:r>
        <w:rPr>
          <w:rFonts w:ascii="Times New Roman" w:cs="Times New Roman" w:eastAsia="Times New Roman" w:hAnsi="Times New Roman"/>
          <w:color w:val="1F2937"/>
          <w:sz w:val="22"/>
          <w:szCs w:val="22"/>
        </w:rPr>
        <w:t xml:space="preserve">Un foyer d'hébergement envisage d'accueillir un pair-aidant une demi-journée par semaine pour rencontrer les résidents et participer aux réunions de projet personnalisé. Certains professionnels s'interrogent : « Mais lui, il a eu les mêmes problèmes que nos résidents — est-ce vraiment sa place ici ? »</w:t>
      </w:r>
    </w:p>
    <w:p>
      <w:pPr>
        <w:spacing w:after="80" w:before="80"/>
      </w:pPr>
      <w:r>
        <w:t xml:space="preserve"/>
      </w:r>
    </w:p>
    <w:p>
      <w:pPr>
        <w:spacing w:after="80" w:before="80"/>
      </w:pPr>
      <w:r>
        <w:rPr>
          <w:rFonts w:ascii="Times New Roman" w:cs="Times New Roman" w:eastAsia="Times New Roman" w:hAnsi="Times New Roman"/>
          <w:color w:val="1F2937"/>
          <w:sz w:val="22"/>
          <w:szCs w:val="22"/>
        </w:rPr>
        <w:t xml:space="preserve">Questions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a) Qu'est-ce qui fonde la valeur spécifique d'un pair-aidant dans ce contexte ? Appuie-toi sur la définition HAS (janvier 2025).</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b) Quelles questions clés faut-il clarifier AVANT d'intégrer un pair-aidant dans l'équipe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c) La loi du 11 février 2005 a créé une structure qui incarne le principe de pair-aidance en psychiatrie. Laquelle ?</w:t>
      </w:r>
    </w:p>
    <w:p>
      <w:pPr>
        <w:spacing w:after="80" w:before="80"/>
      </w:pPr>
      <w:r>
        <w:t xml:space="preserve"/>
      </w:r>
    </w:p>
    <w:p>
      <w:pPr>
        <w:spacing w:after="80" w:before="80"/>
      </w:pPr>
      <w:r>
        <w:rPr>
          <w:rFonts w:ascii="Times New Roman" w:cs="Times New Roman" w:eastAsia="Times New Roman" w:hAnsi="Times New Roman"/>
          <w:color w:val="1F2937"/>
          <w:sz w:val="22"/>
          <w:szCs w:val="22"/>
        </w:rPr>
        <w:t xml:space="preserve">Corrigé — Exercice 3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a) La valeur du pair-aidant ne repose pas sur le seul fait d'avoir vécu la même situation — la HAS précise que « l'expérience de vie [...] ne constitue pas un savoir » en elle-même. C'est la transformation de cette expérience en savoir expérientiel (connaissances et compétences construites à partir du vécu) qui fonde sa valeur. Ce savoir expérientiel complète, sans se substituer, aux savoirs professionnels.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b) Questions clés : quel rôle précis (MSP ? pair-aidant informel ?) ; quelles missions concrètes en séance et hors séance ; comment est garantie la confidentialité des résidents à son égard ; quel est son statut (salarié, bénévole, prestataire) ; comment est-il soutenu par l'équipe (supervision, référent) ; quelle formation a-t-il suivie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c) Les Groupes d'Entraide Mutuelle (GEM), créés par la loi du 11 février 2005 pour l'égalité des droits et des chances des personnes handicapées, complétée par la circulaire du 29 août 2005. Ce sont des structures non médicalisées où les personnes s'entraident entre pairs, sans encadrement soignant.</w:t>
      </w:r>
    </w:p>
    <w:p>
      <w:pPr>
        <w:spacing w:after="80" w:before="80"/>
      </w:pPr>
      <w:r>
        <w:t xml:space="preserve"/>
      </w:r>
    </w:p>
    <w:p>
      <w:pPr>
        <w:pStyle w:val="Heading2"/>
        <w:spacing w:after="120" w:before="280"/>
      </w:pPr>
      <w:r>
        <w:rPr>
          <w:rFonts w:ascii="Times New Roman" w:cs="Times New Roman" w:eastAsia="Times New Roman" w:hAnsi="Times New Roman"/>
          <w:b/>
          <w:bCs/>
          <w:color w:val="1B3A6B"/>
          <w:sz w:val="30"/>
          <w:szCs w:val="30"/>
        </w:rPr>
        <w:t xml:space="preserve">🎯 Challenge — Plan de soutien au rétablissement</w:t>
      </w:r>
    </w:p>
    <w:p>
      <w:pPr>
        <w:shd w:fill="F3F4F6" w:val="clear"/>
        <w:spacing w:after="120" w:before="120"/>
        <w:ind w:left="431" w:right="431"/>
      </w:pPr>
      <w:r>
        <w:rPr>
          <w:rFonts w:ascii="Times New Roman" w:cs="Times New Roman" w:eastAsia="Times New Roman" w:hAnsi="Times New Roman"/>
          <w:color w:val="1F2937"/>
          <w:sz w:val="22"/>
          <w:szCs w:val="22"/>
        </w:rPr>
        <w:t xml:space="preserve">Aïcha, 35 ans, présente un trouble bipolaire de type I stabilisé depuis 18 mois sous traitement. Elle vit en appartement avec le soutien d'un SAVS. Elle exprime : « Je veux être utile à la société, reprendre contact avec ma famille dont je me suis éloignée, et trouver un travail. » Elle dit se sentir « en reconstruction ».</w:t>
      </w:r>
    </w:p>
    <w:p>
      <w:pPr>
        <w:spacing w:after="80" w:before="80"/>
      </w:pPr>
      <w:r>
        <w:t xml:space="preserve"/>
      </w:r>
    </w:p>
    <w:p>
      <w:pPr>
        <w:spacing w:after="80" w:before="80"/>
      </w:pPr>
      <w:r>
        <w:rPr>
          <w:rFonts w:ascii="Times New Roman" w:cs="Times New Roman" w:eastAsia="Times New Roman" w:hAnsi="Times New Roman"/>
          <w:color w:val="1F2937"/>
          <w:sz w:val="22"/>
          <w:szCs w:val="22"/>
        </w:rPr>
        <w:t xml:space="preserve">Construis un plan de soutien au rétablissement pour Aïcha en répondant aux quatre points suivants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1. Identifie le stade du rétablissement d'Aïcha selon le modèle d'Andresen et al. (via Unafam) et justifie ton choix.</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2. Propose trois interventions de réhabilitation pertinentes (sources : AP-HM Rehab Sud, C3RB Bretagne), avec une justification pour chacune.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3. Explique en quoi un pair-aidant pourrait contribuer à son parcours (appuie-toi sur la note de cadrage HAS, janvier 2025).</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4. Distingue ce qui relève du rétablissement personnel et ce qui relève du rétablissement clinique dans la situation d'Aïcha.</w:t>
      </w:r>
    </w:p>
    <w:p>
      <w:pPr>
        <w:spacing w:after="80" w:before="80"/>
      </w:pPr>
      <w:r>
        <w:t xml:space="preserve"/>
      </w:r>
    </w:p>
    <w:p>
      <w:pPr>
        <w:spacing w:after="80" w:before="80"/>
      </w:pPr>
      <w:r>
        <w:rPr>
          <w:rFonts w:ascii="Times New Roman" w:cs="Times New Roman" w:eastAsia="Times New Roman" w:hAnsi="Times New Roman"/>
          <w:color w:val="1F2937"/>
          <w:sz w:val="22"/>
          <w:szCs w:val="22"/>
        </w:rPr>
        <w:t xml:space="preserve">Corrigé — Challenge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B3A6B"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0"/>
                <w:szCs w:val="20"/>
              </w:rPr>
              <w:t xml:space="preserve">Élément du plan</w:t>
            </w:r>
          </w:p>
        </w:tc>
        <w:tc>
          <w:tcPr>
            <w:shd w:fill="1B3A6B"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0"/>
                <w:szCs w:val="20"/>
              </w:rPr>
              <w:t xml:space="preserve">Analyse et justification</w:t>
            </w:r>
          </w:p>
        </w:tc>
      </w:tr>
      <w:tr>
        <w:tc>
          <w:tcPr>
            <w:tcMar>
              <w:top w:type="dxa" w:w="60"/>
              <w:left w:type="dxa" w:w="100"/>
              <w:bottom w:type="dxa" w:w="60"/>
              <w:right w:type="dxa" w:w="100"/>
            </w:tcMar>
            <w:vAlign w:val="center"/>
          </w:tcPr>
          <w:p>
            <w:r>
              <w:rPr>
                <w:rFonts w:ascii="Times New Roman" w:cs="Times New Roman" w:eastAsia="Times New Roman" w:hAnsi="Times New Roman"/>
                <w:color w:val="1F2937"/>
                <w:sz w:val="20"/>
                <w:szCs w:val="20"/>
              </w:rPr>
              <w:t xml:space="preserve">1 — Stade du rétablissement</w:t>
            </w:r>
          </w:p>
        </w:tc>
        <w:tc>
          <w:tcPr>
            <w:tcMar>
              <w:top w:type="dxa" w:w="60"/>
              <w:left w:type="dxa" w:w="100"/>
              <w:bottom w:type="dxa" w:w="60"/>
              <w:right w:type="dxa" w:w="100"/>
            </w:tcMar>
            <w:vAlign w:val="center"/>
          </w:tcPr>
          <w:p>
            <w:r>
              <w:rPr>
                <w:rFonts w:ascii="Times New Roman" w:cs="Times New Roman" w:eastAsia="Times New Roman" w:hAnsi="Times New Roman"/>
                <w:color w:val="1F2937"/>
                <w:sz w:val="20"/>
                <w:szCs w:val="20"/>
              </w:rPr>
              <w:t xml:space="preserve">Stade 3 (Reconstruction) — voire transition vers le stade 4 (Préparation). Aïcha est stabilisée (condition nécessaire), exprime des désirs de vie positifs et actifs (emploi, lien familial, utilité sociale) : elle est au-delà de la simple prise de conscience (étape 2). Elle nomme elle-même « être en reconstruction », ce qui correspond au stade 3. Si des démarches concrètes sont déjà en cours, on peut envisager le stade 4.</w:t>
            </w:r>
          </w:p>
        </w:tc>
      </w:tr>
      <w:tr>
        <w:tc>
          <w:tcPr>
            <w:shd w:fill="EEF2F7" w:val="clear"/>
            <w:tcMar>
              <w:top w:type="dxa" w:w="60"/>
              <w:left w:type="dxa" w:w="100"/>
              <w:bottom w:type="dxa" w:w="60"/>
              <w:right w:type="dxa" w:w="100"/>
            </w:tcMar>
            <w:vAlign w:val="center"/>
          </w:tcPr>
          <w:p>
            <w:r>
              <w:rPr>
                <w:rFonts w:ascii="Times New Roman" w:cs="Times New Roman" w:eastAsia="Times New Roman" w:hAnsi="Times New Roman"/>
                <w:color w:val="1F2937"/>
                <w:sz w:val="20"/>
                <w:szCs w:val="20"/>
              </w:rPr>
              <w:t xml:space="preserve">2a — Psychoéducation</w:t>
            </w:r>
          </w:p>
        </w:tc>
        <w:tc>
          <w:tcPr>
            <w:shd w:fill="EEF2F7" w:val="clear"/>
            <w:tcMar>
              <w:top w:type="dxa" w:w="60"/>
              <w:left w:type="dxa" w:w="100"/>
              <w:bottom w:type="dxa" w:w="60"/>
              <w:right w:type="dxa" w:w="100"/>
            </w:tcMar>
            <w:vAlign w:val="center"/>
          </w:tcPr>
          <w:p>
            <w:r>
              <w:rPr>
                <w:rFonts w:ascii="Times New Roman" w:cs="Times New Roman" w:eastAsia="Times New Roman" w:hAnsi="Times New Roman"/>
                <w:color w:val="1F2937"/>
                <w:sz w:val="20"/>
                <w:szCs w:val="20"/>
              </w:rPr>
              <w:t xml:space="preserve">Trouble bipolaire stabilisé : Aïcha a besoin de consolider ses connaissances sur les signaux d'alerte, les facteurs de vulnérabilité (stress, rythme veille/sommeil), et la gestion de son traitement — clé pour maintenir la stabilité qui rend tout le reste possible.</w:t>
            </w:r>
          </w:p>
        </w:tc>
      </w:tr>
      <w:tr>
        <w:tc>
          <w:tcPr>
            <w:tcMar>
              <w:top w:type="dxa" w:w="60"/>
              <w:left w:type="dxa" w:w="100"/>
              <w:bottom w:type="dxa" w:w="60"/>
              <w:right w:type="dxa" w:w="100"/>
            </w:tcMar>
            <w:vAlign w:val="center"/>
          </w:tcPr>
          <w:p>
            <w:r>
              <w:rPr>
                <w:rFonts w:ascii="Times New Roman" w:cs="Times New Roman" w:eastAsia="Times New Roman" w:hAnsi="Times New Roman"/>
                <w:color w:val="1F2937"/>
                <w:sz w:val="20"/>
                <w:szCs w:val="20"/>
              </w:rPr>
              <w:t xml:space="preserve">2b — IPS (Individual Placement and Support)</w:t>
            </w:r>
          </w:p>
        </w:tc>
        <w:tc>
          <w:tcPr>
            <w:tcMar>
              <w:top w:type="dxa" w:w="60"/>
              <w:left w:type="dxa" w:w="100"/>
              <w:bottom w:type="dxa" w:w="60"/>
              <w:right w:type="dxa" w:w="100"/>
            </w:tcMar>
            <w:vAlign w:val="center"/>
          </w:tcPr>
          <w:p>
            <w:r>
              <w:rPr>
                <w:rFonts w:ascii="Times New Roman" w:cs="Times New Roman" w:eastAsia="Times New Roman" w:hAnsi="Times New Roman"/>
                <w:color w:val="1F2937"/>
                <w:sz w:val="20"/>
                <w:szCs w:val="20"/>
              </w:rPr>
              <w:t xml:space="preserve">Aïcha exprime un désir d'emploi ordinaire. L'IPS soutient l'insertion professionnelle en milieu ordinaire sans prérequis d'aptitude préalable et avec un accompagnement direct dans l'emploi. Les plateformes de réhabilitation psychosociale (AP-HM, C3RB) le présentent comme une approche validée et largement déployée pour l'insertion professionnelle.</w:t>
            </w:r>
          </w:p>
        </w:tc>
      </w:tr>
      <w:tr>
        <w:tc>
          <w:tcPr>
            <w:shd w:fill="EEF2F7" w:val="clear"/>
            <w:tcMar>
              <w:top w:type="dxa" w:w="60"/>
              <w:left w:type="dxa" w:w="100"/>
              <w:bottom w:type="dxa" w:w="60"/>
              <w:right w:type="dxa" w:w="100"/>
            </w:tcMar>
            <w:vAlign w:val="center"/>
          </w:tcPr>
          <w:p>
            <w:r>
              <w:rPr>
                <w:rFonts w:ascii="Times New Roman" w:cs="Times New Roman" w:eastAsia="Times New Roman" w:hAnsi="Times New Roman"/>
                <w:color w:val="1F2937"/>
                <w:sz w:val="20"/>
                <w:szCs w:val="20"/>
              </w:rPr>
              <w:t xml:space="preserve">2c — Entraînement aux compétences sociales</w:t>
            </w:r>
          </w:p>
        </w:tc>
        <w:tc>
          <w:tcPr>
            <w:shd w:fill="EEF2F7" w:val="clear"/>
            <w:tcMar>
              <w:top w:type="dxa" w:w="60"/>
              <w:left w:type="dxa" w:w="100"/>
              <w:bottom w:type="dxa" w:w="60"/>
              <w:right w:type="dxa" w:w="100"/>
            </w:tcMar>
            <w:vAlign w:val="center"/>
          </w:tcPr>
          <w:p>
            <w:r>
              <w:rPr>
                <w:rFonts w:ascii="Times New Roman" w:cs="Times New Roman" w:eastAsia="Times New Roman" w:hAnsi="Times New Roman"/>
                <w:color w:val="1F2937"/>
                <w:sz w:val="20"/>
                <w:szCs w:val="20"/>
              </w:rPr>
              <w:t xml:space="preserve">La reprise de contact familiale et l'insertion professionnelle impliquent des situations sociales potentiellement difficiles après une longue période de distance. L'entraînement aux compétences sociales (jeux de rôles, feedback) permet de les préparer concrètement.</w:t>
            </w:r>
          </w:p>
        </w:tc>
      </w:tr>
      <w:tr>
        <w:tc>
          <w:tcPr>
            <w:tcMar>
              <w:top w:type="dxa" w:w="60"/>
              <w:left w:type="dxa" w:w="100"/>
              <w:bottom w:type="dxa" w:w="60"/>
              <w:right w:type="dxa" w:w="100"/>
            </w:tcMar>
            <w:vAlign w:val="center"/>
          </w:tcPr>
          <w:p>
            <w:r>
              <w:rPr>
                <w:rFonts w:ascii="Times New Roman" w:cs="Times New Roman" w:eastAsia="Times New Roman" w:hAnsi="Times New Roman"/>
                <w:color w:val="1F2937"/>
                <w:sz w:val="20"/>
                <w:szCs w:val="20"/>
              </w:rPr>
              <w:t xml:space="preserve">3 — Rôle du pair-aidant</w:t>
            </w:r>
          </w:p>
        </w:tc>
        <w:tc>
          <w:tcPr>
            <w:tcMar>
              <w:top w:type="dxa" w:w="60"/>
              <w:left w:type="dxa" w:w="100"/>
              <w:bottom w:type="dxa" w:w="60"/>
              <w:right w:type="dxa" w:w="100"/>
            </w:tcMar>
            <w:vAlign w:val="center"/>
          </w:tcPr>
          <w:p>
            <w:r>
              <w:rPr>
                <w:rFonts w:ascii="Times New Roman" w:cs="Times New Roman" w:eastAsia="Times New Roman" w:hAnsi="Times New Roman"/>
                <w:color w:val="1F2937"/>
                <w:sz w:val="20"/>
                <w:szCs w:val="20"/>
              </w:rPr>
              <w:t xml:space="preserve">Un pair-aidant ayant vécu un trouble bipolaire et une réinsertion professionnelle peut offrir un modèle d'espoir concret — ce que la HAS nomme « un espoir pour la personne dans une perspective de rétablissement ». Il apporte un savoir expérientiel (pas seulement un témoignage) : stratégies concrètes de navigation au quotidien, gestion du regard d'autrui, etc. Il ne se substitue pas aux professionnels mais complète leur action.</w:t>
            </w:r>
          </w:p>
        </w:tc>
      </w:tr>
      <w:tr>
        <w:tc>
          <w:tcPr>
            <w:shd w:fill="EEF2F7" w:val="clear"/>
            <w:tcMar>
              <w:top w:type="dxa" w:w="60"/>
              <w:left w:type="dxa" w:w="100"/>
              <w:bottom w:type="dxa" w:w="60"/>
              <w:right w:type="dxa" w:w="100"/>
            </w:tcMar>
            <w:vAlign w:val="center"/>
          </w:tcPr>
          <w:p>
            <w:r>
              <w:rPr>
                <w:rFonts w:ascii="Times New Roman" w:cs="Times New Roman" w:eastAsia="Times New Roman" w:hAnsi="Times New Roman"/>
                <w:color w:val="1F2937"/>
                <w:sz w:val="20"/>
                <w:szCs w:val="20"/>
              </w:rPr>
              <w:t xml:space="preserve">4 — Clinique vs personnel</w:t>
            </w:r>
          </w:p>
        </w:tc>
        <w:tc>
          <w:tcPr>
            <w:shd w:fill="EEF2F7" w:val="clear"/>
            <w:tcMar>
              <w:top w:type="dxa" w:w="60"/>
              <w:left w:type="dxa" w:w="100"/>
              <w:bottom w:type="dxa" w:w="60"/>
              <w:right w:type="dxa" w:w="100"/>
            </w:tcMar>
            <w:vAlign w:val="center"/>
          </w:tcPr>
          <w:p>
            <w:r>
              <w:rPr>
                <w:rFonts w:ascii="Times New Roman" w:cs="Times New Roman" w:eastAsia="Times New Roman" w:hAnsi="Times New Roman"/>
                <w:color w:val="1F2937"/>
                <w:sz w:val="20"/>
                <w:szCs w:val="20"/>
              </w:rPr>
              <w:t xml:space="preserve">Clinique : stabilité symptomatique depuis 18 mois sous traitement, pas de rechute hospitalière documentée, suivi SAVS en place. Personnel : expression d'un projet de vie structuré, identité reconstituée autour d'une utilité sociale, désir de liens (famille, emploi). Les deux dimensions s'articulent ici — la stabilité clinique crée l'espace dans lequel le rétablissement personnel peut avancer.</w:t>
            </w:r>
          </w:p>
        </w:tc>
      </w:tr>
    </w:tbl>
    <w:p>
      <w:pPr>
        <w:spacing w:after="80" w:before="80"/>
      </w:pPr>
      <w:r>
        <w:t xml:space="preserve"/>
      </w:r>
    </w:p>
    <w:p>
      <w:pPr>
        <w:pStyle w:val="Heading2"/>
        <w:spacing w:after="120" w:before="280"/>
      </w:pPr>
      <w:r>
        <w:rPr>
          <w:rFonts w:ascii="Times New Roman" w:cs="Times New Roman" w:eastAsia="Times New Roman" w:hAnsi="Times New Roman"/>
          <w:b/>
          <w:bCs/>
          <w:color w:val="1B3A6B"/>
          <w:sz w:val="30"/>
          <w:szCs w:val="30"/>
        </w:rPr>
        <w:t xml:space="preserve">🌉 Pont pro</w:t>
      </w:r>
    </w:p>
    <w:p>
      <w:pPr>
        <w:spacing w:after="80" w:before="80"/>
      </w:pPr>
      <w:r>
        <w:rPr>
          <w:rFonts w:ascii="Times New Roman" w:cs="Times New Roman" w:eastAsia="Times New Roman" w:hAnsi="Times New Roman"/>
          <w:color w:val="1F2937"/>
          <w:sz w:val="22"/>
          <w:szCs w:val="22"/>
        </w:rPr>
        <w:t xml:space="preserve">En foyer d'hébergement, la posture orientée rétablissement ne consiste pas à diagnostiquer ni à décider à la place de la personne. Elle consiste à observer, à soutenir l'expression des projets de vie, et à orienter vers les dispositifs adaptés.</w:t>
      </w:r>
    </w:p>
    <w:p>
      <w:pPr>
        <w:spacing w:after="80" w:before="80"/>
      </w:pPr>
      <w:r>
        <w:t xml:space="preserve"/>
      </w:r>
    </w:p>
    <w:p>
      <w:pPr>
        <w:spacing w:after="80" w:before="80"/>
      </w:pPr>
      <w:r>
        <w:rPr>
          <w:rFonts w:ascii="Times New Roman" w:cs="Times New Roman" w:eastAsia="Times New Roman" w:hAnsi="Times New Roman"/>
          <w:color w:val="1F2937"/>
          <w:sz w:val="22"/>
          <w:szCs w:val="22"/>
        </w:rPr>
        <w:t xml:space="preserve">Deux repères directement utiles en ESSMS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Les GEM (Groupes d'Entraide Mutuelle), créés par la loi du 11 février 2005 et la circulaire du 29 août 2005, sont des structures partenaires naturelles des foyers d'hébergement : ils favorisent l'entraide entre pairs dans un cadre non médicalisé, et peuvent représenter un espace intermédiaire entre le foyer et la vie ordinaire.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La note de cadrage HAS « Pair-aidance dans les organisations sanitaires, sociales et médico-sociales » (validée le 14 janvier 2025) constitue désormais une référence pour intégrer des pairs aidants dans les équipes d'ESSMS — y compris les foyers d'hébergement. Elle précise les rôles, compétences attendues et conditions d'un soutien de qualité.</w:t>
      </w:r>
    </w:p>
    <w:p>
      <w:pPr>
        <w:spacing w:after="80" w:before="80"/>
      </w:pPr>
      <w:r>
        <w:t xml:space="preserve"/>
      </w:r>
    </w:p>
    <w:p>
      <w:pPr>
        <w:shd w:fill="F3F4F6" w:val="clear"/>
        <w:spacing w:after="120" w:before="120"/>
        <w:ind w:left="431" w:right="431"/>
      </w:pPr>
      <w:r>
        <w:rPr>
          <w:rFonts w:ascii="Times New Roman" w:cs="Times New Roman" w:eastAsia="Times New Roman" w:hAnsi="Times New Roman"/>
          <w:color w:val="1F2937"/>
          <w:sz w:val="22"/>
          <w:szCs w:val="22"/>
        </w:rPr>
        <w:t xml:space="preserve">⚠️ Ce que cette leçon apporte relève de la culture personnelle et de la posture professionnelle — pas d'un contenu à transmettre tel quel en équipe ni d'une justification opposable dans un projet d'établissement sans s'appuyer sur les textes et recommandations cités.</w:t>
      </w:r>
    </w:p>
    <w:p>
      <w:pPr>
        <w:spacing w:after="80" w:before="80"/>
      </w:pPr>
      <w:r>
        <w:t xml:space="preserve"/>
      </w:r>
    </w:p>
    <w:p>
      <w:pPr>
        <w:pStyle w:val="Heading2"/>
        <w:spacing w:after="120" w:before="280"/>
      </w:pPr>
      <w:r>
        <w:rPr>
          <w:rFonts w:ascii="Times New Roman" w:cs="Times New Roman" w:eastAsia="Times New Roman" w:hAnsi="Times New Roman"/>
          <w:b/>
          <w:bCs/>
          <w:color w:val="1B3A6B"/>
          <w:sz w:val="30"/>
          <w:szCs w:val="30"/>
        </w:rPr>
        <w:t xml:space="preserve">📚 Ressources pour approfondir</w:t>
      </w:r>
    </w:p>
    <w:p>
      <w:pPr>
        <w:spacing w:after="80" w:before="80"/>
      </w:pPr>
      <w:r>
        <w:rPr>
          <w:rFonts w:ascii="Times New Roman" w:cs="Times New Roman" w:eastAsia="Times New Roman" w:hAnsi="Times New Roman"/>
          <w:color w:val="1F2937"/>
          <w:sz w:val="22"/>
          <w:szCs w:val="22"/>
        </w:rPr>
        <w:t xml:space="preserve">Sources utilisées pour cette leçon (toutes testées lors de cette exécution) :</w:t>
      </w:r>
    </w:p>
    <w:p>
      <w:pPr>
        <w:spacing w:after="80" w:before="80"/>
      </w:pPr>
      <w:r>
        <w:t xml:space="preserve"/>
      </w:r>
    </w:p>
    <w:p>
      <w:pPr>
        <w:pStyle w:val="ListParagraph"/>
        <w:numPr>
          <w:ilvl w:val="0"/>
          <w:numId w:val="1"/>
        </w:numPr>
        <w:spacing w:after="40" w:before="40"/>
      </w:pPr>
      <w:hyperlink w:history="1" r:id="rIdlqw72t8epsr-ub-mwzjho">
        <w:r>
          <w:rPr>
            <w:rFonts w:ascii="Times New Roman" w:cs="Times New Roman" w:eastAsia="Times New Roman" w:hAnsi="Times New Roman"/>
            <w:color w:val="1155CC"/>
            <w:sz w:val="22"/>
            <w:szCs w:val="22"/>
            <w:u w:val="single"/>
          </w:rPr>
          <w:t xml:space="preserve">Unafam — Vers le rétablissement (définition, 5 étapes, 5 principes)</w:t>
        </w:r>
      </w:hyperlink>
    </w:p>
    <w:p>
      <w:pPr>
        <w:pStyle w:val="ListParagraph"/>
        <w:numPr>
          <w:ilvl w:val="0"/>
          <w:numId w:val="1"/>
        </w:numPr>
        <w:spacing w:after="40" w:before="40"/>
      </w:pPr>
      <w:hyperlink w:history="1" r:id="rId_xepemnwrs7g904jruugi">
        <w:r>
          <w:rPr>
            <w:rFonts w:ascii="Times New Roman" w:cs="Times New Roman" w:eastAsia="Times New Roman" w:hAnsi="Times New Roman"/>
            <w:color w:val="1155CC"/>
            <w:sz w:val="22"/>
            <w:szCs w:val="22"/>
            <w:u w:val="single"/>
          </w:rPr>
          <w:t xml:space="preserve">AP-HM Rehab Sud — La réhabilitation psychosociale (définition, objectifs, interventions)</w:t>
        </w:r>
      </w:hyperlink>
    </w:p>
    <w:p>
      <w:pPr>
        <w:pStyle w:val="ListParagraph"/>
        <w:numPr>
          <w:ilvl w:val="0"/>
          <w:numId w:val="1"/>
        </w:numPr>
        <w:spacing w:after="40" w:before="40"/>
      </w:pPr>
      <w:hyperlink w:history="1" r:id="rId47nppbbfm_gnhe8woy_eb">
        <w:r>
          <w:rPr>
            <w:rFonts w:ascii="Times New Roman" w:cs="Times New Roman" w:eastAsia="Times New Roman" w:hAnsi="Times New Roman"/>
            <w:color w:val="1155CC"/>
            <w:sz w:val="22"/>
            <w:szCs w:val="22"/>
            <w:u w:val="single"/>
          </w:rPr>
          <w:t xml:space="preserve">C3RB Bretagne — Pratiquer la réhabilitation psychosociale (interventions validées)</w:t>
        </w:r>
      </w:hyperlink>
    </w:p>
    <w:p>
      <w:pPr>
        <w:pStyle w:val="ListParagraph"/>
        <w:numPr>
          <w:ilvl w:val="0"/>
          <w:numId w:val="1"/>
        </w:numPr>
        <w:spacing w:after="40" w:before="40"/>
      </w:pPr>
      <w:hyperlink w:history="1" r:id="rIdqmnjmcsmy7qgruvlko1oq">
        <w:r>
          <w:rPr>
            <w:rFonts w:ascii="Times New Roman" w:cs="Times New Roman" w:eastAsia="Times New Roman" w:hAnsi="Times New Roman"/>
            <w:color w:val="1155CC"/>
            <w:sz w:val="22"/>
            <w:szCs w:val="22"/>
            <w:u w:val="single"/>
          </w:rPr>
          <w:t xml:space="preserve">Centre ressource réhabilitation — Outils d'évaluation (ERC, ERF, WEMWBS...)</w:t>
        </w:r>
      </w:hyperlink>
    </w:p>
    <w:p>
      <w:pPr>
        <w:pStyle w:val="ListParagraph"/>
        <w:numPr>
          <w:ilvl w:val="0"/>
          <w:numId w:val="1"/>
        </w:numPr>
        <w:spacing w:after="40" w:before="40"/>
      </w:pPr>
      <w:hyperlink w:history="1" r:id="rIdym1dqbgrirs5hhmrymbim">
        <w:r>
          <w:rPr>
            <w:rFonts w:ascii="Times New Roman" w:cs="Times New Roman" w:eastAsia="Times New Roman" w:hAnsi="Times New Roman"/>
            <w:color w:val="1155CC"/>
            <w:sz w:val="22"/>
            <w:szCs w:val="22"/>
            <w:u w:val="single"/>
          </w:rPr>
          <w:t xml:space="preserve">HAS — Programme santé mentale et psychiatrie 2025-2030 (mis en ligne le 25 mars 2026)</w:t>
        </w:r>
      </w:hyperlink>
    </w:p>
    <w:p>
      <w:pPr>
        <w:pStyle w:val="ListParagraph"/>
        <w:numPr>
          <w:ilvl w:val="0"/>
          <w:numId w:val="1"/>
        </w:numPr>
        <w:spacing w:after="40" w:before="40"/>
      </w:pPr>
      <w:hyperlink w:history="1" r:id="rIdu0llun9gk_pksmyfnl_rr">
        <w:r>
          <w:rPr>
            <w:rFonts w:ascii="Times New Roman" w:cs="Times New Roman" w:eastAsia="Times New Roman" w:hAnsi="Times New Roman"/>
            <w:color w:val="1155CC"/>
            <w:sz w:val="22"/>
            <w:szCs w:val="22"/>
            <w:u w:val="single"/>
          </w:rPr>
          <w:t xml:space="preserve">HAS — Note de cadrage : Pair-aidance dans les organisations sanitaires, sociales et médico-sociales (PDF, validée 14 janvier 2025)</w:t>
        </w:r>
      </w:hyperlink>
    </w:p>
    <w:p>
      <w:pPr>
        <w:pStyle w:val="ListParagraph"/>
        <w:numPr>
          <w:ilvl w:val="0"/>
          <w:numId w:val="1"/>
        </w:numPr>
        <w:spacing w:after="40" w:before="40"/>
      </w:pPr>
      <w:hyperlink w:history="1" r:id="rIdd-injsr8y2uxfl6adnsjx">
        <w:r>
          <w:rPr>
            <w:rFonts w:ascii="Times New Roman" w:cs="Times New Roman" w:eastAsia="Times New Roman" w:hAnsi="Times New Roman"/>
            <w:color w:val="1155CC"/>
            <w:sz w:val="22"/>
            <w:szCs w:val="22"/>
            <w:u w:val="single"/>
          </w:rPr>
          <w:t xml:space="preserve">Wikipedia FR — Rétablissement en santé mentale (source tertiaire, orientation personnelle)</w:t>
        </w:r>
      </w:hyperlink>
    </w:p>
    <w:p>
      <w:pPr>
        <w:spacing w:after="80" w:before="80"/>
      </w:pPr>
      <w:r>
        <w:t xml:space="preserve"/>
      </w:r>
    </w:p>
    <w:p>
      <w:pPr>
        <w:spacing w:after="80" w:before="80"/>
      </w:pPr>
      <w:r>
        <w:rPr>
          <w:rFonts w:ascii="Times New Roman" w:cs="Times New Roman" w:eastAsia="Times New Roman" w:hAnsi="Times New Roman"/>
          <w:color w:val="1F2937"/>
          <w:sz w:val="22"/>
          <w:szCs w:val="22"/>
        </w:rPr>
        <w:t xml:space="preserve">Pour aller plus loin (non consultés dans cette exécution)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Traité de réhabilitation psychosociale (2016, Brun et al., Elsevier Masson) — ouvrage de référence francophone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CN2R (Centre National de Ressources et de Résilience) — ressources sur le psychotraumatisme et le rétablissement</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icd.who.int — CIM-11 OMS pour les classifications diagnostiques de référence</w:t>
      </w:r>
    </w:p>
    <w:p>
      <w:pPr>
        <w:spacing w:after="80" w:before="80"/>
      </w:pPr>
      <w:r>
        <w:t xml:space="preserve"/>
      </w:r>
    </w:p>
    <w:p>
      <w:pPr>
        <w:pStyle w:val="Heading2"/>
        <w:spacing w:after="120" w:before="280"/>
      </w:pPr>
      <w:r>
        <w:rPr>
          <w:rFonts w:ascii="Times New Roman" w:cs="Times New Roman" w:eastAsia="Times New Roman" w:hAnsi="Times New Roman"/>
          <w:b/>
          <w:bCs/>
          <w:color w:val="1B3A6B"/>
          <w:sz w:val="30"/>
          <w:szCs w:val="30"/>
        </w:rPr>
        <w:t xml:space="preserve">🔜 Prochaine leçon</w:t>
      </w:r>
    </w:p>
    <w:p>
      <w:pPr>
        <w:spacing w:after="80" w:before="80"/>
      </w:pPr>
      <w:r>
        <w:rPr>
          <w:rFonts w:ascii="Times New Roman" w:cs="Times New Roman" w:eastAsia="Times New Roman" w:hAnsi="Times New Roman"/>
          <w:color w:val="1F2937"/>
          <w:sz w:val="22"/>
          <w:szCs w:val="22"/>
        </w:rPr>
        <w:t xml:space="preserve">Leçon 19 / 20 — Éthique, consentement et contrainte en santé mentale</w:t>
      </w:r>
    </w:p>
    <w:p>
      <w:pPr>
        <w:spacing w:after="80" w:before="80"/>
      </w:pPr>
      <w:r>
        <w:rPr>
          <w:rFonts w:ascii="Times New Roman" w:cs="Times New Roman" w:eastAsia="Times New Roman" w:hAnsi="Times New Roman"/>
          <w:color w:val="1F2937"/>
          <w:sz w:val="22"/>
          <w:szCs w:val="22"/>
        </w:rPr>
        <w:t xml:space="preserve">Après avoir exploré les outils du soin (médicaments, réhabilitation, pair-aidance), la prochaine leçon abordera les questions fondamentales du cadre éthique : le consentement aux soins, les soins sans consentement, la contention, la question de l'autonomie des personnes vulnérables — des enjeux quotidiens pour les professionnels des ESSMS.</w:t>
      </w:r>
    </w:p>
    <w:p>
      <w:pPr>
        <w:spacing w:after="80" w:before="80"/>
      </w:pPr>
      <w:r>
        <w:t xml:space="preserve"/>
      </w:r>
    </w:p>
    <w:p>
      <w:pPr>
        <w:spacing w:after="80" w:before="320"/>
        <w:jc w:val="center"/>
      </w:pPr>
      <w:r>
        <w:rPr>
          <w:rFonts w:ascii="Times New Roman" w:cs="Times New Roman" w:eastAsia="Times New Roman" w:hAnsi="Times New Roman"/>
          <w:i/>
          <w:iCs/>
          <w:color w:val="888888"/>
          <w:sz w:val="18"/>
          <w:szCs w:val="18"/>
        </w:rPr>
        <w:t xml:space="preserve">— Parcours Psychopathologie clinique · Leçon 18 / 20 · 28 septembre 2026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qw72t8epsr-ub-mwzjho" Type="http://schemas.openxmlformats.org/officeDocument/2006/relationships/hyperlink" Target="https://www.unafam.org/troubles-et-handicap-psy/vers-le-retablissement" TargetMode="External"/><Relationship Id="rId_xepemnwrs7g904jruugi" Type="http://schemas.openxmlformats.org/officeDocument/2006/relationships/hyperlink" Target="https://fr.ap-hm.fr/site/rehab-sud/la-rehabilitation-psychosociale" TargetMode="External"/><Relationship Id="rId47nppbbfm_gnhe8woy_eb" Type="http://schemas.openxmlformats.org/officeDocument/2006/relationships/hyperlink" Target="https://c3rb-bretagne.fr/la-rehabilitation-psychosociale/pratiquer-la-rehabilitation-psychosociale/" TargetMode="External"/><Relationship Id="rIdqmnjmcsmy7qgruvlko1oq" Type="http://schemas.openxmlformats.org/officeDocument/2006/relationships/hyperlink" Target="https://centre-ressource-rehabilitation.org/-outils-d-evaluation-" TargetMode="External"/><Relationship Id="rIdym1dqbgrirs5hhmrymbim" Type="http://schemas.openxmlformats.org/officeDocument/2006/relationships/hyperlink" Target="https://has-sante.fr/jcms/c_1721760/fr/programme-sante-mentale-et-psychiatrie-de-la-has" TargetMode="External"/><Relationship Id="rIdu0llun9gk_pksmyfnl_rr" Type="http://schemas.openxmlformats.org/officeDocument/2006/relationships/hyperlink" Target="https://www.has-sante.fr/upload/docs/application/pdf/2025-01/la_pair-aidance_dans_les_organisations_sanitaires_sociales_et_medico-sociales_note_de_cadrage.pdf" TargetMode="External"/><Relationship Id="rIdd-injsr8y2uxfl6adnsjx" Type="http://schemas.openxmlformats.org/officeDocument/2006/relationships/hyperlink" Target="https://fr.wikipedia.org/wiki/R%C3%A9tablissement_en_sant%C3%A9_mentale"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2026-09-28T06:21:05.387Z</dcterms:created>
  <dcterms:modified xsi:type="dcterms:W3CDTF">2026-09-28T06:21:05.388Z</dcterms:modified>
</cp:coreProperties>
</file>

<file path=docProps/custom.xml><?xml version="1.0" encoding="utf-8"?>
<Properties xmlns="http://schemas.openxmlformats.org/officeDocument/2006/custom-properties" xmlns:vt="http://schemas.openxmlformats.org/officeDocument/2006/docPropsVTypes"/>
</file>