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120"/>
        <w:jc w:val="center"/>
      </w:pPr>
      <w:r>
        <w:rPr>
          <w:rFonts w:ascii="Times New Roman" w:cs="Times New Roman" w:eastAsia="Times New Roman" w:hAnsi="Times New Roman"/>
          <w:b/>
          <w:bCs/>
          <w:color w:val="1B3A6B"/>
          <w:sz w:val="52"/>
          <w:szCs w:val="52"/>
        </w:rPr>
        <w:t xml:space="preserve">Leçon Revenus passifs n°10</w:t>
      </w:r>
    </w:p>
    <w:p>
      <w:pPr>
        <w:pStyle w:val="Heading1"/>
        <w:spacing w:after="240" w:before="120"/>
        <w:jc w:val="center"/>
      </w:pPr>
      <w:r>
        <w:rPr>
          <w:rFonts w:ascii="Times New Roman" w:cs="Times New Roman" w:eastAsia="Times New Roman" w:hAnsi="Times New Roman"/>
          <w:b/>
          <w:bCs/>
          <w:color w:val="1B3A6B"/>
          <w:sz w:val="52"/>
          <w:szCs w:val="52"/>
        </w:rPr>
        <w:t xml:space="preserve">Espérance de vie des modèles</w:t>
      </w:r>
    </w:p>
    <w:p>
      <w:pPr>
        <w:spacing w:after="80"/>
        <w:jc w:val="center"/>
      </w:pPr>
      <w:r>
        <w:rPr>
          <w:rFonts w:ascii="Times New Roman" w:cs="Times New Roman" w:eastAsia="Times New Roman" w:hAnsi="Times New Roman"/>
          <w:i/>
          <w:iCs/>
          <w:color w:val="1F2937"/>
          <w:sz w:val="22"/>
          <w:szCs w:val="22"/>
        </w:rPr>
        <w:t xml:space="preserve">27 septembre 2026 — Leçon 10 / 10</w:t>
      </w:r>
    </w:p>
    <w:p>
      <w:pPr>
        <w:spacing w:after="300"/>
        <w:jc w:val="center"/>
      </w:pPr>
      <w:r>
        <w:rPr>
          <w:rFonts w:ascii="Times New Roman" w:cs="Times New Roman" w:eastAsia="Times New Roman" w:hAnsi="Times New Roman"/>
          <w:i/>
          <w:iCs/>
          <w:color w:val="1F2937"/>
          <w:sz w:val="22"/>
          <w:szCs w:val="22"/>
        </w:rPr>
        <w:t xml:space="preserve">Signaux de déclin · Scénarios de durabilité · Matrice de décision</w:t>
      </w:r>
    </w:p>
    <w:p>
      <w:pPr>
        <w:pStyle w:val="Heading2"/>
        <w:spacing w:after="120" w:before="360"/>
      </w:pPr>
      <w:r>
        <w:rPr>
          <w:rFonts w:ascii="Times New Roman" w:cs="Times New Roman" w:eastAsia="Times New Roman" w:hAnsi="Times New Roman"/>
          <w:b/>
          <w:bCs/>
          <w:color w:val="1B3A6B"/>
          <w:sz w:val="30"/>
          <w:szCs w:val="30"/>
        </w:rPr>
        <w:t xml:space="preserve">⚠️ Cadre déontologique</w:t>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 Cette leçon est ÉDUCATIVE et GÉNÉRALISTE. Elle ne constitue pas un conseil en investissement ni une recommandation personnalisée.</w:t>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En France, le conseil en investissement financier est une activité réglementée (statut CIF, registre ORIAS). Cette leçon n'analyse pas votre situation et ne vous dit pas quoi acheter, vendre, ni pour quel montant.</w:t>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Le secteur des « revenus passifs » est saturé de promesses trompeuses. Toute décision financière relève de votre responsabilité, le cas échéant avec un professionnel agréé. L'AMF maintient des listes noires d'acteurs non autorisés : consultez amf-france.org avant tout engagement.</w:t>
      </w:r>
    </w:p>
    <w:p>
      <w:pPr>
        <w:spacing w:after="80"/>
      </w:pPr>
      <w:r>
        <w:t xml:space="preserve"/>
      </w:r>
    </w:p>
    <w:p>
      <w:pPr>
        <w:pStyle w:val="Heading2"/>
        <w:spacing w:after="120" w:before="360"/>
      </w:pPr>
      <w:r>
        <w:rPr>
          <w:rFonts w:ascii="Times New Roman" w:cs="Times New Roman" w:eastAsia="Times New Roman" w:hAnsi="Times New Roman"/>
          <w:b/>
          <w:bCs/>
          <w:color w:val="1B3A6B"/>
          <w:sz w:val="30"/>
          <w:szCs w:val="30"/>
        </w:rPr>
        <w:t xml:space="preserve">🎯 Objectif et continuité du parcours</w:t>
      </w:r>
    </w:p>
    <w:p>
      <w:pPr>
        <w:spacing w:after="120"/>
      </w:pPr>
      <w:r>
        <w:rPr>
          <w:rFonts w:ascii="Times New Roman" w:cs="Times New Roman" w:eastAsia="Times New Roman" w:hAnsi="Times New Roman"/>
          <w:color w:val="1F2937"/>
          <w:sz w:val="22"/>
          <w:szCs w:val="22"/>
        </w:rPr>
        <w:t xml:space="preserve">C'est la dernière leçon du parcours. Vous avez couvert les 9 thèmes fondamentaux : définitions et mythes, familles de modèles, les trois intrants, l'économie réelle, les cinq familles d'idées (produits numériques, contenus/affiliation, ETF/dividendes/SCPI, micro-SaaS/agents IA), les deux leçons d'outillage.</w:t>
      </w:r>
    </w:p>
    <w:p>
      <w:pPr>
        <w:spacing w:after="120"/>
      </w:pPr>
      <w:r>
        <w:rPr>
          <w:rFonts w:ascii="Times New Roman" w:cs="Times New Roman" w:eastAsia="Times New Roman" w:hAnsi="Times New Roman"/>
          <w:color w:val="1F2937"/>
          <w:sz w:val="22"/>
          <w:szCs w:val="22"/>
        </w:rPr>
        <w:t xml:space="preserve">Cette leçon ferme la boucle : à quoi ressemble la fin de vie d'un modèle, comment la détecter avant qu'elle arrive, quels scénarios de durabilité existent, et comment construire une matrice de décision personnelle pour décider de maintenir, adapter ou sortir.</w:t>
      </w:r>
    </w:p>
    <w:p>
      <w:pPr>
        <w:spacing w:after="120"/>
      </w:pPr>
      <w:r>
        <w:rPr>
          <w:rFonts w:ascii="Times New Roman" w:cs="Times New Roman" w:eastAsia="Times New Roman" w:hAnsi="Times New Roman"/>
          <w:b/>
          <w:bCs/>
          <w:color w:val="1F2937"/>
          <w:sz w:val="22"/>
          <w:szCs w:val="22"/>
        </w:rPr>
        <w:t xml:space="preserve">À l'issue de cette leçon, vous saurez :</w:t>
      </w:r>
    </w:p>
    <w:p>
      <w:pPr>
        <w:pStyle w:val="ListParagraph"/>
        <w:numPr>
          <w:ilvl w:val="0"/>
          <w:numId w:val="1"/>
        </w:numPr>
        <w:spacing w:after="80"/>
      </w:pPr>
      <w:r>
        <w:rPr>
          <w:rFonts w:ascii="Times New Roman" w:cs="Times New Roman" w:eastAsia="Times New Roman" w:hAnsi="Times New Roman"/>
          <w:color w:val="1F2937"/>
          <w:sz w:val="22"/>
          <w:szCs w:val="22"/>
        </w:rPr>
        <w:t xml:space="preserve">Identifier les signaux d'alerte précoces d'un modèle en déclin selon son type</w:t>
      </w:r>
    </w:p>
    <w:p>
      <w:pPr>
        <w:pStyle w:val="ListParagraph"/>
        <w:numPr>
          <w:ilvl w:val="0"/>
          <w:numId w:val="1"/>
        </w:numPr>
        <w:spacing w:after="80"/>
      </w:pPr>
      <w:r>
        <w:rPr>
          <w:rFonts w:ascii="Times New Roman" w:cs="Times New Roman" w:eastAsia="Times New Roman" w:hAnsi="Times New Roman"/>
          <w:color w:val="1F2937"/>
          <w:sz w:val="22"/>
          <w:szCs w:val="22"/>
        </w:rPr>
        <w:t xml:space="preserve">Distinguer déclin structurel (irréversible) et déclin conjoncturel (traitable)</w:t>
      </w:r>
    </w:p>
    <w:p>
      <w:pPr>
        <w:pStyle w:val="ListParagraph"/>
        <w:numPr>
          <w:ilvl w:val="0"/>
          <w:numId w:val="1"/>
        </w:numPr>
        <w:spacing w:after="80"/>
      </w:pPr>
      <w:r>
        <w:rPr>
          <w:rFonts w:ascii="Times New Roman" w:cs="Times New Roman" w:eastAsia="Times New Roman" w:hAnsi="Times New Roman"/>
          <w:color w:val="1F2937"/>
          <w:sz w:val="22"/>
          <w:szCs w:val="22"/>
        </w:rPr>
        <w:t xml:space="preserve">Construire une matrice de décision : maintenir / adapter / pivoter / sortir</w:t>
      </w:r>
    </w:p>
    <w:p>
      <w:pPr>
        <w:pStyle w:val="ListParagraph"/>
        <w:numPr>
          <w:ilvl w:val="0"/>
          <w:numId w:val="1"/>
        </w:numPr>
        <w:spacing w:after="80"/>
      </w:pPr>
      <w:r>
        <w:rPr>
          <w:rFonts w:ascii="Times New Roman" w:cs="Times New Roman" w:eastAsia="Times New Roman" w:hAnsi="Times New Roman"/>
          <w:color w:val="1F2937"/>
          <w:sz w:val="22"/>
          <w:szCs w:val="22"/>
        </w:rPr>
        <w:t xml:space="preserve">Anticiper la durée de vie probable d'un modèle avant même de le lancer</w:t>
      </w:r>
    </w:p>
    <w:p>
      <w:pPr>
        <w:spacing w:after="80"/>
      </w:pPr>
      <w:r>
        <w:t xml:space="preserve"/>
      </w:r>
    </w:p>
    <w:p>
      <w:pPr>
        <w:pStyle w:val="Heading2"/>
        <w:spacing w:after="120" w:before="360"/>
      </w:pPr>
      <w:r>
        <w:rPr>
          <w:rFonts w:ascii="Times New Roman" w:cs="Times New Roman" w:eastAsia="Times New Roman" w:hAnsi="Times New Roman"/>
          <w:b/>
          <w:bCs/>
          <w:color w:val="1B3A6B"/>
          <w:sz w:val="30"/>
          <w:szCs w:val="30"/>
        </w:rPr>
        <w:t xml:space="preserve">🔬 Théorie (20 %) — Le cycle de vie d'un modèle passif</w:t>
      </w:r>
    </w:p>
    <w:p>
      <w:pPr>
        <w:pStyle w:val="Heading3"/>
        <w:spacing w:after="80" w:before="240"/>
      </w:pPr>
      <w:r>
        <w:rPr>
          <w:rFonts w:ascii="Times New Roman" w:cs="Times New Roman" w:eastAsia="Times New Roman" w:hAnsi="Times New Roman"/>
          <w:b/>
          <w:bCs/>
          <w:color w:val="1F2937"/>
          <w:sz w:val="26"/>
          <w:szCs w:val="26"/>
        </w:rPr>
        <w:t xml:space="preserve">1. Le cycle en cinq phases</w:t>
      </w:r>
    </w:p>
    <w:p>
      <w:pPr>
        <w:spacing w:after="120"/>
      </w:pPr>
      <w:r>
        <w:rPr>
          <w:rFonts w:ascii="Times New Roman" w:cs="Times New Roman" w:eastAsia="Times New Roman" w:hAnsi="Times New Roman"/>
          <w:color w:val="1F2937"/>
          <w:sz w:val="22"/>
          <w:szCs w:val="22"/>
        </w:rPr>
        <w:t xml:space="preserve">Tout modèle de revenu passif suit un cycle observable — même si la durée de chaque phase varie radicalement d'un modèle à l'autre.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1B3A6B" w:val="solid"/>
            <w:vAlign w:val="center"/>
          </w:tcPr>
          <w:p>
            <w:pPr>
              <w:jc w:val="center"/>
            </w:pPr>
            <w:r>
              <w:rPr>
                <w:rFonts w:ascii="Times New Roman" w:cs="Times New Roman" w:eastAsia="Times New Roman" w:hAnsi="Times New Roman"/>
                <w:b/>
                <w:bCs/>
                <w:color w:val="FFFFFF"/>
                <w:sz w:val="20"/>
                <w:szCs w:val="20"/>
              </w:rPr>
              <w:t xml:space="preserve">Phase</w:t>
            </w:r>
          </w:p>
        </w:tc>
        <w:tc>
          <w:tcPr>
            <w:shd w:color="1B3A6B" w:val="solid"/>
            <w:vAlign w:val="center"/>
          </w:tcPr>
          <w:p>
            <w:pPr>
              <w:jc w:val="center"/>
            </w:pPr>
            <w:r>
              <w:rPr>
                <w:rFonts w:ascii="Times New Roman" w:cs="Times New Roman" w:eastAsia="Times New Roman" w:hAnsi="Times New Roman"/>
                <w:b/>
                <w:bCs/>
                <w:color w:val="FFFFFF"/>
                <w:sz w:val="20"/>
                <w:szCs w:val="20"/>
              </w:rPr>
              <w:t xml:space="preserve">Caractéristiques</w:t>
            </w:r>
          </w:p>
        </w:tc>
        <w:tc>
          <w:tcPr>
            <w:shd w:color="1B3A6B" w:val="solid"/>
            <w:vAlign w:val="center"/>
          </w:tcPr>
          <w:p>
            <w:pPr>
              <w:jc w:val="center"/>
            </w:pPr>
            <w:r>
              <w:rPr>
                <w:rFonts w:ascii="Times New Roman" w:cs="Times New Roman" w:eastAsia="Times New Roman" w:hAnsi="Times New Roman"/>
                <w:b/>
                <w:bCs/>
                <w:color w:val="FFFFFF"/>
                <w:sz w:val="20"/>
                <w:szCs w:val="20"/>
              </w:rPr>
              <w:t xml:space="preserve">Signal typique</w:t>
            </w:r>
          </w:p>
        </w:tc>
      </w:tr>
      <w:tr>
        <w:tc>
          <w:tcPr>
            <w:shd w:color="FFFFFF" w:val="solid"/>
            <w:vAlign w:val="center"/>
          </w:tcPr>
          <w:p>
            <w:r>
              <w:rPr>
                <w:rFonts w:ascii="Times New Roman" w:cs="Times New Roman" w:eastAsia="Times New Roman" w:hAnsi="Times New Roman"/>
                <w:color w:val="1F2937"/>
                <w:sz w:val="20"/>
                <w:szCs w:val="20"/>
              </w:rPr>
              <w:t xml:space="preserve">1 — Lancement</w:t>
            </w:r>
          </w:p>
        </w:tc>
        <w:tc>
          <w:tcPr>
            <w:shd w:color="FFFFFF" w:val="solid"/>
            <w:vAlign w:val="center"/>
          </w:tcPr>
          <w:p>
            <w:r>
              <w:rPr>
                <w:rFonts w:ascii="Times New Roman" w:cs="Times New Roman" w:eastAsia="Times New Roman" w:hAnsi="Times New Roman"/>
                <w:color w:val="1F2937"/>
                <w:sz w:val="20"/>
                <w:szCs w:val="20"/>
              </w:rPr>
              <w:t xml:space="preserve">Investissement initial (temps, capital, compétence)</w:t>
            </w:r>
          </w:p>
        </w:tc>
        <w:tc>
          <w:tcPr>
            <w:shd w:color="FFFFFF" w:val="solid"/>
            <w:vAlign w:val="center"/>
          </w:tcPr>
          <w:p>
            <w:r>
              <w:rPr>
                <w:rFonts w:ascii="Times New Roman" w:cs="Times New Roman" w:eastAsia="Times New Roman" w:hAnsi="Times New Roman"/>
                <w:color w:val="1F2937"/>
                <w:sz w:val="20"/>
                <w:szCs w:val="20"/>
              </w:rPr>
              <w:t xml:space="preserve">Revenus nuls ou symboliques</w:t>
            </w:r>
          </w:p>
        </w:tc>
      </w:tr>
      <w:tr>
        <w:tc>
          <w:tcPr>
            <w:shd w:color="EEF2F7" w:val="solid"/>
            <w:vAlign w:val="center"/>
          </w:tcPr>
          <w:p>
            <w:r>
              <w:rPr>
                <w:rFonts w:ascii="Times New Roman" w:cs="Times New Roman" w:eastAsia="Times New Roman" w:hAnsi="Times New Roman"/>
                <w:color w:val="1F2937"/>
                <w:sz w:val="20"/>
                <w:szCs w:val="20"/>
              </w:rPr>
              <w:t xml:space="preserve">2 — Montée en charge</w:t>
            </w:r>
          </w:p>
        </w:tc>
        <w:tc>
          <w:tcPr>
            <w:shd w:color="EEF2F7" w:val="solid"/>
            <w:vAlign w:val="center"/>
          </w:tcPr>
          <w:p>
            <w:r>
              <w:rPr>
                <w:rFonts w:ascii="Times New Roman" w:cs="Times New Roman" w:eastAsia="Times New Roman" w:hAnsi="Times New Roman"/>
                <w:color w:val="1F2937"/>
                <w:sz w:val="20"/>
                <w:szCs w:val="20"/>
              </w:rPr>
              <w:t xml:space="preserve">Revenus croissants, maintenance légère</w:t>
            </w:r>
          </w:p>
        </w:tc>
        <w:tc>
          <w:tcPr>
            <w:shd w:color="EEF2F7" w:val="solid"/>
            <w:vAlign w:val="center"/>
          </w:tcPr>
          <w:p>
            <w:r>
              <w:rPr>
                <w:rFonts w:ascii="Times New Roman" w:cs="Times New Roman" w:eastAsia="Times New Roman" w:hAnsi="Times New Roman"/>
                <w:color w:val="1F2937"/>
                <w:sz w:val="20"/>
                <w:szCs w:val="20"/>
              </w:rPr>
              <w:t xml:space="preserve">Premiers clients récurrents</w:t>
            </w:r>
          </w:p>
        </w:tc>
      </w:tr>
      <w:tr>
        <w:tc>
          <w:tcPr>
            <w:shd w:color="FFFFFF" w:val="solid"/>
            <w:vAlign w:val="center"/>
          </w:tcPr>
          <w:p>
            <w:r>
              <w:rPr>
                <w:rFonts w:ascii="Times New Roman" w:cs="Times New Roman" w:eastAsia="Times New Roman" w:hAnsi="Times New Roman"/>
                <w:color w:val="1F2937"/>
                <w:sz w:val="20"/>
                <w:szCs w:val="20"/>
              </w:rPr>
              <w:t xml:space="preserve">3 — Plateau</w:t>
            </w:r>
          </w:p>
        </w:tc>
        <w:tc>
          <w:tcPr>
            <w:shd w:color="FFFFFF" w:val="solid"/>
            <w:vAlign w:val="center"/>
          </w:tcPr>
          <w:p>
            <w:r>
              <w:rPr>
                <w:rFonts w:ascii="Times New Roman" w:cs="Times New Roman" w:eastAsia="Times New Roman" w:hAnsi="Times New Roman"/>
                <w:color w:val="1F2937"/>
                <w:sz w:val="20"/>
                <w:szCs w:val="20"/>
              </w:rPr>
              <w:t xml:space="preserve">Revenus stables, maintenance régulière</w:t>
            </w:r>
          </w:p>
        </w:tc>
        <w:tc>
          <w:tcPr>
            <w:shd w:color="FFFFFF" w:val="solid"/>
            <w:vAlign w:val="center"/>
          </w:tcPr>
          <w:p>
            <w:r>
              <w:rPr>
                <w:rFonts w:ascii="Times New Roman" w:cs="Times New Roman" w:eastAsia="Times New Roman" w:hAnsi="Times New Roman"/>
                <w:color w:val="1F2937"/>
                <w:sz w:val="20"/>
                <w:szCs w:val="20"/>
              </w:rPr>
              <w:t xml:space="preserve">Churn compensé par nouveaux entrants</w:t>
            </w:r>
          </w:p>
        </w:tc>
      </w:tr>
      <w:tr>
        <w:tc>
          <w:tcPr>
            <w:shd w:color="EEF2F7" w:val="solid"/>
            <w:vAlign w:val="center"/>
          </w:tcPr>
          <w:p>
            <w:r>
              <w:rPr>
                <w:rFonts w:ascii="Times New Roman" w:cs="Times New Roman" w:eastAsia="Times New Roman" w:hAnsi="Times New Roman"/>
                <w:color w:val="1F2937"/>
                <w:sz w:val="20"/>
                <w:szCs w:val="20"/>
              </w:rPr>
              <w:t xml:space="preserve">4 — Déclin</w:t>
            </w:r>
          </w:p>
        </w:tc>
        <w:tc>
          <w:tcPr>
            <w:shd w:color="EEF2F7" w:val="solid"/>
            <w:vAlign w:val="center"/>
          </w:tcPr>
          <w:p>
            <w:r>
              <w:rPr>
                <w:rFonts w:ascii="Times New Roman" w:cs="Times New Roman" w:eastAsia="Times New Roman" w:hAnsi="Times New Roman"/>
                <w:color w:val="1F2937"/>
                <w:sz w:val="20"/>
                <w:szCs w:val="20"/>
              </w:rPr>
              <w:t xml:space="preserve">Revenus en baisse, maintenance pesante</w:t>
            </w:r>
          </w:p>
        </w:tc>
        <w:tc>
          <w:tcPr>
            <w:shd w:color="EEF2F7" w:val="solid"/>
            <w:vAlign w:val="center"/>
          </w:tcPr>
          <w:p>
            <w:r>
              <w:rPr>
                <w:rFonts w:ascii="Times New Roman" w:cs="Times New Roman" w:eastAsia="Times New Roman" w:hAnsi="Times New Roman"/>
                <w:color w:val="1F2937"/>
                <w:sz w:val="20"/>
                <w:szCs w:val="20"/>
              </w:rPr>
              <w:t xml:space="preserve">Taux de churn &gt; taux d'acquisition</w:t>
            </w:r>
          </w:p>
        </w:tc>
      </w:tr>
      <w:tr>
        <w:tc>
          <w:tcPr>
            <w:shd w:color="FFFFFF" w:val="solid"/>
            <w:vAlign w:val="center"/>
          </w:tcPr>
          <w:p>
            <w:r>
              <w:rPr>
                <w:rFonts w:ascii="Times New Roman" w:cs="Times New Roman" w:eastAsia="Times New Roman" w:hAnsi="Times New Roman"/>
                <w:color w:val="1F2937"/>
                <w:sz w:val="20"/>
                <w:szCs w:val="20"/>
              </w:rPr>
              <w:t xml:space="preserve">5 — Sortie / pivot</w:t>
            </w:r>
          </w:p>
        </w:tc>
        <w:tc>
          <w:tcPr>
            <w:shd w:color="FFFFFF" w:val="solid"/>
            <w:vAlign w:val="center"/>
          </w:tcPr>
          <w:p>
            <w:r>
              <w:rPr>
                <w:rFonts w:ascii="Times New Roman" w:cs="Times New Roman" w:eastAsia="Times New Roman" w:hAnsi="Times New Roman"/>
                <w:color w:val="1F2937"/>
                <w:sz w:val="20"/>
                <w:szCs w:val="20"/>
              </w:rPr>
              <w:t xml:space="preserve">Revenus trop faibles pour justifier l'effort</w:t>
            </w:r>
          </w:p>
        </w:tc>
        <w:tc>
          <w:tcPr>
            <w:shd w:color="FFFFFF" w:val="solid"/>
            <w:vAlign w:val="center"/>
          </w:tcPr>
          <w:p>
            <w:r>
              <w:rPr>
                <w:rFonts w:ascii="Times New Roman" w:cs="Times New Roman" w:eastAsia="Times New Roman" w:hAnsi="Times New Roman"/>
                <w:color w:val="1F2937"/>
                <w:sz w:val="20"/>
                <w:szCs w:val="20"/>
              </w:rPr>
              <w:t xml:space="preserve">Bascule vers un autre modèle ou cession</w:t>
            </w:r>
          </w:p>
        </w:tc>
      </w:tr>
    </w:tbl>
    <w:p>
      <w:pPr>
        <w:spacing w:after="80"/>
      </w:pPr>
      <w:r>
        <w:t xml:space="preserve"/>
      </w:r>
    </w:p>
    <w:p>
      <w:pPr>
        <w:spacing w:after="120"/>
      </w:pPr>
      <w:r>
        <w:rPr>
          <w:rFonts w:ascii="Times New Roman" w:cs="Times New Roman" w:eastAsia="Times New Roman" w:hAnsi="Times New Roman"/>
          <w:color w:val="1F2937"/>
          <w:sz w:val="22"/>
          <w:szCs w:val="22"/>
        </w:rPr>
        <w:t xml:space="preserve">La durée de ce cycle dépend d'une variable centrale : la profondeur du fossé concurrentiel (le "moat"). Un ebook généraliste n'a pas de moat — cycle de 6 à 18 mois avant saturation. Un micro-SaaS sur une niche très spécifique avec des données propriétaires peut tenir des années.</w:t>
      </w:r>
    </w:p>
    <w:p>
      <w:pPr>
        <w:pStyle w:val="Heading3"/>
        <w:spacing w:after="80" w:before="240"/>
      </w:pPr>
      <w:r>
        <w:rPr>
          <w:rFonts w:ascii="Times New Roman" w:cs="Times New Roman" w:eastAsia="Times New Roman" w:hAnsi="Times New Roman"/>
          <w:b/>
          <w:bCs/>
          <w:color w:val="1F2937"/>
          <w:sz w:val="26"/>
          <w:szCs w:val="26"/>
        </w:rPr>
        <w:t xml:space="preserve">2. Les mécanismes de déclin par famille de modèles</w:t>
      </w:r>
    </w:p>
    <w:p>
      <w:pPr>
        <w:spacing w:after="120"/>
      </w:pPr>
      <w:r>
        <w:rPr>
          <w:rFonts w:ascii="Times New Roman" w:cs="Times New Roman" w:eastAsia="Times New Roman" w:hAnsi="Times New Roman"/>
          <w:color w:val="1F2937"/>
          <w:sz w:val="22"/>
          <w:szCs w:val="22"/>
        </w:rPr>
        <w:t xml:space="preserve">Chaque famille de modèles a ses propres vecteurs d'usure. Les connaître permet d'anticiper, pas seulement de réagir.</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1B3A6B" w:val="solid"/>
            <w:vAlign w:val="center"/>
          </w:tcPr>
          <w:p>
            <w:pPr>
              <w:jc w:val="center"/>
            </w:pPr>
            <w:r>
              <w:rPr>
                <w:rFonts w:ascii="Times New Roman" w:cs="Times New Roman" w:eastAsia="Times New Roman" w:hAnsi="Times New Roman"/>
                <w:b/>
                <w:bCs/>
                <w:color w:val="FFFFFF"/>
                <w:sz w:val="20"/>
                <w:szCs w:val="20"/>
              </w:rPr>
              <w:t xml:space="preserve">Modèle</w:t>
            </w:r>
          </w:p>
        </w:tc>
        <w:tc>
          <w:tcPr>
            <w:shd w:color="1B3A6B" w:val="solid"/>
            <w:vAlign w:val="center"/>
          </w:tcPr>
          <w:p>
            <w:pPr>
              <w:jc w:val="center"/>
            </w:pPr>
            <w:r>
              <w:rPr>
                <w:rFonts w:ascii="Times New Roman" w:cs="Times New Roman" w:eastAsia="Times New Roman" w:hAnsi="Times New Roman"/>
                <w:b/>
                <w:bCs/>
                <w:color w:val="FFFFFF"/>
                <w:sz w:val="20"/>
                <w:szCs w:val="20"/>
              </w:rPr>
              <w:t xml:space="preserve">Mécanisme de déclin principal</w:t>
            </w:r>
          </w:p>
        </w:tc>
        <w:tc>
          <w:tcPr>
            <w:shd w:color="1B3A6B" w:val="solid"/>
            <w:vAlign w:val="center"/>
          </w:tcPr>
          <w:p>
            <w:pPr>
              <w:jc w:val="center"/>
            </w:pPr>
            <w:r>
              <w:rPr>
                <w:rFonts w:ascii="Times New Roman" w:cs="Times New Roman" w:eastAsia="Times New Roman" w:hAnsi="Times New Roman"/>
                <w:b/>
                <w:bCs/>
                <w:color w:val="FFFFFF"/>
                <w:sz w:val="20"/>
                <w:szCs w:val="20"/>
              </w:rPr>
              <w:t xml:space="preserve">Mécanisme secondaire</w:t>
            </w:r>
          </w:p>
        </w:tc>
      </w:tr>
      <w:tr>
        <w:tc>
          <w:tcPr>
            <w:shd w:color="FFFFFF" w:val="solid"/>
            <w:vAlign w:val="center"/>
          </w:tcPr>
          <w:p>
            <w:r>
              <w:rPr>
                <w:rFonts w:ascii="Times New Roman" w:cs="Times New Roman" w:eastAsia="Times New Roman" w:hAnsi="Times New Roman"/>
                <w:color w:val="1F2937"/>
                <w:sz w:val="20"/>
                <w:szCs w:val="20"/>
              </w:rPr>
              <w:t xml:space="preserve">Produits numériques (ebooks, templates)</w:t>
            </w:r>
          </w:p>
        </w:tc>
        <w:tc>
          <w:tcPr>
            <w:shd w:color="FFFFFF" w:val="solid"/>
            <w:vAlign w:val="center"/>
          </w:tcPr>
          <w:p>
            <w:r>
              <w:rPr>
                <w:rFonts w:ascii="Times New Roman" w:cs="Times New Roman" w:eastAsia="Times New Roman" w:hAnsi="Times New Roman"/>
                <w:color w:val="1F2937"/>
                <w:sz w:val="20"/>
                <w:szCs w:val="20"/>
              </w:rPr>
              <w:t xml:space="preserve">Obsolescence du contenu, saturation du marché</w:t>
            </w:r>
          </w:p>
        </w:tc>
        <w:tc>
          <w:tcPr>
            <w:shd w:color="FFFFFF" w:val="solid"/>
            <w:vAlign w:val="center"/>
          </w:tcPr>
          <w:p>
            <w:r>
              <w:rPr>
                <w:rFonts w:ascii="Times New Roman" w:cs="Times New Roman" w:eastAsia="Times New Roman" w:hAnsi="Times New Roman"/>
                <w:color w:val="1F2937"/>
                <w:sz w:val="20"/>
                <w:szCs w:val="20"/>
              </w:rPr>
              <w:t xml:space="preserve">Concurrent gratuit, IA générative</w:t>
            </w:r>
          </w:p>
        </w:tc>
      </w:tr>
      <w:tr>
        <w:tc>
          <w:tcPr>
            <w:shd w:color="EEF2F7" w:val="solid"/>
            <w:vAlign w:val="center"/>
          </w:tcPr>
          <w:p>
            <w:r>
              <w:rPr>
                <w:rFonts w:ascii="Times New Roman" w:cs="Times New Roman" w:eastAsia="Times New Roman" w:hAnsi="Times New Roman"/>
                <w:color w:val="1F2937"/>
                <w:sz w:val="20"/>
                <w:szCs w:val="20"/>
              </w:rPr>
              <w:t xml:space="preserve">Affiliation / contenu SEO</w:t>
            </w:r>
          </w:p>
        </w:tc>
        <w:tc>
          <w:tcPr>
            <w:shd w:color="EEF2F7" w:val="solid"/>
            <w:vAlign w:val="center"/>
          </w:tcPr>
          <w:p>
            <w:r>
              <w:rPr>
                <w:rFonts w:ascii="Times New Roman" w:cs="Times New Roman" w:eastAsia="Times New Roman" w:hAnsi="Times New Roman"/>
                <w:color w:val="1F2937"/>
                <w:sz w:val="20"/>
                <w:szCs w:val="20"/>
              </w:rPr>
              <w:t xml:space="preserve">Mises à jour algorithmes Google, AI Overviews</w:t>
            </w:r>
          </w:p>
        </w:tc>
        <w:tc>
          <w:tcPr>
            <w:shd w:color="EEF2F7" w:val="solid"/>
            <w:vAlign w:val="center"/>
          </w:tcPr>
          <w:p>
            <w:r>
              <w:rPr>
                <w:rFonts w:ascii="Times New Roman" w:cs="Times New Roman" w:eastAsia="Times New Roman" w:hAnsi="Times New Roman"/>
                <w:color w:val="1F2937"/>
                <w:sz w:val="20"/>
                <w:szCs w:val="20"/>
              </w:rPr>
              <w:t xml:space="preserve">Modification des conditions du programme partenaire</w:t>
            </w:r>
          </w:p>
        </w:tc>
      </w:tr>
      <w:tr>
        <w:tc>
          <w:tcPr>
            <w:shd w:color="FFFFFF" w:val="solid"/>
            <w:vAlign w:val="center"/>
          </w:tcPr>
          <w:p>
            <w:r>
              <w:rPr>
                <w:rFonts w:ascii="Times New Roman" w:cs="Times New Roman" w:eastAsia="Times New Roman" w:hAnsi="Times New Roman"/>
                <w:color w:val="1F2937"/>
                <w:sz w:val="20"/>
                <w:szCs w:val="20"/>
              </w:rPr>
              <w:t xml:space="preserve">Micro-SaaS</w:t>
            </w:r>
          </w:p>
        </w:tc>
        <w:tc>
          <w:tcPr>
            <w:shd w:color="FFFFFF" w:val="solid"/>
            <w:vAlign w:val="center"/>
          </w:tcPr>
          <w:p>
            <w:r>
              <w:rPr>
                <w:rFonts w:ascii="Times New Roman" w:cs="Times New Roman" w:eastAsia="Times New Roman" w:hAnsi="Times New Roman"/>
                <w:color w:val="1F2937"/>
                <w:sz w:val="20"/>
                <w:szCs w:val="20"/>
              </w:rPr>
              <w:t xml:space="preserve">Commoditisation de la fonctionnalité, churn cumulatif</w:t>
            </w:r>
          </w:p>
        </w:tc>
        <w:tc>
          <w:tcPr>
            <w:shd w:color="FFFFFF" w:val="solid"/>
            <w:vAlign w:val="center"/>
          </w:tcPr>
          <w:p>
            <w:r>
              <w:rPr>
                <w:rFonts w:ascii="Times New Roman" w:cs="Times New Roman" w:eastAsia="Times New Roman" w:hAnsi="Times New Roman"/>
                <w:color w:val="1F2937"/>
                <w:sz w:val="20"/>
                <w:szCs w:val="20"/>
              </w:rPr>
              <w:t xml:space="preserve">Copie par acteur majeur, plateforme mère modifie l'API</w:t>
            </w:r>
          </w:p>
        </w:tc>
      </w:tr>
      <w:tr>
        <w:tc>
          <w:tcPr>
            <w:shd w:color="EEF2F7" w:val="solid"/>
            <w:vAlign w:val="center"/>
          </w:tcPr>
          <w:p>
            <w:r>
              <w:rPr>
                <w:rFonts w:ascii="Times New Roman" w:cs="Times New Roman" w:eastAsia="Times New Roman" w:hAnsi="Times New Roman"/>
                <w:color w:val="1F2937"/>
                <w:sz w:val="20"/>
                <w:szCs w:val="20"/>
              </w:rPr>
              <w:t xml:space="preserve">ETF distribuants / dividendes</w:t>
            </w:r>
          </w:p>
        </w:tc>
        <w:tc>
          <w:tcPr>
            <w:shd w:color="EEF2F7" w:val="solid"/>
            <w:vAlign w:val="center"/>
          </w:tcPr>
          <w:p>
            <w:r>
              <w:rPr>
                <w:rFonts w:ascii="Times New Roman" w:cs="Times New Roman" w:eastAsia="Times New Roman" w:hAnsi="Times New Roman"/>
                <w:color w:val="1F2937"/>
                <w:sz w:val="20"/>
                <w:szCs w:val="20"/>
              </w:rPr>
              <w:t xml:space="preserve">Cycles de marché, réduction ou suppression du dividende</w:t>
            </w:r>
          </w:p>
        </w:tc>
        <w:tc>
          <w:tcPr>
            <w:shd w:color="EEF2F7" w:val="solid"/>
            <w:vAlign w:val="center"/>
          </w:tcPr>
          <w:p>
            <w:r>
              <w:rPr>
                <w:rFonts w:ascii="Times New Roman" w:cs="Times New Roman" w:eastAsia="Times New Roman" w:hAnsi="Times New Roman"/>
                <w:color w:val="1F2937"/>
                <w:sz w:val="20"/>
                <w:szCs w:val="20"/>
              </w:rPr>
              <w:t xml:space="preserve">Changement de la fiscalité du capital</w:t>
            </w:r>
          </w:p>
        </w:tc>
      </w:tr>
      <w:tr>
        <w:tc>
          <w:tcPr>
            <w:shd w:color="FFFFFF" w:val="solid"/>
            <w:vAlign w:val="center"/>
          </w:tcPr>
          <w:p>
            <w:r>
              <w:rPr>
                <w:rFonts w:ascii="Times New Roman" w:cs="Times New Roman" w:eastAsia="Times New Roman" w:hAnsi="Times New Roman"/>
                <w:color w:val="1F2937"/>
                <w:sz w:val="20"/>
                <w:szCs w:val="20"/>
              </w:rPr>
              <w:t xml:space="preserve">SCPI / immobilier locatif</w:t>
            </w:r>
          </w:p>
        </w:tc>
        <w:tc>
          <w:tcPr>
            <w:shd w:color="FFFFFF" w:val="solid"/>
            <w:vAlign w:val="center"/>
          </w:tcPr>
          <w:p>
            <w:r>
              <w:rPr>
                <w:rFonts w:ascii="Times New Roman" w:cs="Times New Roman" w:eastAsia="Times New Roman" w:hAnsi="Times New Roman"/>
                <w:color w:val="1F2937"/>
                <w:sz w:val="20"/>
                <w:szCs w:val="20"/>
              </w:rPr>
              <w:t xml:space="preserve">Baisse du taux de distribution, vacance locative</w:t>
            </w:r>
          </w:p>
        </w:tc>
        <w:tc>
          <w:tcPr>
            <w:shd w:color="FFFFFF" w:val="solid"/>
            <w:vAlign w:val="center"/>
          </w:tcPr>
          <w:p>
            <w:r>
              <w:rPr>
                <w:rFonts w:ascii="Times New Roman" w:cs="Times New Roman" w:eastAsia="Times New Roman" w:hAnsi="Times New Roman"/>
                <w:color w:val="1F2937"/>
                <w:sz w:val="20"/>
                <w:szCs w:val="20"/>
              </w:rPr>
              <w:t xml:space="preserve">Réforme fiscale, DPE, contraintes travaux</w:t>
            </w:r>
          </w:p>
        </w:tc>
      </w:tr>
      <w:tr>
        <w:tc>
          <w:tcPr>
            <w:shd w:color="EEF2F7" w:val="solid"/>
            <w:vAlign w:val="center"/>
          </w:tcPr>
          <w:p>
            <w:r>
              <w:rPr>
                <w:rFonts w:ascii="Times New Roman" w:cs="Times New Roman" w:eastAsia="Times New Roman" w:hAnsi="Times New Roman"/>
                <w:color w:val="1F2937"/>
                <w:sz w:val="20"/>
                <w:szCs w:val="20"/>
              </w:rPr>
              <w:t xml:space="preserve">Agents IA / automatisations</w:t>
            </w:r>
          </w:p>
        </w:tc>
        <w:tc>
          <w:tcPr>
            <w:shd w:color="EEF2F7" w:val="solid"/>
            <w:vAlign w:val="center"/>
          </w:tcPr>
          <w:p>
            <w:r>
              <w:rPr>
                <w:rFonts w:ascii="Times New Roman" w:cs="Times New Roman" w:eastAsia="Times New Roman" w:hAnsi="Times New Roman"/>
                <w:color w:val="1F2937"/>
                <w:sz w:val="20"/>
                <w:szCs w:val="20"/>
              </w:rPr>
              <w:t xml:space="preserve">Évolution rapide des modèles IA, dépendance API</w:t>
            </w:r>
          </w:p>
        </w:tc>
        <w:tc>
          <w:tcPr>
            <w:shd w:color="EEF2F7" w:val="solid"/>
            <w:vAlign w:val="center"/>
          </w:tcPr>
          <w:p>
            <w:r>
              <w:rPr>
                <w:rFonts w:ascii="Times New Roman" w:cs="Times New Roman" w:eastAsia="Times New Roman" w:hAnsi="Times New Roman"/>
                <w:color w:val="1F2937"/>
                <w:sz w:val="20"/>
                <w:szCs w:val="20"/>
              </w:rPr>
              <w:t xml:space="preserve">Fournisseur IA modifie la tarification ou l'accès</w:t>
            </w:r>
          </w:p>
        </w:tc>
      </w:tr>
    </w:tbl>
    <w:p>
      <w:pPr>
        <w:spacing w:after="80"/>
      </w:pPr>
      <w:r>
        <w:t xml:space="preserve"/>
      </w:r>
    </w:p>
    <w:p>
      <w:pPr>
        <w:pStyle w:val="Heading3"/>
        <w:spacing w:after="80" w:before="240"/>
      </w:pPr>
      <w:r>
        <w:rPr>
          <w:rFonts w:ascii="Times New Roman" w:cs="Times New Roman" w:eastAsia="Times New Roman" w:hAnsi="Times New Roman"/>
          <w:b/>
          <w:bCs/>
          <w:color w:val="1F2937"/>
          <w:sz w:val="26"/>
          <w:szCs w:val="26"/>
        </w:rPr>
        <w:t xml:space="preserve">3. La concentration des sources : le risque n°1</w:t>
      </w:r>
    </w:p>
    <w:p>
      <w:pPr>
        <w:spacing w:after="120"/>
      </w:pPr>
      <w:r>
        <w:rPr>
          <w:rFonts w:ascii="Times New Roman" w:cs="Times New Roman" w:eastAsia="Times New Roman" w:hAnsi="Times New Roman"/>
          <w:color w:val="1F2937"/>
          <w:sz w:val="22"/>
          <w:szCs w:val="22"/>
        </w:rPr>
        <w:t xml:space="preserve">Un modèle qui dépend d'une seule source de trafic, d'un seul client, d'une seule plateforme de distribution ou d'un seul fournisseur est structurellement fragile, quel que soit son niveau de revenu actuel.</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La communauté IndieHackers (2026) documente un consensus : il n'existe pas de revenu vraiment passif sur le long terme — la maintenance, l'adaptation et la vigilance sont permanentes. (Synthèse, non citation directe.)</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Ce que les créateurs qui durent ont en commun : ils ont diversifié leurs sources d'acquisition avant d'en avoir besoin.</w:t>
      </w:r>
    </w:p>
    <w:p>
      <w:pPr>
        <w:spacing w:after="80"/>
      </w:pPr>
      <w:r>
        <w:t xml:space="preserve"/>
      </w:r>
    </w:p>
    <w:p>
      <w:pPr>
        <w:pStyle w:val="Heading3"/>
        <w:spacing w:after="80" w:before="240"/>
      </w:pPr>
      <w:r>
        <w:rPr>
          <w:rFonts w:ascii="Times New Roman" w:cs="Times New Roman" w:eastAsia="Times New Roman" w:hAnsi="Times New Roman"/>
          <w:b/>
          <w:bCs/>
          <w:color w:val="1F2937"/>
          <w:sz w:val="26"/>
          <w:szCs w:val="26"/>
        </w:rPr>
        <w:t xml:space="preserve">4. Les données disponibles sur la durabilité micro-SaaS</w:t>
      </w:r>
    </w:p>
    <w:p>
      <w:pPr>
        <w:spacing w:after="120"/>
      </w:pPr>
      <w:r>
        <w:rPr>
          <w:rFonts w:ascii="Times New Roman" w:cs="Times New Roman" w:eastAsia="Times New Roman" w:hAnsi="Times New Roman"/>
          <w:color w:val="1F2937"/>
          <w:sz w:val="22"/>
          <w:szCs w:val="22"/>
        </w:rPr>
        <w:t xml:space="preserve">Les données les plus documentées concernent le micro-SaaS. Voici celles que j'ai pu lire directement sur leurs pages sources lors de cette exécution.</w:t>
      </w:r>
    </w:p>
    <w:p>
      <w:pPr>
        <w:spacing w:after="80"/>
      </w:pPr>
      <w:r>
        <w:t xml:space="preserve"/>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 NOTE MÉTHODOLOGIQUE — Discordance entre deux sources :</w:t>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 groundworkblog.com (Aziz Chaabane, 10 mai 2026) dit : « 70 % des produits micro-SaaS gagnent moins de 500 $/mois »</w:t>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 shno.co (2026) dit : « 70 % des fondateurs génèrent moins de 1 000 $/mois de MRR »</w:t>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Les deux citent « l'analyse RockingWeb de 1 000+ produits » mais appliquent un seuil différent à la même proportion.</w:t>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La table ci-dessous utilise la distribution détaillée de groundworkblog.com, lue intégralement lors de cette exécution.</w:t>
      </w:r>
    </w:p>
    <w:p>
      <w:pPr>
        <w:spacing w:after="80"/>
      </w:pPr>
      <w:r>
        <w:t xml:space="preserve"/>
      </w:r>
    </w:p>
    <w:p>
      <w:pPr>
        <w:spacing w:after="120"/>
      </w:pPr>
      <w:r>
        <w:rPr>
          <w:rFonts w:ascii="Times New Roman" w:cs="Times New Roman" w:eastAsia="Times New Roman" w:hAnsi="Times New Roman"/>
          <w:color w:val="1F2937"/>
          <w:sz w:val="22"/>
          <w:szCs w:val="22"/>
        </w:rPr>
        <w:t xml:space="preserve">Distribution des revenus de 1 000+ produits micro-SaaS (source : groundworkblog.com, mai 2026, citant l'analyse RockingWeb) :</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1B3A6B" w:val="solid"/>
            <w:vAlign w:val="center"/>
          </w:tcPr>
          <w:p>
            <w:pPr>
              <w:jc w:val="center"/>
            </w:pPr>
            <w:r>
              <w:rPr>
                <w:rFonts w:ascii="Times New Roman" w:cs="Times New Roman" w:eastAsia="Times New Roman" w:hAnsi="Times New Roman"/>
                <w:b/>
                <w:bCs/>
                <w:color w:val="FFFFFF"/>
                <w:sz w:val="20"/>
                <w:szCs w:val="20"/>
              </w:rPr>
              <w:t xml:space="preserve">Tranche de revenus mensuels</w:t>
            </w:r>
          </w:p>
        </w:tc>
        <w:tc>
          <w:tcPr>
            <w:shd w:color="1B3A6B" w:val="solid"/>
            <w:vAlign w:val="center"/>
          </w:tcPr>
          <w:p>
            <w:pPr>
              <w:jc w:val="center"/>
            </w:pPr>
            <w:r>
              <w:rPr>
                <w:rFonts w:ascii="Times New Roman" w:cs="Times New Roman" w:eastAsia="Times New Roman" w:hAnsi="Times New Roman"/>
                <w:b/>
                <w:bCs/>
                <w:color w:val="FFFFFF"/>
                <w:sz w:val="20"/>
                <w:szCs w:val="20"/>
              </w:rPr>
              <w:t xml:space="preserve">Part des produits</w:t>
            </w:r>
          </w:p>
        </w:tc>
        <w:tc>
          <w:tcPr>
            <w:shd w:color="1B3A6B" w:val="solid"/>
            <w:vAlign w:val="center"/>
          </w:tcPr>
          <w:p>
            <w:pPr>
              <w:jc w:val="center"/>
            </w:pPr>
            <w:r>
              <w:rPr>
                <w:rFonts w:ascii="Times New Roman" w:cs="Times New Roman" w:eastAsia="Times New Roman" w:hAnsi="Times New Roman"/>
                <w:b/>
                <w:bCs/>
                <w:color w:val="FFFFFF"/>
                <w:sz w:val="20"/>
                <w:szCs w:val="20"/>
              </w:rPr>
              <w:t xml:space="preserve">Label</w:t>
            </w:r>
          </w:p>
        </w:tc>
      </w:tr>
      <w:tr>
        <w:tc>
          <w:tcPr>
            <w:shd w:color="FFFFFF" w:val="solid"/>
            <w:vAlign w:val="center"/>
          </w:tcPr>
          <w:p>
            <w:r>
              <w:rPr>
                <w:rFonts w:ascii="Times New Roman" w:cs="Times New Roman" w:eastAsia="Times New Roman" w:hAnsi="Times New Roman"/>
                <w:color w:val="1F2937"/>
                <w:sz w:val="20"/>
                <w:szCs w:val="20"/>
              </w:rPr>
              <w:t xml:space="preserve">Moins de 500 $/mois</w:t>
            </w:r>
          </w:p>
        </w:tc>
        <w:tc>
          <w:tcPr>
            <w:shd w:color="FFFFFF" w:val="solid"/>
            <w:vAlign w:val="center"/>
          </w:tcPr>
          <w:p>
            <w:r>
              <w:rPr>
                <w:rFonts w:ascii="Times New Roman" w:cs="Times New Roman" w:eastAsia="Times New Roman" w:hAnsi="Times New Roman"/>
                <w:color w:val="1F2937"/>
                <w:sz w:val="20"/>
                <w:szCs w:val="20"/>
              </w:rPr>
              <w:t xml:space="preserve">70 %</w:t>
            </w:r>
          </w:p>
        </w:tc>
        <w:tc>
          <w:tcPr>
            <w:shd w:color="FFFFFF" w:val="solid"/>
            <w:vAlign w:val="center"/>
          </w:tcPr>
          <w:p>
            <w:r>
              <w:rPr>
                <w:rFonts w:ascii="Times New Roman" w:cs="Times New Roman" w:eastAsia="Times New Roman" w:hAnsi="Times New Roman"/>
                <w:color w:val="1F2937"/>
                <w:sz w:val="20"/>
                <w:szCs w:val="20"/>
              </w:rPr>
              <w:t xml:space="preserve">"Zone cimetière"</w:t>
            </w:r>
          </w:p>
        </w:tc>
      </w:tr>
      <w:tr>
        <w:tc>
          <w:tcPr>
            <w:shd w:color="EEF2F7" w:val="solid"/>
            <w:vAlign w:val="center"/>
          </w:tcPr>
          <w:p>
            <w:r>
              <w:rPr>
                <w:rFonts w:ascii="Times New Roman" w:cs="Times New Roman" w:eastAsia="Times New Roman" w:hAnsi="Times New Roman"/>
                <w:color w:val="1F2937"/>
                <w:sz w:val="20"/>
                <w:szCs w:val="20"/>
              </w:rPr>
              <w:t xml:space="preserve">1 000 $ à 5 000 $/mois</w:t>
            </w:r>
          </w:p>
        </w:tc>
        <w:tc>
          <w:tcPr>
            <w:shd w:color="EEF2F7" w:val="solid"/>
            <w:vAlign w:val="center"/>
          </w:tcPr>
          <w:p>
            <w:r>
              <w:rPr>
                <w:rFonts w:ascii="Times New Roman" w:cs="Times New Roman" w:eastAsia="Times New Roman" w:hAnsi="Times New Roman"/>
                <w:color w:val="1F2937"/>
                <w:sz w:val="20"/>
                <w:szCs w:val="20"/>
              </w:rPr>
              <w:t xml:space="preserve">18 %</w:t>
            </w:r>
          </w:p>
        </w:tc>
        <w:tc>
          <w:tcPr>
            <w:shd w:color="EEF2F7" w:val="solid"/>
            <w:vAlign w:val="center"/>
          </w:tcPr>
          <w:p>
            <w:r>
              <w:rPr>
                <w:rFonts w:ascii="Times New Roman" w:cs="Times New Roman" w:eastAsia="Times New Roman" w:hAnsi="Times New Roman"/>
                <w:color w:val="1F2937"/>
                <w:sz w:val="20"/>
                <w:szCs w:val="20"/>
              </w:rPr>
              <w:t xml:space="preserve">"Zone de durabilité"</w:t>
            </w:r>
          </w:p>
        </w:tc>
      </w:tr>
      <w:tr>
        <w:tc>
          <w:tcPr>
            <w:shd w:color="FFFFFF" w:val="solid"/>
            <w:vAlign w:val="center"/>
          </w:tcPr>
          <w:p>
            <w:r>
              <w:rPr>
                <w:rFonts w:ascii="Times New Roman" w:cs="Times New Roman" w:eastAsia="Times New Roman" w:hAnsi="Times New Roman"/>
                <w:color w:val="1F2937"/>
                <w:sz w:val="20"/>
                <w:szCs w:val="20"/>
              </w:rPr>
              <w:t xml:space="preserve">5 000 $ à 50 000 $/mois</w:t>
            </w:r>
          </w:p>
        </w:tc>
        <w:tc>
          <w:tcPr>
            <w:shd w:color="FFFFFF" w:val="solid"/>
            <w:vAlign w:val="center"/>
          </w:tcPr>
          <w:p>
            <w:r>
              <w:rPr>
                <w:rFonts w:ascii="Times New Roman" w:cs="Times New Roman" w:eastAsia="Times New Roman" w:hAnsi="Times New Roman"/>
                <w:color w:val="1F2937"/>
                <w:sz w:val="20"/>
                <w:szCs w:val="20"/>
              </w:rPr>
              <w:t xml:space="preserve">10 %</w:t>
            </w:r>
          </w:p>
        </w:tc>
        <w:tc>
          <w:tcPr>
            <w:shd w:color="FFFFFF" w:val="solid"/>
            <w:vAlign w:val="center"/>
          </w:tcPr>
          <w:p>
            <w:r>
              <w:rPr>
                <w:rFonts w:ascii="Times New Roman" w:cs="Times New Roman" w:eastAsia="Times New Roman" w:hAnsi="Times New Roman"/>
                <w:color w:val="1F2937"/>
                <w:sz w:val="20"/>
                <w:szCs w:val="20"/>
              </w:rPr>
              <w:t xml:space="preserve">"Vrai business"</w:t>
            </w:r>
          </w:p>
        </w:tc>
      </w:tr>
      <w:tr>
        <w:tc>
          <w:tcPr>
            <w:shd w:color="EEF2F7" w:val="solid"/>
            <w:vAlign w:val="center"/>
          </w:tcPr>
          <w:p>
            <w:r>
              <w:rPr>
                <w:rFonts w:ascii="Times New Roman" w:cs="Times New Roman" w:eastAsia="Times New Roman" w:hAnsi="Times New Roman"/>
                <w:color w:val="1F2937"/>
                <w:sz w:val="20"/>
                <w:szCs w:val="20"/>
              </w:rPr>
              <w:t xml:space="preserve">Au-dessus de 50 000 $/mois</w:t>
            </w:r>
          </w:p>
        </w:tc>
        <w:tc>
          <w:tcPr>
            <w:shd w:color="EEF2F7" w:val="solid"/>
            <w:vAlign w:val="center"/>
          </w:tcPr>
          <w:p>
            <w:r>
              <w:rPr>
                <w:rFonts w:ascii="Times New Roman" w:cs="Times New Roman" w:eastAsia="Times New Roman" w:hAnsi="Times New Roman"/>
                <w:color w:val="1F2937"/>
                <w:sz w:val="20"/>
                <w:szCs w:val="20"/>
              </w:rPr>
              <w:t xml:space="preserve">1 à 2 %</w:t>
            </w:r>
          </w:p>
        </w:tc>
        <w:tc>
          <w:tcPr>
            <w:shd w:color="EEF2F7" w:val="solid"/>
            <w:vAlign w:val="center"/>
          </w:tcPr>
          <w:p>
            <w:r>
              <w:rPr>
                <w:rFonts w:ascii="Times New Roman" w:cs="Times New Roman" w:eastAsia="Times New Roman" w:hAnsi="Times New Roman"/>
                <w:color w:val="1F2937"/>
                <w:sz w:val="20"/>
                <w:szCs w:val="20"/>
              </w:rPr>
              <w:t xml:space="preserve">"Les screenshots"</w:t>
            </w:r>
          </w:p>
        </w:tc>
      </w:tr>
    </w:tbl>
    <w:p>
      <w:pPr>
        <w:spacing w:after="80"/>
      </w:pPr>
      <w:r>
        <w:t xml:space="preserve"/>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Médiane constatée : 500 $/mois de MRR.</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Temps médian pour atteindre 1 000 $/mois de MRR : 12 à 18 mois.</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95 % des micro-SaaS atteignent la rentabilité en an 1 — grâce à des coûts très bas.</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(Source : groundworkblog.com, mai 2026, tableau "Where 1,000+ micro-SaaS products actually land")</w:t>
      </w:r>
    </w:p>
    <w:p>
      <w:pPr>
        <w:spacing w:after="80"/>
      </w:pPr>
      <w:r>
        <w:t xml:space="preserve"/>
      </w:r>
    </w:p>
    <w:p>
      <w:pPr>
        <w:spacing w:after="120"/>
      </w:pPr>
      <w:r>
        <w:rPr>
          <w:rFonts w:ascii="Times New Roman" w:cs="Times New Roman" w:eastAsia="Times New Roman" w:hAnsi="Times New Roman"/>
          <w:color w:val="1F2937"/>
          <w:sz w:val="22"/>
          <w:szCs w:val="22"/>
        </w:rPr>
        <w:t xml:space="preserve">Attention : 95 % atteignent la rentabilité en an 1 parce que les coûts sont quasi nuls — ne pas confondre avec "viabilité". La rentabilité à 100 $/mois de bénéfice n'est pas un modèle durable pour remplacer un salaire.</w:t>
      </w:r>
    </w:p>
    <w:p>
      <w:pPr>
        <w:pStyle w:val="Heading3"/>
        <w:spacing w:after="80" w:before="240"/>
      </w:pPr>
      <w:r>
        <w:rPr>
          <w:rFonts w:ascii="Times New Roman" w:cs="Times New Roman" w:eastAsia="Times New Roman" w:hAnsi="Times New Roman"/>
          <w:b/>
          <w:bCs/>
          <w:color w:val="1F2937"/>
          <w:sz w:val="26"/>
          <w:szCs w:val="26"/>
        </w:rPr>
        <w:t xml:space="preserve">5. Facteurs de durabilité : ce qui fait tenir un modèle</w:t>
      </w:r>
    </w:p>
    <w:p>
      <w:pPr>
        <w:spacing w:after="120"/>
      </w:pPr>
      <w:r>
        <w:rPr>
          <w:rFonts w:ascii="Times New Roman" w:cs="Times New Roman" w:eastAsia="Times New Roman" w:hAnsi="Times New Roman"/>
          <w:color w:val="1F2937"/>
          <w:sz w:val="22"/>
          <w:szCs w:val="22"/>
        </w:rPr>
        <w:t xml:space="preserve">Six facteurs déterminent si un modèle passif va tenir dans la durée ou décliner rapidement :</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1B3A6B" w:val="solid"/>
            <w:vAlign w:val="center"/>
          </w:tcPr>
          <w:p>
            <w:pPr>
              <w:jc w:val="center"/>
            </w:pPr>
            <w:r>
              <w:rPr>
                <w:rFonts w:ascii="Times New Roman" w:cs="Times New Roman" w:eastAsia="Times New Roman" w:hAnsi="Times New Roman"/>
                <w:b/>
                <w:bCs/>
                <w:color w:val="FFFFFF"/>
                <w:sz w:val="20"/>
                <w:szCs w:val="20"/>
              </w:rPr>
              <w:t xml:space="preserve">Facteur</w:t>
            </w:r>
          </w:p>
        </w:tc>
        <w:tc>
          <w:tcPr>
            <w:shd w:color="1B3A6B" w:val="solid"/>
            <w:vAlign w:val="center"/>
          </w:tcPr>
          <w:p>
            <w:pPr>
              <w:jc w:val="center"/>
            </w:pPr>
            <w:r>
              <w:rPr>
                <w:rFonts w:ascii="Times New Roman" w:cs="Times New Roman" w:eastAsia="Times New Roman" w:hAnsi="Times New Roman"/>
                <w:b/>
                <w:bCs/>
                <w:color w:val="FFFFFF"/>
                <w:sz w:val="20"/>
                <w:szCs w:val="20"/>
              </w:rPr>
              <w:t xml:space="preserve">Description</w:t>
            </w:r>
          </w:p>
        </w:tc>
        <w:tc>
          <w:tcPr>
            <w:shd w:color="1B3A6B" w:val="solid"/>
            <w:vAlign w:val="center"/>
          </w:tcPr>
          <w:p>
            <w:pPr>
              <w:jc w:val="center"/>
            </w:pPr>
            <w:r>
              <w:rPr>
                <w:rFonts w:ascii="Times New Roman" w:cs="Times New Roman" w:eastAsia="Times New Roman" w:hAnsi="Times New Roman"/>
                <w:b/>
                <w:bCs/>
                <w:color w:val="FFFFFF"/>
                <w:sz w:val="20"/>
                <w:szCs w:val="20"/>
              </w:rPr>
              <w:t xml:space="preserve">Durabilité si fort</w:t>
            </w:r>
          </w:p>
        </w:tc>
        <w:tc>
          <w:tcPr>
            <w:shd w:color="1B3A6B" w:val="solid"/>
            <w:vAlign w:val="center"/>
          </w:tcPr>
          <w:p>
            <w:pPr>
              <w:jc w:val="center"/>
            </w:pPr>
            <w:r>
              <w:rPr>
                <w:rFonts w:ascii="Times New Roman" w:cs="Times New Roman" w:eastAsia="Times New Roman" w:hAnsi="Times New Roman"/>
                <w:b/>
                <w:bCs/>
                <w:color w:val="FFFFFF"/>
                <w:sz w:val="20"/>
                <w:szCs w:val="20"/>
              </w:rPr>
              <w:t xml:space="preserve">Durabilité si faible</w:t>
            </w:r>
          </w:p>
        </w:tc>
      </w:tr>
      <w:tr>
        <w:tc>
          <w:tcPr>
            <w:shd w:color="FFFFFF" w:val="solid"/>
            <w:vAlign w:val="center"/>
          </w:tcPr>
          <w:p>
            <w:r>
              <w:rPr>
                <w:rFonts w:ascii="Times New Roman" w:cs="Times New Roman" w:eastAsia="Times New Roman" w:hAnsi="Times New Roman"/>
                <w:color w:val="1F2937"/>
                <w:sz w:val="20"/>
                <w:szCs w:val="20"/>
              </w:rPr>
              <w:t xml:space="preserve">Profondeur du moat</w:t>
            </w:r>
          </w:p>
        </w:tc>
        <w:tc>
          <w:tcPr>
            <w:shd w:color="FFFFFF" w:val="solid"/>
            <w:vAlign w:val="center"/>
          </w:tcPr>
          <w:p>
            <w:r>
              <w:rPr>
                <w:rFonts w:ascii="Times New Roman" w:cs="Times New Roman" w:eastAsia="Times New Roman" w:hAnsi="Times New Roman"/>
                <w:color w:val="1F2937"/>
                <w:sz w:val="20"/>
                <w:szCs w:val="20"/>
              </w:rPr>
              <w:t xml:space="preserve">Données propriétaires, réseau, marque, expertise difficile à copier</w:t>
            </w:r>
          </w:p>
        </w:tc>
        <w:tc>
          <w:tcPr>
            <w:shd w:color="FFFFFF" w:val="solid"/>
            <w:vAlign w:val="center"/>
          </w:tcPr>
          <w:p>
            <w:r>
              <w:rPr>
                <w:rFonts w:ascii="Times New Roman" w:cs="Times New Roman" w:eastAsia="Times New Roman" w:hAnsi="Times New Roman"/>
                <w:color w:val="1F2937"/>
                <w:sz w:val="20"/>
                <w:szCs w:val="20"/>
              </w:rPr>
              <w:t xml:space="preserve">Élevée</w:t>
            </w:r>
          </w:p>
        </w:tc>
        <w:tc>
          <w:tcPr>
            <w:shd w:color="FFFFFF" w:val="solid"/>
            <w:vAlign w:val="center"/>
          </w:tcPr>
          <w:p>
            <w:r>
              <w:rPr>
                <w:rFonts w:ascii="Times New Roman" w:cs="Times New Roman" w:eastAsia="Times New Roman" w:hAnsi="Times New Roman"/>
                <w:color w:val="1F2937"/>
                <w:sz w:val="20"/>
                <w:szCs w:val="20"/>
              </w:rPr>
              <w:t xml:space="preserve">Faible (copié en 6 mois)</w:t>
            </w:r>
          </w:p>
        </w:tc>
      </w:tr>
      <w:tr>
        <w:tc>
          <w:tcPr>
            <w:shd w:color="EEF2F7" w:val="solid"/>
            <w:vAlign w:val="center"/>
          </w:tcPr>
          <w:p>
            <w:r>
              <w:rPr>
                <w:rFonts w:ascii="Times New Roman" w:cs="Times New Roman" w:eastAsia="Times New Roman" w:hAnsi="Times New Roman"/>
                <w:color w:val="1F2937"/>
                <w:sz w:val="20"/>
                <w:szCs w:val="20"/>
              </w:rPr>
              <w:t xml:space="preserve">Diversité des sources d'acquisition</w:t>
            </w:r>
          </w:p>
        </w:tc>
        <w:tc>
          <w:tcPr>
            <w:shd w:color="EEF2F7" w:val="solid"/>
            <w:vAlign w:val="center"/>
          </w:tcPr>
          <w:p>
            <w:r>
              <w:rPr>
                <w:rFonts w:ascii="Times New Roman" w:cs="Times New Roman" w:eastAsia="Times New Roman" w:hAnsi="Times New Roman"/>
                <w:color w:val="1F2937"/>
                <w:sz w:val="20"/>
                <w:szCs w:val="20"/>
              </w:rPr>
              <w:t xml:space="preserve">SEO + direct + social + bouche-à-oreille</w:t>
            </w:r>
          </w:p>
        </w:tc>
        <w:tc>
          <w:tcPr>
            <w:shd w:color="EEF2F7" w:val="solid"/>
            <w:vAlign w:val="center"/>
          </w:tcPr>
          <w:p>
            <w:r>
              <w:rPr>
                <w:rFonts w:ascii="Times New Roman" w:cs="Times New Roman" w:eastAsia="Times New Roman" w:hAnsi="Times New Roman"/>
                <w:color w:val="1F2937"/>
                <w:sz w:val="20"/>
                <w:szCs w:val="20"/>
              </w:rPr>
              <w:t xml:space="preserve">Haute résistance aux chocs</w:t>
            </w:r>
          </w:p>
        </w:tc>
        <w:tc>
          <w:tcPr>
            <w:shd w:color="EEF2F7" w:val="solid"/>
            <w:vAlign w:val="center"/>
          </w:tcPr>
          <w:p>
            <w:r>
              <w:rPr>
                <w:rFonts w:ascii="Times New Roman" w:cs="Times New Roman" w:eastAsia="Times New Roman" w:hAnsi="Times New Roman"/>
                <w:color w:val="1F2937"/>
                <w:sz w:val="20"/>
                <w:szCs w:val="20"/>
              </w:rPr>
              <w:t xml:space="preserve">Un changement d'algo = -80 %</w:t>
            </w:r>
          </w:p>
        </w:tc>
      </w:tr>
      <w:tr>
        <w:tc>
          <w:tcPr>
            <w:shd w:color="FFFFFF" w:val="solid"/>
            <w:vAlign w:val="center"/>
          </w:tcPr>
          <w:p>
            <w:r>
              <w:rPr>
                <w:rFonts w:ascii="Times New Roman" w:cs="Times New Roman" w:eastAsia="Times New Roman" w:hAnsi="Times New Roman"/>
                <w:color w:val="1F2937"/>
                <w:sz w:val="20"/>
                <w:szCs w:val="20"/>
              </w:rPr>
              <w:t xml:space="preserve">Propriété de l'audience</w:t>
            </w:r>
          </w:p>
        </w:tc>
        <w:tc>
          <w:tcPr>
            <w:shd w:color="FFFFFF" w:val="solid"/>
            <w:vAlign w:val="center"/>
          </w:tcPr>
          <w:p>
            <w:r>
              <w:rPr>
                <w:rFonts w:ascii="Times New Roman" w:cs="Times New Roman" w:eastAsia="Times New Roman" w:hAnsi="Times New Roman"/>
                <w:color w:val="1F2937"/>
                <w:sz w:val="20"/>
                <w:szCs w:val="20"/>
              </w:rPr>
              <w:t xml:space="preserve">Email list, communauté directe vs dépendance plateforme</w:t>
            </w:r>
          </w:p>
        </w:tc>
        <w:tc>
          <w:tcPr>
            <w:shd w:color="FFFFFF" w:val="solid"/>
            <w:vAlign w:val="center"/>
          </w:tcPr>
          <w:p>
            <w:r>
              <w:rPr>
                <w:rFonts w:ascii="Times New Roman" w:cs="Times New Roman" w:eastAsia="Times New Roman" w:hAnsi="Times New Roman"/>
                <w:color w:val="1F2937"/>
                <w:sz w:val="20"/>
                <w:szCs w:val="20"/>
              </w:rPr>
              <w:t xml:space="preserve">Actif durable</w:t>
            </w:r>
          </w:p>
        </w:tc>
        <w:tc>
          <w:tcPr>
            <w:shd w:color="FFFFFF" w:val="solid"/>
            <w:vAlign w:val="center"/>
          </w:tcPr>
          <w:p>
            <w:r>
              <w:rPr>
                <w:rFonts w:ascii="Times New Roman" w:cs="Times New Roman" w:eastAsia="Times New Roman" w:hAnsi="Times New Roman"/>
                <w:color w:val="1F2937"/>
                <w:sz w:val="20"/>
                <w:szCs w:val="20"/>
              </w:rPr>
              <w:t xml:space="preserve">Actif loué (TikTok, LinkedIn...)</w:t>
            </w:r>
          </w:p>
        </w:tc>
      </w:tr>
      <w:tr>
        <w:tc>
          <w:tcPr>
            <w:shd w:color="EEF2F7" w:val="solid"/>
            <w:vAlign w:val="center"/>
          </w:tcPr>
          <w:p>
            <w:r>
              <w:rPr>
                <w:rFonts w:ascii="Times New Roman" w:cs="Times New Roman" w:eastAsia="Times New Roman" w:hAnsi="Times New Roman"/>
                <w:color w:val="1F2937"/>
                <w:sz w:val="20"/>
                <w:szCs w:val="20"/>
              </w:rPr>
              <w:t xml:space="preserve">Churn mensuel</w:t>
            </w:r>
          </w:p>
        </w:tc>
        <w:tc>
          <w:tcPr>
            <w:shd w:color="EEF2F7" w:val="solid"/>
            <w:vAlign w:val="center"/>
          </w:tcPr>
          <w:p>
            <w:r>
              <w:rPr>
                <w:rFonts w:ascii="Times New Roman" w:cs="Times New Roman" w:eastAsia="Times New Roman" w:hAnsi="Times New Roman"/>
                <w:color w:val="1F2937"/>
                <w:sz w:val="20"/>
                <w:szCs w:val="20"/>
              </w:rPr>
              <w:t xml:space="preserve">Pourcentage d'abonnés/clients perdus par mois</w:t>
            </w:r>
          </w:p>
        </w:tc>
        <w:tc>
          <w:tcPr>
            <w:shd w:color="EEF2F7" w:val="solid"/>
            <w:vAlign w:val="center"/>
          </w:tcPr>
          <w:p>
            <w:r>
              <w:rPr>
                <w:rFonts w:ascii="Times New Roman" w:cs="Times New Roman" w:eastAsia="Times New Roman" w:hAnsi="Times New Roman"/>
                <w:color w:val="1F2937"/>
                <w:sz w:val="20"/>
                <w:szCs w:val="20"/>
              </w:rPr>
              <w:t xml:space="preserve">&lt; 3 % = viable long terme</w:t>
            </w:r>
          </w:p>
        </w:tc>
        <w:tc>
          <w:tcPr>
            <w:shd w:color="EEF2F7" w:val="solid"/>
            <w:vAlign w:val="center"/>
          </w:tcPr>
          <w:p>
            <w:r>
              <w:rPr>
                <w:rFonts w:ascii="Times New Roman" w:cs="Times New Roman" w:eastAsia="Times New Roman" w:hAnsi="Times New Roman"/>
                <w:color w:val="1F2937"/>
                <w:sz w:val="20"/>
                <w:szCs w:val="20"/>
              </w:rPr>
              <w:t xml:space="preserve">&gt; 7 % = pompe percée</w:t>
            </w:r>
          </w:p>
        </w:tc>
      </w:tr>
      <w:tr>
        <w:tc>
          <w:tcPr>
            <w:shd w:color="FFFFFF" w:val="solid"/>
            <w:vAlign w:val="center"/>
          </w:tcPr>
          <w:p>
            <w:r>
              <w:rPr>
                <w:rFonts w:ascii="Times New Roman" w:cs="Times New Roman" w:eastAsia="Times New Roman" w:hAnsi="Times New Roman"/>
                <w:color w:val="1F2937"/>
                <w:sz w:val="20"/>
                <w:szCs w:val="20"/>
              </w:rPr>
              <w:t xml:space="preserve">Maintenance réelle</w:t>
            </w:r>
          </w:p>
        </w:tc>
        <w:tc>
          <w:tcPr>
            <w:shd w:color="FFFFFF" w:val="solid"/>
            <w:vAlign w:val="center"/>
          </w:tcPr>
          <w:p>
            <w:r>
              <w:rPr>
                <w:rFonts w:ascii="Times New Roman" w:cs="Times New Roman" w:eastAsia="Times New Roman" w:hAnsi="Times New Roman"/>
                <w:color w:val="1F2937"/>
                <w:sz w:val="20"/>
                <w:szCs w:val="20"/>
              </w:rPr>
              <w:t xml:space="preserve">Temps hebdomadaire requis pour maintenir le revenu</w:t>
            </w:r>
          </w:p>
        </w:tc>
        <w:tc>
          <w:tcPr>
            <w:shd w:color="FFFFFF" w:val="solid"/>
            <w:vAlign w:val="center"/>
          </w:tcPr>
          <w:p>
            <w:r>
              <w:rPr>
                <w:rFonts w:ascii="Times New Roman" w:cs="Times New Roman" w:eastAsia="Times New Roman" w:hAnsi="Times New Roman"/>
                <w:color w:val="1F2937"/>
                <w:sz w:val="20"/>
                <w:szCs w:val="20"/>
              </w:rPr>
              <w:t xml:space="preserve">&lt; 2h/semaine = passif réel</w:t>
            </w:r>
          </w:p>
        </w:tc>
        <w:tc>
          <w:tcPr>
            <w:shd w:color="FFFFFF" w:val="solid"/>
            <w:vAlign w:val="center"/>
          </w:tcPr>
          <w:p>
            <w:r>
              <w:rPr>
                <w:rFonts w:ascii="Times New Roman" w:cs="Times New Roman" w:eastAsia="Times New Roman" w:hAnsi="Times New Roman"/>
                <w:color w:val="1F2937"/>
                <w:sz w:val="20"/>
                <w:szCs w:val="20"/>
              </w:rPr>
              <w:t xml:space="preserve">&gt; 10h/semaine = activité déguisée</w:t>
            </w:r>
          </w:p>
        </w:tc>
      </w:tr>
      <w:tr>
        <w:tc>
          <w:tcPr>
            <w:shd w:color="EEF2F7" w:val="solid"/>
            <w:vAlign w:val="center"/>
          </w:tcPr>
          <w:p>
            <w:r>
              <w:rPr>
                <w:rFonts w:ascii="Times New Roman" w:cs="Times New Roman" w:eastAsia="Times New Roman" w:hAnsi="Times New Roman"/>
                <w:color w:val="1F2937"/>
                <w:sz w:val="20"/>
                <w:szCs w:val="20"/>
              </w:rPr>
              <w:t xml:space="preserve">Indépendance des tiers</w:t>
            </w:r>
          </w:p>
        </w:tc>
        <w:tc>
          <w:tcPr>
            <w:shd w:color="EEF2F7" w:val="solid"/>
            <w:vAlign w:val="center"/>
          </w:tcPr>
          <w:p>
            <w:r>
              <w:rPr>
                <w:rFonts w:ascii="Times New Roman" w:cs="Times New Roman" w:eastAsia="Times New Roman" w:hAnsi="Times New Roman"/>
                <w:color w:val="1F2937"/>
                <w:sz w:val="20"/>
                <w:szCs w:val="20"/>
              </w:rPr>
              <w:t xml:space="preserve">API, plateforme de distribution, programme affiliation</w:t>
            </w:r>
          </w:p>
        </w:tc>
        <w:tc>
          <w:tcPr>
            <w:shd w:color="EEF2F7" w:val="solid"/>
            <w:vAlign w:val="center"/>
          </w:tcPr>
          <w:p>
            <w:r>
              <w:rPr>
                <w:rFonts w:ascii="Times New Roman" w:cs="Times New Roman" w:eastAsia="Times New Roman" w:hAnsi="Times New Roman"/>
                <w:color w:val="1F2937"/>
                <w:sz w:val="20"/>
                <w:szCs w:val="20"/>
              </w:rPr>
              <w:t xml:space="preserve">Multi-source ou possédé</w:t>
            </w:r>
          </w:p>
        </w:tc>
        <w:tc>
          <w:tcPr>
            <w:shd w:color="EEF2F7" w:val="solid"/>
            <w:vAlign w:val="center"/>
          </w:tcPr>
          <w:p>
            <w:r>
              <w:rPr>
                <w:rFonts w:ascii="Times New Roman" w:cs="Times New Roman" w:eastAsia="Times New Roman" w:hAnsi="Times New Roman"/>
                <w:color w:val="1F2937"/>
                <w:sz w:val="20"/>
                <w:szCs w:val="20"/>
              </w:rPr>
              <w:t xml:space="preserve">Dépendance totale à 1 tiers</w:t>
            </w:r>
          </w:p>
        </w:tc>
      </w:tr>
    </w:tbl>
    <w:p>
      <w:pPr>
        <w:spacing w:after="80"/>
      </w:pPr>
      <w:r>
        <w:t xml:space="preserve"/>
      </w:r>
    </w:p>
    <w:p>
      <w:pPr>
        <w:pStyle w:val="Heading2"/>
        <w:spacing w:after="120" w:before="360"/>
      </w:pPr>
      <w:r>
        <w:rPr>
          <w:rFonts w:ascii="Times New Roman" w:cs="Times New Roman" w:eastAsia="Times New Roman" w:hAnsi="Times New Roman"/>
          <w:b/>
          <w:bCs/>
          <w:color w:val="1B3A6B"/>
          <w:sz w:val="30"/>
          <w:szCs w:val="30"/>
        </w:rPr>
        <w:t xml:space="preserve">📉 Ancrage réaliste — Ce que personne ne dit avant que ça arrive</w:t>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 TAUX D'ÉCHEC ET RÉALITÉS DOCUMENTÉES</w:t>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1. LA MAJORITÉ DES MODÈLES N'ATTEIGNENT JAMAIS LA DURABILITÉ</w:t>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   70 % des micro-SaaS restent sous 500 $/mois (sous-seuil de durabilité).</w:t>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   La plupart des ebooks et templates numériques génèrent &lt; 100 € après la première semaine.</w:t>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   Ces chiffres ne viennent pas de sources vérifiées pour les produits numériques lors de cette exécution — ils reflètent la tendance rapportée par les praticiens, non des études citées.</w:t>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2. LE MAINTIEN COÛTE PLUS CHER QUE PRÉVU</w:t>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   Mise à jour SEO, renouvellement des licences, veille concurrentielle, mises à jour de sécurité, service client résiduel — le travail "passif" est souvent 5 à 10 h/semaine en régime de croisière.</w:t>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   Ce temps n'est comptabilisé nulle part dans les "case studies" de succès.</w:t>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3. LES SIGNAUX DE DÉCLIN ARRIVENT PROGRESSIVEMENT</w:t>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   Un modèle ne s'effondre généralement pas du jour au lendemain. Les signaux faibles sont là 3 à 6 mois à l'avance — churn qui augmente, trafic organique qui plafonne, taux de conversion qui baisse.</w:t>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   Le danger : ne pas les mesurer régulièrement.</w:t>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4. LES ARNAQUES EXPLOITENT LA FENÊTRE DE DÉCLIN</w:t>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   Les formations "revenus passifs à 10 000 €/mois" prolifèrent précisément quand un modèle décline : le vendeur, qui n'y gagne plus, vend la méthode. L'AMF maintient des listes noires actualisées : amf-france.org/fr/espace-epargnants/proteger-son-epargne/listes-noires-et-mises-en-garde</w:t>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5. LE BIAIS DE SURVIVANCE EST STRUCTUREL</w:t>
      </w:r>
    </w:p>
    <w:p>
      <w:pPr>
        <w:pBdr>
          <w:left w:val="thick" w:color="D97706" w:sz="12"/>
        </w:pBdr>
        <w:shd w:color="FFF4E5" w:val="solid"/>
        <w:spacing w:after="100" w:before="100"/>
        <w:ind w:left="240" w:right="240"/>
      </w:pPr>
      <w:r>
        <w:rPr>
          <w:rFonts w:ascii="Times New Roman" w:cs="Times New Roman" w:eastAsia="Times New Roman" w:hAnsi="Times New Roman"/>
          <w:color w:val="1F2937"/>
          <w:sz w:val="22"/>
          <w:szCs w:val="22"/>
        </w:rPr>
        <w:t xml:space="preserve">   IndieHackers, Twitter/X, YouTube ne montrent que les modèles qui ont fonctionné — les 70 % dans la "zone cimetière" n'écrivent pas de posts.</w:t>
      </w:r>
    </w:p>
    <w:p>
      <w:pPr>
        <w:spacing w:after="80"/>
      </w:pPr>
      <w:r>
        <w:t xml:space="preserve"/>
      </w:r>
    </w:p>
    <w:p>
      <w:pPr>
        <w:pStyle w:val="Heading3"/>
        <w:spacing w:after="80" w:before="240"/>
      </w:pPr>
      <w:r>
        <w:rPr>
          <w:rFonts w:ascii="Times New Roman" w:cs="Times New Roman" w:eastAsia="Times New Roman" w:hAnsi="Times New Roman"/>
          <w:b/>
          <w:bCs/>
          <w:color w:val="1F2937"/>
          <w:sz w:val="26"/>
          <w:szCs w:val="26"/>
        </w:rPr>
        <w:t xml:space="preserve">Signaux d'alerte précoces à surveiller</w:t>
      </w:r>
    </w:p>
    <w:p>
      <w:pPr>
        <w:spacing w:after="120"/>
      </w:pPr>
      <w:r>
        <w:rPr>
          <w:rFonts w:ascii="Times New Roman" w:cs="Times New Roman" w:eastAsia="Times New Roman" w:hAnsi="Times New Roman"/>
          <w:color w:val="1F2937"/>
          <w:sz w:val="22"/>
          <w:szCs w:val="22"/>
        </w:rPr>
        <w:t xml:space="preserve">Voici les signaux concrets à intégrer dans une routine de suivi mensuel :</w:t>
      </w:r>
    </w:p>
    <w:p>
      <w:pPr>
        <w:pStyle w:val="ListParagraph"/>
        <w:numPr>
          <w:ilvl w:val="0"/>
          <w:numId w:val="1"/>
        </w:numPr>
        <w:spacing w:after="80"/>
      </w:pPr>
      <w:r>
        <w:rPr>
          <w:rFonts w:ascii="Times New Roman" w:cs="Times New Roman" w:eastAsia="Times New Roman" w:hAnsi="Times New Roman"/>
          <w:color w:val="1F2937"/>
          <w:sz w:val="22"/>
          <w:szCs w:val="22"/>
        </w:rPr>
        <w:t xml:space="preserve">Taux de churn mensuel en hausse depuis 2 mois consécutifs</w:t>
      </w:r>
    </w:p>
    <w:p>
      <w:pPr>
        <w:pStyle w:val="ListParagraph"/>
        <w:numPr>
          <w:ilvl w:val="0"/>
          <w:numId w:val="1"/>
        </w:numPr>
        <w:spacing w:after="80"/>
      </w:pPr>
      <w:r>
        <w:rPr>
          <w:rFonts w:ascii="Times New Roman" w:cs="Times New Roman" w:eastAsia="Times New Roman" w:hAnsi="Times New Roman"/>
          <w:color w:val="1F2937"/>
          <w:sz w:val="22"/>
          <w:szCs w:val="22"/>
        </w:rPr>
        <w:t xml:space="preserve">Trafic organique en baisse de &gt; 15 % sur 30 jours glissants</w:t>
      </w:r>
    </w:p>
    <w:p>
      <w:pPr>
        <w:pStyle w:val="ListParagraph"/>
        <w:numPr>
          <w:ilvl w:val="0"/>
          <w:numId w:val="1"/>
        </w:numPr>
        <w:spacing w:after="80"/>
      </w:pPr>
      <w:r>
        <w:rPr>
          <w:rFonts w:ascii="Times New Roman" w:cs="Times New Roman" w:eastAsia="Times New Roman" w:hAnsi="Times New Roman"/>
          <w:color w:val="1F2937"/>
          <w:sz w:val="22"/>
          <w:szCs w:val="22"/>
        </w:rPr>
        <w:t xml:space="preserve">Taux de conversion opt-in/achat en baisse sans explication technique</w:t>
      </w:r>
    </w:p>
    <w:p>
      <w:pPr>
        <w:pStyle w:val="ListParagraph"/>
        <w:numPr>
          <w:ilvl w:val="0"/>
          <w:numId w:val="1"/>
        </w:numPr>
        <w:spacing w:after="80"/>
      </w:pPr>
      <w:r>
        <w:rPr>
          <w:rFonts w:ascii="Times New Roman" w:cs="Times New Roman" w:eastAsia="Times New Roman" w:hAnsi="Times New Roman"/>
          <w:color w:val="1F2937"/>
          <w:sz w:val="22"/>
          <w:szCs w:val="22"/>
        </w:rPr>
        <w:t xml:space="preserve">Réduction du commission rate ou des conditions du programme affilié partenaire</w:t>
      </w:r>
    </w:p>
    <w:p>
      <w:pPr>
        <w:pStyle w:val="ListParagraph"/>
        <w:numPr>
          <w:ilvl w:val="0"/>
          <w:numId w:val="1"/>
        </w:numPr>
        <w:spacing w:after="80"/>
      </w:pPr>
      <w:r>
        <w:rPr>
          <w:rFonts w:ascii="Times New Roman" w:cs="Times New Roman" w:eastAsia="Times New Roman" w:hAnsi="Times New Roman"/>
          <w:color w:val="1F2937"/>
          <w:sz w:val="22"/>
          <w:szCs w:val="22"/>
        </w:rPr>
        <w:t xml:space="preserve">Apparition d'un concurrent gratuit couvrant votre fonctionnalité principale</w:t>
      </w:r>
    </w:p>
    <w:p>
      <w:pPr>
        <w:pStyle w:val="ListParagraph"/>
        <w:numPr>
          <w:ilvl w:val="0"/>
          <w:numId w:val="1"/>
        </w:numPr>
        <w:spacing w:after="80"/>
      </w:pPr>
      <w:r>
        <w:rPr>
          <w:rFonts w:ascii="Times New Roman" w:cs="Times New Roman" w:eastAsia="Times New Roman" w:hAnsi="Times New Roman"/>
          <w:color w:val="1F2937"/>
          <w:sz w:val="22"/>
          <w:szCs w:val="22"/>
        </w:rPr>
        <w:t xml:space="preserve">Dépendance à un fournisseur d'API qui modifie sa tarification</w:t>
      </w:r>
    </w:p>
    <w:p>
      <w:pPr>
        <w:pStyle w:val="ListParagraph"/>
        <w:numPr>
          <w:ilvl w:val="0"/>
          <w:numId w:val="1"/>
        </w:numPr>
        <w:spacing w:after="80"/>
      </w:pPr>
      <w:r>
        <w:rPr>
          <w:rFonts w:ascii="Times New Roman" w:cs="Times New Roman" w:eastAsia="Times New Roman" w:hAnsi="Times New Roman"/>
          <w:color w:val="1F2937"/>
          <w:sz w:val="22"/>
          <w:szCs w:val="22"/>
        </w:rPr>
        <w:t xml:space="preserve">Dividende d'une ligne ETF réduit deux trimestres consécutifs</w:t>
      </w:r>
    </w:p>
    <w:p>
      <w:pPr>
        <w:pStyle w:val="ListParagraph"/>
        <w:numPr>
          <w:ilvl w:val="0"/>
          <w:numId w:val="1"/>
        </w:numPr>
        <w:spacing w:after="80"/>
      </w:pPr>
      <w:r>
        <w:rPr>
          <w:rFonts w:ascii="Times New Roman" w:cs="Times New Roman" w:eastAsia="Times New Roman" w:hAnsi="Times New Roman"/>
          <w:color w:val="1F2937"/>
          <w:sz w:val="22"/>
          <w:szCs w:val="22"/>
        </w:rPr>
        <w:t xml:space="preserve">Taux de distribution SCPI en baisse sur deux bilans annuels consécutifs</w:t>
      </w:r>
    </w:p>
    <w:p>
      <w:pPr>
        <w:spacing w:after="80"/>
      </w:pPr>
      <w:r>
        <w:t xml:space="preserve"/>
      </w:r>
    </w:p>
    <w:p>
      <w:pPr>
        <w:pStyle w:val="Heading2"/>
        <w:spacing w:after="120" w:before="360"/>
      </w:pPr>
      <w:r>
        <w:rPr>
          <w:rFonts w:ascii="Times New Roman" w:cs="Times New Roman" w:eastAsia="Times New Roman" w:hAnsi="Times New Roman"/>
          <w:b/>
          <w:bCs/>
          <w:color w:val="1B3A6B"/>
          <w:sz w:val="30"/>
          <w:szCs w:val="30"/>
        </w:rPr>
        <w:t xml:space="preserve">🛠️ Pratique (80 %) — Trois exercices</w:t>
      </w:r>
    </w:p>
    <w:p>
      <w:pPr>
        <w:pStyle w:val="Heading3"/>
        <w:spacing w:after="80" w:before="240"/>
      </w:pPr>
      <w:r>
        <w:rPr>
          <w:rFonts w:ascii="Times New Roman" w:cs="Times New Roman" w:eastAsia="Times New Roman" w:hAnsi="Times New Roman"/>
          <w:b/>
          <w:bCs/>
          <w:color w:val="1F2937"/>
          <w:sz w:val="26"/>
          <w:szCs w:val="26"/>
        </w:rPr>
        <w:t xml:space="preserve">Exercice 1 — Diagnostic de déclin : le blog affilié de Sofia</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Scénario : Sofia a un blog de comparatif d'outils no-code lancé en 2023.</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Trafic organique mensuel : était 12 000 visites/mois en janvier 2026, tombe à 6 800 en septembre.</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Revenu d'affiliation : était 620 €/mois en janvier, tombe à 310 € en septembre.</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Source de trafic : 94 % SEO Google.</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La chute a commencé après une mise à jour Google d'avril 2026.</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Sofia consacre 8 h/semaine à mettre à jour les articles.</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Elle n'a pas de liste email, pas de communauté directe.</w:t>
      </w:r>
    </w:p>
    <w:p>
      <w:pPr>
        <w:spacing w:after="80"/>
      </w:pPr>
      <w:r>
        <w:t xml:space="preserve"/>
      </w:r>
    </w:p>
    <w:p>
      <w:pPr>
        <w:spacing w:after="120"/>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80"/>
      </w:pPr>
      <w:r>
        <w:rPr>
          <w:rFonts w:ascii="Times New Roman" w:cs="Times New Roman" w:eastAsia="Times New Roman" w:hAnsi="Times New Roman"/>
          <w:color w:val="1F2937"/>
          <w:sz w:val="22"/>
          <w:szCs w:val="22"/>
        </w:rPr>
        <w:t xml:space="preserve">1a. Classifiez ce déclin : structurel ou conjoncturel ? Justifiez en 3 lignes.</w:t>
      </w:r>
    </w:p>
    <w:p>
      <w:pPr>
        <w:pStyle w:val="ListParagraph"/>
        <w:numPr>
          <w:ilvl w:val="0"/>
          <w:numId w:val="1"/>
        </w:numPr>
        <w:spacing w:after="80"/>
      </w:pPr>
      <w:r>
        <w:rPr>
          <w:rFonts w:ascii="Times New Roman" w:cs="Times New Roman" w:eastAsia="Times New Roman" w:hAnsi="Times New Roman"/>
          <w:color w:val="1F2937"/>
          <w:sz w:val="22"/>
          <w:szCs w:val="22"/>
        </w:rPr>
        <w:t xml:space="preserve">1b. Identifiez les trois facteurs de durabilité les plus fragiles dans la situation de Sofia.</w:t>
      </w:r>
    </w:p>
    <w:p>
      <w:pPr>
        <w:pStyle w:val="ListParagraph"/>
        <w:numPr>
          <w:ilvl w:val="0"/>
          <w:numId w:val="1"/>
        </w:numPr>
        <w:spacing w:after="80"/>
      </w:pPr>
      <w:r>
        <w:rPr>
          <w:rFonts w:ascii="Times New Roman" w:cs="Times New Roman" w:eastAsia="Times New Roman" w:hAnsi="Times New Roman"/>
          <w:color w:val="1F2937"/>
          <w:sz w:val="22"/>
          <w:szCs w:val="22"/>
        </w:rPr>
        <w:t xml:space="preserve">1c. Proposez deux options concrètes. Pour chaque option, indiquez l'effort requis et la probabilité qu'elle renverse la tendance.</w:t>
      </w:r>
    </w:p>
    <w:p>
      <w:pPr>
        <w:spacing w:after="80"/>
      </w:pPr>
      <w:r>
        <w:t xml:space="preserve"/>
      </w:r>
    </w:p>
    <w:p>
      <w:pPr>
        <w:pStyle w:val="Heading3"/>
        <w:spacing w:after="80" w:before="240"/>
      </w:pPr>
      <w:r>
        <w:rPr>
          <w:rFonts w:ascii="Times New Roman" w:cs="Times New Roman" w:eastAsia="Times New Roman" w:hAnsi="Times New Roman"/>
          <w:b/>
          <w:bCs/>
          <w:color w:val="1F2937"/>
          <w:sz w:val="26"/>
          <w:szCs w:val="26"/>
        </w:rPr>
        <w:t xml:space="preserve">Corrigé exercice 1</w:t>
      </w:r>
    </w:p>
    <w:p>
      <w:pPr>
        <w:spacing w:after="120"/>
      </w:pPr>
      <w:r>
        <w:rPr>
          <w:rFonts w:ascii="Times New Roman" w:cs="Times New Roman" w:eastAsia="Times New Roman" w:hAnsi="Times New Roman"/>
          <w:b/>
          <w:bCs/>
          <w:color w:val="1F2937"/>
          <w:sz w:val="22"/>
          <w:szCs w:val="22"/>
        </w:rPr>
        <w:t xml:space="preserve">1a. Classification :</w:t>
      </w:r>
    </w:p>
    <w:p>
      <w:pPr>
        <w:spacing w:after="120"/>
      </w:pPr>
      <w:r>
        <w:rPr>
          <w:rFonts w:ascii="Times New Roman" w:cs="Times New Roman" w:eastAsia="Times New Roman" w:hAnsi="Times New Roman"/>
          <w:color w:val="1F2937"/>
          <w:sz w:val="22"/>
          <w:szCs w:val="22"/>
        </w:rPr>
        <w:t xml:space="preserve">Le déclin est partiellement conjoncturel (lié à une mise à jour Google spécifique) mais révèle une fragilité structurelle : 94 % de dépendance à une seule source. Un déclin conjoncturel sur base structurellement fragile devient rapidement structurel si rien ne change. Ce modèle avait une vulnérabilité préexistante, l'update l'a juste exposée.</w:t>
      </w:r>
    </w:p>
    <w:p>
      <w:pPr>
        <w:spacing w:after="120"/>
      </w:pPr>
      <w:r>
        <w:rPr>
          <w:rFonts w:ascii="Times New Roman" w:cs="Times New Roman" w:eastAsia="Times New Roman" w:hAnsi="Times New Roman"/>
          <w:b/>
          <w:bCs/>
          <w:color w:val="1F2937"/>
          <w:sz w:val="22"/>
          <w:szCs w:val="22"/>
        </w:rPr>
        <w:t xml:space="preserve">1b. Les trois facteurs les plus fragiles :</w:t>
      </w:r>
    </w:p>
    <w:p>
      <w:pPr>
        <w:pStyle w:val="ListParagraph"/>
        <w:numPr>
          <w:ilvl w:val="0"/>
          <w:numId w:val="1"/>
        </w:numPr>
        <w:spacing w:after="80"/>
      </w:pPr>
      <w:r>
        <w:rPr>
          <w:rFonts w:ascii="Times New Roman" w:cs="Times New Roman" w:eastAsia="Times New Roman" w:hAnsi="Times New Roman"/>
          <w:color w:val="1F2937"/>
          <w:sz w:val="22"/>
          <w:szCs w:val="22"/>
        </w:rPr>
        <w:t xml:space="preserve">Source d'acquisition unique (94 % SEO) — un seul choc = -50 % de trafic</w:t>
      </w:r>
    </w:p>
    <w:p>
      <w:pPr>
        <w:pStyle w:val="ListParagraph"/>
        <w:numPr>
          <w:ilvl w:val="0"/>
          <w:numId w:val="1"/>
        </w:numPr>
        <w:spacing w:after="80"/>
      </w:pPr>
      <w:r>
        <w:rPr>
          <w:rFonts w:ascii="Times New Roman" w:cs="Times New Roman" w:eastAsia="Times New Roman" w:hAnsi="Times New Roman"/>
          <w:color w:val="1F2937"/>
          <w:sz w:val="22"/>
          <w:szCs w:val="22"/>
        </w:rPr>
        <w:t xml:space="preserve">Absence de propriété de l'audience (pas d'email list, pas de communauté directe)</w:t>
      </w:r>
    </w:p>
    <w:p>
      <w:pPr>
        <w:pStyle w:val="ListParagraph"/>
        <w:numPr>
          <w:ilvl w:val="0"/>
          <w:numId w:val="1"/>
        </w:numPr>
        <w:spacing w:after="80"/>
      </w:pPr>
      <w:r>
        <w:rPr>
          <w:rFonts w:ascii="Times New Roman" w:cs="Times New Roman" w:eastAsia="Times New Roman" w:hAnsi="Times New Roman"/>
          <w:color w:val="1F2937"/>
          <w:sz w:val="22"/>
          <w:szCs w:val="22"/>
        </w:rPr>
        <w:t xml:space="preserve">Maintenance réelle élevée (8 h/semaine) pour un revenu en baisse — ratio temps/revenu se dégrade</w:t>
      </w:r>
    </w:p>
    <w:p>
      <w:pPr>
        <w:spacing w:after="120"/>
      </w:pPr>
      <w:r>
        <w:rPr>
          <w:rFonts w:ascii="Times New Roman" w:cs="Times New Roman" w:eastAsia="Times New Roman" w:hAnsi="Times New Roman"/>
          <w:b/>
          <w:bCs/>
          <w:color w:val="1F2937"/>
          <w:sz w:val="22"/>
          <w:szCs w:val="22"/>
        </w:rPr>
        <w:t xml:space="preserve">1c. Deux options :</w:t>
      </w:r>
    </w:p>
    <w:p>
      <w:pPr>
        <w:pStyle w:val="ListParagraph"/>
        <w:numPr>
          <w:ilvl w:val="0"/>
          <w:numId w:val="1"/>
        </w:numPr>
        <w:spacing w:after="80"/>
      </w:pPr>
      <w:r>
        <w:rPr>
          <w:rFonts w:ascii="Times New Roman" w:cs="Times New Roman" w:eastAsia="Times New Roman" w:hAnsi="Times New Roman"/>
          <w:color w:val="1F2937"/>
          <w:sz w:val="22"/>
          <w:szCs w:val="22"/>
        </w:rPr>
        <w:t xml:space="preserve">Option A — Diversifier l'acquisition : lancer une liste email, publier sur LinkedIn/YouTube. Effort : 5 à 8 h/semaine pendant 3 à 6 mois avant résultat. Probabilité de renversement : modérée si le contenu reste pertinent, faible si le secteur no-code est lui-même en saturation.</w:t>
      </w:r>
    </w:p>
    <w:p>
      <w:pPr>
        <w:pStyle w:val="ListParagraph"/>
        <w:numPr>
          <w:ilvl w:val="0"/>
          <w:numId w:val="1"/>
        </w:numPr>
        <w:spacing w:after="80"/>
      </w:pPr>
      <w:r>
        <w:rPr>
          <w:rFonts w:ascii="Times New Roman" w:cs="Times New Roman" w:eastAsia="Times New Roman" w:hAnsi="Times New Roman"/>
          <w:color w:val="1F2937"/>
          <w:sz w:val="22"/>
          <w:szCs w:val="22"/>
        </w:rPr>
        <w:t xml:space="preserve">Option B — Pivoter vers un modèle à audience possédée : newsletter payante, formation courte. Effort : important (refonte du positionnement, nouveau produit). Probabilité : plus élevée à long terme, mais rupture avec le modèle actuel.</w:t>
      </w:r>
    </w:p>
    <w:p>
      <w:pPr>
        <w:spacing w:after="80"/>
      </w:pPr>
      <w:r>
        <w:t xml:space="preserve"/>
      </w:r>
    </w:p>
    <w:p>
      <w:pPr>
        <w:pStyle w:val="Heading3"/>
        <w:spacing w:after="80" w:before="240"/>
      </w:pPr>
      <w:r>
        <w:rPr>
          <w:rFonts w:ascii="Times New Roman" w:cs="Times New Roman" w:eastAsia="Times New Roman" w:hAnsi="Times New Roman"/>
          <w:b/>
          <w:bCs/>
          <w:color w:val="1F2937"/>
          <w:sz w:val="26"/>
          <w:szCs w:val="26"/>
        </w:rPr>
        <w:t xml:space="preserve">Exercice 2 — Construction d'une matrice de durabilité</w:t>
      </w:r>
    </w:p>
    <w:p>
      <w:pPr>
        <w:spacing w:after="120"/>
      </w:pPr>
      <w:r>
        <w:rPr>
          <w:rFonts w:ascii="Times New Roman" w:cs="Times New Roman" w:eastAsia="Times New Roman" w:hAnsi="Times New Roman"/>
          <w:color w:val="1F2937"/>
          <w:sz w:val="22"/>
          <w:szCs w:val="22"/>
        </w:rPr>
        <w:t xml:space="preserve">Utilisez le tableau des six facteurs de durabilité de la théorie. Appliquez-le à ce micro-SaaS fictif :</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Scénario : "InvoiceBot" — outil d'automatisation de relances de factures pour freelances.</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180 abonnés actifs, MRR : 1 620 € (plan unique à 9 €/mois)</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Acquisition : 60 % bouche-à-oreille, 30 % SEO, 10 % LinkedIn</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Churn mensuel : 4,2 %</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Maintenance : 3 h/semaine (support + veille).</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Construit sur l'API d'un seul éditeur de facturation (qui représente 70 % des cas d'usage).</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Aucune donnée propriétaire, pas de communauté.</w:t>
      </w:r>
    </w:p>
    <w:p>
      <w:pPr>
        <w:spacing w:after="80"/>
      </w:pPr>
      <w:r>
        <w:t xml:space="preserve"/>
      </w:r>
    </w:p>
    <w:p>
      <w:pPr>
        <w:spacing w:after="120"/>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80"/>
      </w:pPr>
      <w:r>
        <w:rPr>
          <w:rFonts w:ascii="Times New Roman" w:cs="Times New Roman" w:eastAsia="Times New Roman" w:hAnsi="Times New Roman"/>
          <w:color w:val="1F2937"/>
          <w:sz w:val="22"/>
          <w:szCs w:val="22"/>
        </w:rPr>
        <w:t xml:space="preserve">2a. Notez chaque facteur de durabilité de 1 (très fragile) à 5 (très solide). Justifiez chaque note en une phrase.</w:t>
      </w:r>
    </w:p>
    <w:p>
      <w:pPr>
        <w:pStyle w:val="ListParagraph"/>
        <w:numPr>
          <w:ilvl w:val="0"/>
          <w:numId w:val="1"/>
        </w:numPr>
        <w:spacing w:after="80"/>
      </w:pPr>
      <w:r>
        <w:rPr>
          <w:rFonts w:ascii="Times New Roman" w:cs="Times New Roman" w:eastAsia="Times New Roman" w:hAnsi="Times New Roman"/>
          <w:color w:val="1F2937"/>
          <w:sz w:val="22"/>
          <w:szCs w:val="22"/>
        </w:rPr>
        <w:t xml:space="preserve">2b. Calculez le score total sur 30. Interprétez : modèle fragile (&lt; 15), moyen (15-22), durable (&gt; 22).</w:t>
      </w:r>
    </w:p>
    <w:p>
      <w:pPr>
        <w:pStyle w:val="ListParagraph"/>
        <w:numPr>
          <w:ilvl w:val="0"/>
          <w:numId w:val="1"/>
        </w:numPr>
        <w:spacing w:after="80"/>
      </w:pPr>
      <w:r>
        <w:rPr>
          <w:rFonts w:ascii="Times New Roman" w:cs="Times New Roman" w:eastAsia="Times New Roman" w:hAnsi="Times New Roman"/>
          <w:color w:val="1F2937"/>
          <w:sz w:val="22"/>
          <w:szCs w:val="22"/>
        </w:rPr>
        <w:t xml:space="preserve">2c. Identifiez le facteur le plus urgent à améliorer. Proposez une action concrète.</w:t>
      </w:r>
    </w:p>
    <w:p>
      <w:pPr>
        <w:spacing w:after="80"/>
      </w:pPr>
      <w:r>
        <w:t xml:space="preserve"/>
      </w:r>
    </w:p>
    <w:p>
      <w:pPr>
        <w:pStyle w:val="Heading3"/>
        <w:spacing w:after="80" w:before="240"/>
      </w:pPr>
      <w:r>
        <w:rPr>
          <w:rFonts w:ascii="Times New Roman" w:cs="Times New Roman" w:eastAsia="Times New Roman" w:hAnsi="Times New Roman"/>
          <w:b/>
          <w:bCs/>
          <w:color w:val="1F2937"/>
          <w:sz w:val="26"/>
          <w:szCs w:val="26"/>
        </w:rPr>
        <w:t xml:space="preserve">Corrigé exercice 2</w:t>
      </w:r>
    </w:p>
    <w:p>
      <w:pPr>
        <w:spacing w:after="120"/>
      </w:pPr>
      <w:r>
        <w:rPr>
          <w:rFonts w:ascii="Times New Roman" w:cs="Times New Roman" w:eastAsia="Times New Roman" w:hAnsi="Times New Roman"/>
          <w:b/>
          <w:bCs/>
          <w:color w:val="1F2937"/>
          <w:sz w:val="22"/>
          <w:szCs w:val="22"/>
        </w:rPr>
        <w:t xml:space="preserve">2a. Notes et justifications :</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1B3A6B" w:val="solid"/>
            <w:vAlign w:val="center"/>
          </w:tcPr>
          <w:p>
            <w:pPr>
              <w:jc w:val="center"/>
            </w:pPr>
            <w:r>
              <w:rPr>
                <w:rFonts w:ascii="Times New Roman" w:cs="Times New Roman" w:eastAsia="Times New Roman" w:hAnsi="Times New Roman"/>
                <w:b/>
                <w:bCs/>
                <w:color w:val="FFFFFF"/>
                <w:sz w:val="20"/>
                <w:szCs w:val="20"/>
              </w:rPr>
              <w:t xml:space="preserve">Facteur</w:t>
            </w:r>
          </w:p>
        </w:tc>
        <w:tc>
          <w:tcPr>
            <w:shd w:color="1B3A6B" w:val="solid"/>
            <w:vAlign w:val="center"/>
          </w:tcPr>
          <w:p>
            <w:pPr>
              <w:jc w:val="center"/>
            </w:pPr>
            <w:r>
              <w:rPr>
                <w:rFonts w:ascii="Times New Roman" w:cs="Times New Roman" w:eastAsia="Times New Roman" w:hAnsi="Times New Roman"/>
                <w:b/>
                <w:bCs/>
                <w:color w:val="FFFFFF"/>
                <w:sz w:val="20"/>
                <w:szCs w:val="20"/>
              </w:rPr>
              <w:t xml:space="preserve">Note /5</w:t>
            </w:r>
          </w:p>
        </w:tc>
        <w:tc>
          <w:tcPr>
            <w:shd w:color="1B3A6B" w:val="solid"/>
            <w:vAlign w:val="center"/>
          </w:tcPr>
          <w:p>
            <w:pPr>
              <w:jc w:val="center"/>
            </w:pPr>
            <w:r>
              <w:rPr>
                <w:rFonts w:ascii="Times New Roman" w:cs="Times New Roman" w:eastAsia="Times New Roman" w:hAnsi="Times New Roman"/>
                <w:b/>
                <w:bCs/>
                <w:color w:val="FFFFFF"/>
                <w:sz w:val="20"/>
                <w:szCs w:val="20"/>
              </w:rPr>
              <w:t xml:space="preserve">Justification</w:t>
            </w:r>
          </w:p>
        </w:tc>
      </w:tr>
      <w:tr>
        <w:tc>
          <w:tcPr>
            <w:shd w:color="FFFFFF" w:val="solid"/>
            <w:vAlign w:val="center"/>
          </w:tcPr>
          <w:p>
            <w:r>
              <w:rPr>
                <w:rFonts w:ascii="Times New Roman" w:cs="Times New Roman" w:eastAsia="Times New Roman" w:hAnsi="Times New Roman"/>
                <w:color w:val="1F2937"/>
                <w:sz w:val="20"/>
                <w:szCs w:val="20"/>
              </w:rPr>
              <w:t xml:space="preserve">Profondeur du moat</w:t>
            </w:r>
          </w:p>
        </w:tc>
        <w:tc>
          <w:tcPr>
            <w:shd w:color="FFFFFF" w:val="solid"/>
            <w:vAlign w:val="center"/>
          </w:tcPr>
          <w:p>
            <w:r>
              <w:rPr>
                <w:rFonts w:ascii="Times New Roman" w:cs="Times New Roman" w:eastAsia="Times New Roman" w:hAnsi="Times New Roman"/>
                <w:color w:val="1F2937"/>
                <w:sz w:val="20"/>
                <w:szCs w:val="20"/>
              </w:rPr>
              <w:t xml:space="preserve">2</w:t>
            </w:r>
          </w:p>
        </w:tc>
        <w:tc>
          <w:tcPr>
            <w:shd w:color="FFFFFF" w:val="solid"/>
            <w:vAlign w:val="center"/>
          </w:tcPr>
          <w:p>
            <w:r>
              <w:rPr>
                <w:rFonts w:ascii="Times New Roman" w:cs="Times New Roman" w:eastAsia="Times New Roman" w:hAnsi="Times New Roman"/>
                <w:color w:val="1F2937"/>
                <w:sz w:val="20"/>
                <w:szCs w:val="20"/>
              </w:rPr>
              <w:t xml:space="preserve">Pas de données propriétaires, fonctionnalité facile à copier</w:t>
            </w:r>
          </w:p>
        </w:tc>
      </w:tr>
      <w:tr>
        <w:tc>
          <w:tcPr>
            <w:shd w:color="EEF2F7" w:val="solid"/>
            <w:vAlign w:val="center"/>
          </w:tcPr>
          <w:p>
            <w:r>
              <w:rPr>
                <w:rFonts w:ascii="Times New Roman" w:cs="Times New Roman" w:eastAsia="Times New Roman" w:hAnsi="Times New Roman"/>
                <w:color w:val="1F2937"/>
                <w:sz w:val="20"/>
                <w:szCs w:val="20"/>
              </w:rPr>
              <w:t xml:space="preserve">Diversité des sources d'acquisition</w:t>
            </w:r>
          </w:p>
        </w:tc>
        <w:tc>
          <w:tcPr>
            <w:shd w:color="EEF2F7" w:val="solid"/>
            <w:vAlign w:val="center"/>
          </w:tcPr>
          <w:p>
            <w:r>
              <w:rPr>
                <w:rFonts w:ascii="Times New Roman" w:cs="Times New Roman" w:eastAsia="Times New Roman" w:hAnsi="Times New Roman"/>
                <w:color w:val="1F2937"/>
                <w:sz w:val="20"/>
                <w:szCs w:val="20"/>
              </w:rPr>
              <w:t xml:space="preserve">3</w:t>
            </w:r>
          </w:p>
        </w:tc>
        <w:tc>
          <w:tcPr>
            <w:shd w:color="EEF2F7" w:val="solid"/>
            <w:vAlign w:val="center"/>
          </w:tcPr>
          <w:p>
            <w:r>
              <w:rPr>
                <w:rFonts w:ascii="Times New Roman" w:cs="Times New Roman" w:eastAsia="Times New Roman" w:hAnsi="Times New Roman"/>
                <w:color w:val="1F2937"/>
                <w:sz w:val="20"/>
                <w:szCs w:val="20"/>
              </w:rPr>
              <w:t xml:space="preserve">3 sources mais SEO reste vulnérable, volume modeste</w:t>
            </w:r>
          </w:p>
        </w:tc>
      </w:tr>
      <w:tr>
        <w:tc>
          <w:tcPr>
            <w:shd w:color="FFFFFF" w:val="solid"/>
            <w:vAlign w:val="center"/>
          </w:tcPr>
          <w:p>
            <w:r>
              <w:rPr>
                <w:rFonts w:ascii="Times New Roman" w:cs="Times New Roman" w:eastAsia="Times New Roman" w:hAnsi="Times New Roman"/>
                <w:color w:val="1F2937"/>
                <w:sz w:val="20"/>
                <w:szCs w:val="20"/>
              </w:rPr>
              <w:t xml:space="preserve">Propriété de l'audience</w:t>
            </w:r>
          </w:p>
        </w:tc>
        <w:tc>
          <w:tcPr>
            <w:shd w:color="FFFFFF" w:val="solid"/>
            <w:vAlign w:val="center"/>
          </w:tcPr>
          <w:p>
            <w:r>
              <w:rPr>
                <w:rFonts w:ascii="Times New Roman" w:cs="Times New Roman" w:eastAsia="Times New Roman" w:hAnsi="Times New Roman"/>
                <w:color w:val="1F2937"/>
                <w:sz w:val="20"/>
                <w:szCs w:val="20"/>
              </w:rPr>
              <w:t xml:space="preserve">2</w:t>
            </w:r>
          </w:p>
        </w:tc>
        <w:tc>
          <w:tcPr>
            <w:shd w:color="FFFFFF" w:val="solid"/>
            <w:vAlign w:val="center"/>
          </w:tcPr>
          <w:p>
            <w:r>
              <w:rPr>
                <w:rFonts w:ascii="Times New Roman" w:cs="Times New Roman" w:eastAsia="Times New Roman" w:hAnsi="Times New Roman"/>
                <w:color w:val="1F2937"/>
                <w:sz w:val="20"/>
                <w:szCs w:val="20"/>
              </w:rPr>
              <w:t xml:space="preserve">Pas de liste email, pas de communauté directe</w:t>
            </w:r>
          </w:p>
        </w:tc>
      </w:tr>
      <w:tr>
        <w:tc>
          <w:tcPr>
            <w:shd w:color="EEF2F7" w:val="solid"/>
            <w:vAlign w:val="center"/>
          </w:tcPr>
          <w:p>
            <w:r>
              <w:rPr>
                <w:rFonts w:ascii="Times New Roman" w:cs="Times New Roman" w:eastAsia="Times New Roman" w:hAnsi="Times New Roman"/>
                <w:color w:val="1F2937"/>
                <w:sz w:val="20"/>
                <w:szCs w:val="20"/>
              </w:rPr>
              <w:t xml:space="preserve">Churn mensuel (4,2 %)</w:t>
            </w:r>
          </w:p>
        </w:tc>
        <w:tc>
          <w:tcPr>
            <w:shd w:color="EEF2F7" w:val="solid"/>
            <w:vAlign w:val="center"/>
          </w:tcPr>
          <w:p>
            <w:r>
              <w:rPr>
                <w:rFonts w:ascii="Times New Roman" w:cs="Times New Roman" w:eastAsia="Times New Roman" w:hAnsi="Times New Roman"/>
                <w:color w:val="1F2937"/>
                <w:sz w:val="20"/>
                <w:szCs w:val="20"/>
              </w:rPr>
              <w:t xml:space="preserve">3</w:t>
            </w:r>
          </w:p>
        </w:tc>
        <w:tc>
          <w:tcPr>
            <w:shd w:color="EEF2F7" w:val="solid"/>
            <w:vAlign w:val="center"/>
          </w:tcPr>
          <w:p>
            <w:r>
              <w:rPr>
                <w:rFonts w:ascii="Times New Roman" w:cs="Times New Roman" w:eastAsia="Times New Roman" w:hAnsi="Times New Roman"/>
                <w:color w:val="1F2937"/>
                <w:sz w:val="20"/>
                <w:szCs w:val="20"/>
              </w:rPr>
              <w:t xml:space="preserve">En zone acceptable (&lt; 5 %) mais au-dessus du seuil de confort (&lt; 3 %)</w:t>
            </w:r>
          </w:p>
        </w:tc>
      </w:tr>
      <w:tr>
        <w:tc>
          <w:tcPr>
            <w:shd w:color="FFFFFF" w:val="solid"/>
            <w:vAlign w:val="center"/>
          </w:tcPr>
          <w:p>
            <w:r>
              <w:rPr>
                <w:rFonts w:ascii="Times New Roman" w:cs="Times New Roman" w:eastAsia="Times New Roman" w:hAnsi="Times New Roman"/>
                <w:color w:val="1F2937"/>
                <w:sz w:val="20"/>
                <w:szCs w:val="20"/>
              </w:rPr>
              <w:t xml:space="preserve">Maintenance réelle (3 h/semaine)</w:t>
            </w:r>
          </w:p>
        </w:tc>
        <w:tc>
          <w:tcPr>
            <w:shd w:color="FFFFFF" w:val="solid"/>
            <w:vAlign w:val="center"/>
          </w:tcPr>
          <w:p>
            <w:r>
              <w:rPr>
                <w:rFonts w:ascii="Times New Roman" w:cs="Times New Roman" w:eastAsia="Times New Roman" w:hAnsi="Times New Roman"/>
                <w:color w:val="1F2937"/>
                <w:sz w:val="20"/>
                <w:szCs w:val="20"/>
              </w:rPr>
              <w:t xml:space="preserve">4</w:t>
            </w:r>
          </w:p>
        </w:tc>
        <w:tc>
          <w:tcPr>
            <w:shd w:color="FFFFFF" w:val="solid"/>
            <w:vAlign w:val="center"/>
          </w:tcPr>
          <w:p>
            <w:r>
              <w:rPr>
                <w:rFonts w:ascii="Times New Roman" w:cs="Times New Roman" w:eastAsia="Times New Roman" w:hAnsi="Times New Roman"/>
                <w:color w:val="1F2937"/>
                <w:sz w:val="20"/>
                <w:szCs w:val="20"/>
              </w:rPr>
              <w:t xml:space="preserve">Charge raisonnable pour 1 620 €/mois</w:t>
            </w:r>
          </w:p>
        </w:tc>
      </w:tr>
      <w:tr>
        <w:tc>
          <w:tcPr>
            <w:shd w:color="EEF2F7" w:val="solid"/>
            <w:vAlign w:val="center"/>
          </w:tcPr>
          <w:p>
            <w:r>
              <w:rPr>
                <w:rFonts w:ascii="Times New Roman" w:cs="Times New Roman" w:eastAsia="Times New Roman" w:hAnsi="Times New Roman"/>
                <w:color w:val="1F2937"/>
                <w:sz w:val="20"/>
                <w:szCs w:val="20"/>
              </w:rPr>
              <w:t xml:space="preserve">Indépendance des tiers</w:t>
            </w:r>
          </w:p>
        </w:tc>
        <w:tc>
          <w:tcPr>
            <w:shd w:color="EEF2F7" w:val="solid"/>
            <w:vAlign w:val="center"/>
          </w:tcPr>
          <w:p>
            <w:r>
              <w:rPr>
                <w:rFonts w:ascii="Times New Roman" w:cs="Times New Roman" w:eastAsia="Times New Roman" w:hAnsi="Times New Roman"/>
                <w:color w:val="1F2937"/>
                <w:sz w:val="20"/>
                <w:szCs w:val="20"/>
              </w:rPr>
              <w:t xml:space="preserve">1</w:t>
            </w:r>
          </w:p>
        </w:tc>
        <w:tc>
          <w:tcPr>
            <w:shd w:color="EEF2F7" w:val="solid"/>
            <w:vAlign w:val="center"/>
          </w:tcPr>
          <w:p>
            <w:r>
              <w:rPr>
                <w:rFonts w:ascii="Times New Roman" w:cs="Times New Roman" w:eastAsia="Times New Roman" w:hAnsi="Times New Roman"/>
                <w:color w:val="1F2937"/>
                <w:sz w:val="20"/>
                <w:szCs w:val="20"/>
              </w:rPr>
              <w:t xml:space="preserve">Dépendance à 70 % sur un seul fournisseur d'API — risque critique</w:t>
            </w:r>
          </w:p>
        </w:tc>
      </w:tr>
    </w:tbl>
    <w:p>
      <w:pPr>
        <w:spacing w:after="80"/>
      </w:pPr>
      <w:r>
        <w:t xml:space="preserve"/>
      </w:r>
    </w:p>
    <w:p>
      <w:pPr>
        <w:spacing w:after="120"/>
      </w:pPr>
      <w:r>
        <w:rPr>
          <w:rFonts w:ascii="Times New Roman" w:cs="Times New Roman" w:eastAsia="Times New Roman" w:hAnsi="Times New Roman"/>
          <w:b/>
          <w:bCs/>
          <w:color w:val="1F2937"/>
          <w:sz w:val="22"/>
          <w:szCs w:val="22"/>
        </w:rPr>
        <w:t xml:space="preserve">2b. Score total :</w:t>
      </w:r>
    </w:p>
    <w:p>
      <w:pPr>
        <w:spacing w:after="120"/>
      </w:pPr>
      <w:r>
        <w:rPr>
          <w:rFonts w:ascii="Times New Roman" w:cs="Times New Roman" w:eastAsia="Times New Roman" w:hAnsi="Times New Roman"/>
          <w:color w:val="1F2937"/>
          <w:sz w:val="22"/>
          <w:szCs w:val="22"/>
        </w:rPr>
        <w:t xml:space="preserve">2 + 3 + 2 + 3 + 4 + 1 = 15 / 30 → Modèle moyen, à la limite basse de la durabilité.</w:t>
      </w:r>
    </w:p>
    <w:p>
      <w:pPr>
        <w:spacing w:after="120"/>
      </w:pPr>
      <w:r>
        <w:rPr>
          <w:rFonts w:ascii="Times New Roman" w:cs="Times New Roman" w:eastAsia="Times New Roman" w:hAnsi="Times New Roman"/>
          <w:b/>
          <w:bCs/>
          <w:color w:val="1F2937"/>
          <w:sz w:val="22"/>
          <w:szCs w:val="22"/>
        </w:rPr>
        <w:t xml:space="preserve">2c. Facteur prioritaire :</w:t>
      </w:r>
    </w:p>
    <w:p>
      <w:pPr>
        <w:spacing w:after="120"/>
      </w:pPr>
      <w:r>
        <w:rPr>
          <w:rFonts w:ascii="Times New Roman" w:cs="Times New Roman" w:eastAsia="Times New Roman" w:hAnsi="Times New Roman"/>
          <w:color w:val="1F2937"/>
          <w:sz w:val="22"/>
          <w:szCs w:val="22"/>
        </w:rPr>
        <w:t xml:space="preserve">L'indépendance des tiers (note 1) est le facteur le plus urgent. Action concrète : intégrer un second fournisseur de facturation (par ex. Pennylane ou Freebe) pour ne plus dépendre d'un seul. Objectif : amener ce facteur à 3/5 en réduisant la dépendance unique à &lt; 40 %.</w:t>
      </w:r>
    </w:p>
    <w:p>
      <w:pPr>
        <w:spacing w:after="80"/>
      </w:pPr>
      <w:r>
        <w:t xml:space="preserve"/>
      </w:r>
    </w:p>
    <w:p>
      <w:pPr>
        <w:pStyle w:val="Heading3"/>
        <w:spacing w:after="80" w:before="240"/>
      </w:pPr>
      <w:r>
        <w:rPr>
          <w:rFonts w:ascii="Times New Roman" w:cs="Times New Roman" w:eastAsia="Times New Roman" w:hAnsi="Times New Roman"/>
          <w:b/>
          <w:bCs/>
          <w:color w:val="1F2937"/>
          <w:sz w:val="26"/>
          <w:szCs w:val="26"/>
        </w:rPr>
        <w:t xml:space="preserve">Exercice 3 — Comparaison de durabilité : deux modèles face à face</w:t>
      </w:r>
    </w:p>
    <w:p>
      <w:pPr>
        <w:spacing w:after="120"/>
      </w:pPr>
      <w:r>
        <w:rPr>
          <w:rFonts w:ascii="Times New Roman" w:cs="Times New Roman" w:eastAsia="Times New Roman" w:hAnsi="Times New Roman"/>
          <w:color w:val="1F2937"/>
          <w:sz w:val="22"/>
          <w:szCs w:val="22"/>
        </w:rPr>
        <w:t xml:space="preserve">Comparez ces deux modèles fictifs sur la matrice des six facteurs :</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Modèle A — "Guide PDF : apprendre le Python pour débutants"</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Vendu sur Gumroad, 19 €, sans mise à jour depuis 18 mois.</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3 ventes/mois en ce moment (était 25/mois au lancement il y a 2 ans).</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Zéro maintenance active.</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Modèle B — "La Lettre du Rédacteur Web" — newsletter payante à 12 €/mois</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320 abonnés actifs.</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Churn mensuel : 2,1 %.</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Maintenance : 6 h/semaine (rédaction).</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Audience propriétaire (liste email directe).</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Contenu non remplaçable à court terme par IA (analyse sectorielle personnalisée).</w:t>
      </w:r>
    </w:p>
    <w:p>
      <w:pPr>
        <w:spacing w:after="80"/>
      </w:pPr>
      <w:r>
        <w:t xml:space="preserve"/>
      </w:r>
    </w:p>
    <w:p>
      <w:pPr>
        <w:spacing w:after="120"/>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80"/>
      </w:pPr>
      <w:r>
        <w:rPr>
          <w:rFonts w:ascii="Times New Roman" w:cs="Times New Roman" w:eastAsia="Times New Roman" w:hAnsi="Times New Roman"/>
          <w:color w:val="1F2937"/>
          <w:sz w:val="22"/>
          <w:szCs w:val="22"/>
        </w:rPr>
        <w:t xml:space="preserve">3a. Attribuez un score /30 à chaque modèle. Construisez le tableau des notes.</w:t>
      </w:r>
    </w:p>
    <w:p>
      <w:pPr>
        <w:pStyle w:val="ListParagraph"/>
        <w:numPr>
          <w:ilvl w:val="0"/>
          <w:numId w:val="1"/>
        </w:numPr>
        <w:spacing w:after="80"/>
      </w:pPr>
      <w:r>
        <w:rPr>
          <w:rFonts w:ascii="Times New Roman" w:cs="Times New Roman" w:eastAsia="Times New Roman" w:hAnsi="Times New Roman"/>
          <w:color w:val="1F2937"/>
          <w:sz w:val="22"/>
          <w:szCs w:val="22"/>
        </w:rPr>
        <w:t xml:space="preserve">3b. Lequel est en déclin structurel irréversible ? Lequel a un potentiel de durabilité ? Justifiez.</w:t>
      </w:r>
    </w:p>
    <w:p>
      <w:pPr>
        <w:pStyle w:val="ListParagraph"/>
        <w:numPr>
          <w:ilvl w:val="0"/>
          <w:numId w:val="1"/>
        </w:numPr>
        <w:spacing w:after="80"/>
      </w:pPr>
      <w:r>
        <w:rPr>
          <w:rFonts w:ascii="Times New Roman" w:cs="Times New Roman" w:eastAsia="Times New Roman" w:hAnsi="Times New Roman"/>
          <w:color w:val="1F2937"/>
          <w:sz w:val="22"/>
          <w:szCs w:val="22"/>
        </w:rPr>
        <w:t xml:space="preserve">3c. Quelle serait la prochaine action logique pour chacun ?</w:t>
      </w:r>
    </w:p>
    <w:p>
      <w:pPr>
        <w:spacing w:after="80"/>
      </w:pPr>
      <w:r>
        <w:t xml:space="preserve"/>
      </w:r>
    </w:p>
    <w:p>
      <w:pPr>
        <w:pStyle w:val="Heading3"/>
        <w:spacing w:after="80" w:before="240"/>
      </w:pPr>
      <w:r>
        <w:rPr>
          <w:rFonts w:ascii="Times New Roman" w:cs="Times New Roman" w:eastAsia="Times New Roman" w:hAnsi="Times New Roman"/>
          <w:b/>
          <w:bCs/>
          <w:color w:val="1F2937"/>
          <w:sz w:val="26"/>
          <w:szCs w:val="26"/>
        </w:rPr>
        <w:t xml:space="preserve">Corrigé exercice 3</w:t>
      </w:r>
    </w:p>
    <w:p>
      <w:pPr>
        <w:spacing w:after="120"/>
      </w:pPr>
      <w:r>
        <w:rPr>
          <w:rFonts w:ascii="Times New Roman" w:cs="Times New Roman" w:eastAsia="Times New Roman" w:hAnsi="Times New Roman"/>
          <w:b/>
          <w:bCs/>
          <w:color w:val="1F2937"/>
          <w:sz w:val="22"/>
          <w:szCs w:val="22"/>
        </w:rPr>
        <w:t xml:space="preserve">3a. Scores :</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1B3A6B" w:val="solid"/>
            <w:vAlign w:val="center"/>
          </w:tcPr>
          <w:p>
            <w:pPr>
              <w:jc w:val="center"/>
            </w:pPr>
            <w:r>
              <w:rPr>
                <w:rFonts w:ascii="Times New Roman" w:cs="Times New Roman" w:eastAsia="Times New Roman" w:hAnsi="Times New Roman"/>
                <w:b/>
                <w:bCs/>
                <w:color w:val="FFFFFF"/>
                <w:sz w:val="20"/>
                <w:szCs w:val="20"/>
              </w:rPr>
              <w:t xml:space="preserve">Facteur</w:t>
            </w:r>
          </w:p>
        </w:tc>
        <w:tc>
          <w:tcPr>
            <w:shd w:color="1B3A6B" w:val="solid"/>
            <w:vAlign w:val="center"/>
          </w:tcPr>
          <w:p>
            <w:pPr>
              <w:jc w:val="center"/>
            </w:pPr>
            <w:r>
              <w:rPr>
                <w:rFonts w:ascii="Times New Roman" w:cs="Times New Roman" w:eastAsia="Times New Roman" w:hAnsi="Times New Roman"/>
                <w:b/>
                <w:bCs/>
                <w:color w:val="FFFFFF"/>
                <w:sz w:val="20"/>
                <w:szCs w:val="20"/>
              </w:rPr>
              <w:t xml:space="preserve">Modèle A (guide PDF)</w:t>
            </w:r>
          </w:p>
        </w:tc>
        <w:tc>
          <w:tcPr>
            <w:shd w:color="1B3A6B" w:val="solid"/>
            <w:vAlign w:val="center"/>
          </w:tcPr>
          <w:p>
            <w:pPr>
              <w:jc w:val="center"/>
            </w:pPr>
            <w:r>
              <w:rPr>
                <w:rFonts w:ascii="Times New Roman" w:cs="Times New Roman" w:eastAsia="Times New Roman" w:hAnsi="Times New Roman"/>
                <w:b/>
                <w:bCs/>
                <w:color w:val="FFFFFF"/>
                <w:sz w:val="20"/>
                <w:szCs w:val="20"/>
              </w:rPr>
              <w:t xml:space="preserve">Modèle B (newsletter)</w:t>
            </w:r>
          </w:p>
        </w:tc>
      </w:tr>
      <w:tr>
        <w:tc>
          <w:tcPr>
            <w:shd w:color="FFFFFF" w:val="solid"/>
            <w:vAlign w:val="center"/>
          </w:tcPr>
          <w:p>
            <w:r>
              <w:rPr>
                <w:rFonts w:ascii="Times New Roman" w:cs="Times New Roman" w:eastAsia="Times New Roman" w:hAnsi="Times New Roman"/>
                <w:color w:val="1F2937"/>
                <w:sz w:val="20"/>
                <w:szCs w:val="20"/>
              </w:rPr>
              <w:t xml:space="preserve">Profondeur du moat</w:t>
            </w:r>
          </w:p>
        </w:tc>
        <w:tc>
          <w:tcPr>
            <w:shd w:color="FFFFFF" w:val="solid"/>
            <w:vAlign w:val="center"/>
          </w:tcPr>
          <w:p>
            <w:r>
              <w:rPr>
                <w:rFonts w:ascii="Times New Roman" w:cs="Times New Roman" w:eastAsia="Times New Roman" w:hAnsi="Times New Roman"/>
                <w:color w:val="1F2937"/>
                <w:sz w:val="20"/>
                <w:szCs w:val="20"/>
              </w:rPr>
              <w:t xml:space="preserve">1 (contenu générique, daté)</w:t>
            </w:r>
          </w:p>
        </w:tc>
        <w:tc>
          <w:tcPr>
            <w:shd w:color="FFFFFF" w:val="solid"/>
            <w:vAlign w:val="center"/>
          </w:tcPr>
          <w:p>
            <w:r>
              <w:rPr>
                <w:rFonts w:ascii="Times New Roman" w:cs="Times New Roman" w:eastAsia="Times New Roman" w:hAnsi="Times New Roman"/>
                <w:color w:val="1F2937"/>
                <w:sz w:val="20"/>
                <w:szCs w:val="20"/>
              </w:rPr>
              <w:t xml:space="preserve">4 (voix unique, analyse personnalisée)</w:t>
            </w:r>
          </w:p>
        </w:tc>
      </w:tr>
      <w:tr>
        <w:tc>
          <w:tcPr>
            <w:shd w:color="EEF2F7" w:val="solid"/>
            <w:vAlign w:val="center"/>
          </w:tcPr>
          <w:p>
            <w:r>
              <w:rPr>
                <w:rFonts w:ascii="Times New Roman" w:cs="Times New Roman" w:eastAsia="Times New Roman" w:hAnsi="Times New Roman"/>
                <w:color w:val="1F2937"/>
                <w:sz w:val="20"/>
                <w:szCs w:val="20"/>
              </w:rPr>
              <w:t xml:space="preserve">Diversité sources d'acquisition</w:t>
            </w:r>
          </w:p>
        </w:tc>
        <w:tc>
          <w:tcPr>
            <w:shd w:color="EEF2F7" w:val="solid"/>
            <w:vAlign w:val="center"/>
          </w:tcPr>
          <w:p>
            <w:r>
              <w:rPr>
                <w:rFonts w:ascii="Times New Roman" w:cs="Times New Roman" w:eastAsia="Times New Roman" w:hAnsi="Times New Roman"/>
                <w:color w:val="1F2937"/>
                <w:sz w:val="20"/>
                <w:szCs w:val="20"/>
              </w:rPr>
              <w:t xml:space="preserve">1 (passif total, plus de promo)</w:t>
            </w:r>
          </w:p>
        </w:tc>
        <w:tc>
          <w:tcPr>
            <w:shd w:color="EEF2F7" w:val="solid"/>
            <w:vAlign w:val="center"/>
          </w:tcPr>
          <w:p>
            <w:r>
              <w:rPr>
                <w:rFonts w:ascii="Times New Roman" w:cs="Times New Roman" w:eastAsia="Times New Roman" w:hAnsi="Times New Roman"/>
                <w:color w:val="1F2937"/>
                <w:sz w:val="20"/>
                <w:szCs w:val="20"/>
              </w:rPr>
              <w:t xml:space="preserve">3 (bouche-à-oreille + SEO modeste)</w:t>
            </w:r>
          </w:p>
        </w:tc>
      </w:tr>
      <w:tr>
        <w:tc>
          <w:tcPr>
            <w:shd w:color="FFFFFF" w:val="solid"/>
            <w:vAlign w:val="center"/>
          </w:tcPr>
          <w:p>
            <w:r>
              <w:rPr>
                <w:rFonts w:ascii="Times New Roman" w:cs="Times New Roman" w:eastAsia="Times New Roman" w:hAnsi="Times New Roman"/>
                <w:color w:val="1F2937"/>
                <w:sz w:val="20"/>
                <w:szCs w:val="20"/>
              </w:rPr>
              <w:t xml:space="preserve">Propriété de l'audience</w:t>
            </w:r>
          </w:p>
        </w:tc>
        <w:tc>
          <w:tcPr>
            <w:shd w:color="FFFFFF" w:val="solid"/>
            <w:vAlign w:val="center"/>
          </w:tcPr>
          <w:p>
            <w:r>
              <w:rPr>
                <w:rFonts w:ascii="Times New Roman" w:cs="Times New Roman" w:eastAsia="Times New Roman" w:hAnsi="Times New Roman"/>
                <w:color w:val="1F2937"/>
                <w:sz w:val="20"/>
                <w:szCs w:val="20"/>
              </w:rPr>
              <w:t xml:space="preserve">1 (aucune relation directe)</w:t>
            </w:r>
          </w:p>
        </w:tc>
        <w:tc>
          <w:tcPr>
            <w:shd w:color="FFFFFF" w:val="solid"/>
            <w:vAlign w:val="center"/>
          </w:tcPr>
          <w:p>
            <w:r>
              <w:rPr>
                <w:rFonts w:ascii="Times New Roman" w:cs="Times New Roman" w:eastAsia="Times New Roman" w:hAnsi="Times New Roman"/>
                <w:color w:val="1F2937"/>
                <w:sz w:val="20"/>
                <w:szCs w:val="20"/>
              </w:rPr>
              <w:t xml:space="preserve">5 (liste email propriétaire)</w:t>
            </w:r>
          </w:p>
        </w:tc>
      </w:tr>
      <w:tr>
        <w:tc>
          <w:tcPr>
            <w:shd w:color="EEF2F7" w:val="solid"/>
            <w:vAlign w:val="center"/>
          </w:tcPr>
          <w:p>
            <w:r>
              <w:rPr>
                <w:rFonts w:ascii="Times New Roman" w:cs="Times New Roman" w:eastAsia="Times New Roman" w:hAnsi="Times New Roman"/>
                <w:color w:val="1F2937"/>
                <w:sz w:val="20"/>
                <w:szCs w:val="20"/>
              </w:rPr>
              <w:t xml:space="preserve">Churn mensuel</w:t>
            </w:r>
          </w:p>
        </w:tc>
        <w:tc>
          <w:tcPr>
            <w:shd w:color="EEF2F7" w:val="solid"/>
            <w:vAlign w:val="center"/>
          </w:tcPr>
          <w:p>
            <w:r>
              <w:rPr>
                <w:rFonts w:ascii="Times New Roman" w:cs="Times New Roman" w:eastAsia="Times New Roman" w:hAnsi="Times New Roman"/>
                <w:color w:val="1F2937"/>
                <w:sz w:val="20"/>
                <w:szCs w:val="20"/>
              </w:rPr>
              <w:t xml:space="preserve">1 (3 ventes/mois vs 25 = -88 %)</w:t>
            </w:r>
          </w:p>
        </w:tc>
        <w:tc>
          <w:tcPr>
            <w:shd w:color="EEF2F7" w:val="solid"/>
            <w:vAlign w:val="center"/>
          </w:tcPr>
          <w:p>
            <w:r>
              <w:rPr>
                <w:rFonts w:ascii="Times New Roman" w:cs="Times New Roman" w:eastAsia="Times New Roman" w:hAnsi="Times New Roman"/>
                <w:color w:val="1F2937"/>
                <w:sz w:val="20"/>
                <w:szCs w:val="20"/>
              </w:rPr>
              <w:t xml:space="preserve">5 (2,1 % = excellent)</w:t>
            </w:r>
          </w:p>
        </w:tc>
      </w:tr>
      <w:tr>
        <w:tc>
          <w:tcPr>
            <w:shd w:color="FFFFFF" w:val="solid"/>
            <w:vAlign w:val="center"/>
          </w:tcPr>
          <w:p>
            <w:r>
              <w:rPr>
                <w:rFonts w:ascii="Times New Roman" w:cs="Times New Roman" w:eastAsia="Times New Roman" w:hAnsi="Times New Roman"/>
                <w:color w:val="1F2937"/>
                <w:sz w:val="20"/>
                <w:szCs w:val="20"/>
              </w:rPr>
              <w:t xml:space="preserve">Maintenance réelle</w:t>
            </w:r>
          </w:p>
        </w:tc>
        <w:tc>
          <w:tcPr>
            <w:shd w:color="FFFFFF" w:val="solid"/>
            <w:vAlign w:val="center"/>
          </w:tcPr>
          <w:p>
            <w:r>
              <w:rPr>
                <w:rFonts w:ascii="Times New Roman" w:cs="Times New Roman" w:eastAsia="Times New Roman" w:hAnsi="Times New Roman"/>
                <w:color w:val="1F2937"/>
                <w:sz w:val="20"/>
                <w:szCs w:val="20"/>
              </w:rPr>
              <w:t xml:space="preserve">5 (0 h/semaine)</w:t>
            </w:r>
          </w:p>
        </w:tc>
        <w:tc>
          <w:tcPr>
            <w:shd w:color="FFFFFF" w:val="solid"/>
            <w:vAlign w:val="center"/>
          </w:tcPr>
          <w:p>
            <w:r>
              <w:rPr>
                <w:rFonts w:ascii="Times New Roman" w:cs="Times New Roman" w:eastAsia="Times New Roman" w:hAnsi="Times New Roman"/>
                <w:color w:val="1F2937"/>
                <w:sz w:val="20"/>
                <w:szCs w:val="20"/>
              </w:rPr>
              <w:t xml:space="preserve">3 (6 h/semaine — limite haute du passif)</w:t>
            </w:r>
          </w:p>
        </w:tc>
      </w:tr>
      <w:tr>
        <w:tc>
          <w:tcPr>
            <w:shd w:color="EEF2F7" w:val="solid"/>
            <w:vAlign w:val="center"/>
          </w:tcPr>
          <w:p>
            <w:r>
              <w:rPr>
                <w:rFonts w:ascii="Times New Roman" w:cs="Times New Roman" w:eastAsia="Times New Roman" w:hAnsi="Times New Roman"/>
                <w:color w:val="1F2937"/>
                <w:sz w:val="20"/>
                <w:szCs w:val="20"/>
              </w:rPr>
              <w:t xml:space="preserve">Indépendance des tiers</w:t>
            </w:r>
          </w:p>
        </w:tc>
        <w:tc>
          <w:tcPr>
            <w:shd w:color="EEF2F7" w:val="solid"/>
            <w:vAlign w:val="center"/>
          </w:tcPr>
          <w:p>
            <w:r>
              <w:rPr>
                <w:rFonts w:ascii="Times New Roman" w:cs="Times New Roman" w:eastAsia="Times New Roman" w:hAnsi="Times New Roman"/>
                <w:color w:val="1F2937"/>
                <w:sz w:val="20"/>
                <w:szCs w:val="20"/>
              </w:rPr>
              <w:t xml:space="preserve">2 (dépend de Gumroad)</w:t>
            </w:r>
          </w:p>
        </w:tc>
        <w:tc>
          <w:tcPr>
            <w:shd w:color="EEF2F7" w:val="solid"/>
            <w:vAlign w:val="center"/>
          </w:tcPr>
          <w:p>
            <w:r>
              <w:rPr>
                <w:rFonts w:ascii="Times New Roman" w:cs="Times New Roman" w:eastAsia="Times New Roman" w:hAnsi="Times New Roman"/>
                <w:color w:val="1F2937"/>
                <w:sz w:val="20"/>
                <w:szCs w:val="20"/>
              </w:rPr>
              <w:t xml:space="preserve">4 (email direct, hébergement propre)</w:t>
            </w:r>
          </w:p>
        </w:tc>
      </w:tr>
      <w:tr>
        <w:tc>
          <w:tcPr>
            <w:shd w:color="FFFFFF" w:val="solid"/>
            <w:vAlign w:val="center"/>
          </w:tcPr>
          <w:p>
            <w:r>
              <w:rPr>
                <w:rFonts w:ascii="Times New Roman" w:cs="Times New Roman" w:eastAsia="Times New Roman" w:hAnsi="Times New Roman"/>
                <w:color w:val="1F2937"/>
                <w:sz w:val="20"/>
                <w:szCs w:val="20"/>
              </w:rPr>
              <w:t xml:space="preserve">TOTAL /30</w:t>
            </w:r>
          </w:p>
        </w:tc>
        <w:tc>
          <w:tcPr>
            <w:shd w:color="FFFFFF" w:val="solid"/>
            <w:vAlign w:val="center"/>
          </w:tcPr>
          <w:p>
            <w:r>
              <w:rPr>
                <w:rFonts w:ascii="Times New Roman" w:cs="Times New Roman" w:eastAsia="Times New Roman" w:hAnsi="Times New Roman"/>
                <w:color w:val="1F2937"/>
                <w:sz w:val="20"/>
                <w:szCs w:val="20"/>
              </w:rPr>
              <w:t xml:space="preserve">11 / 30 — Fragile</w:t>
            </w:r>
          </w:p>
        </w:tc>
        <w:tc>
          <w:tcPr>
            <w:shd w:color="FFFFFF" w:val="solid"/>
            <w:vAlign w:val="center"/>
          </w:tcPr>
          <w:p>
            <w:r>
              <w:rPr>
                <w:rFonts w:ascii="Times New Roman" w:cs="Times New Roman" w:eastAsia="Times New Roman" w:hAnsi="Times New Roman"/>
                <w:color w:val="1F2937"/>
                <w:sz w:val="20"/>
                <w:szCs w:val="20"/>
              </w:rPr>
              <w:t xml:space="preserve">24 / 30 — Durable</w:t>
            </w:r>
          </w:p>
        </w:tc>
      </w:tr>
    </w:tbl>
    <w:p>
      <w:pPr>
        <w:spacing w:after="80"/>
      </w:pPr>
      <w:r>
        <w:t xml:space="preserve"/>
      </w:r>
    </w:p>
    <w:p>
      <w:pPr>
        <w:spacing w:after="120"/>
      </w:pPr>
      <w:r>
        <w:rPr>
          <w:rFonts w:ascii="Times New Roman" w:cs="Times New Roman" w:eastAsia="Times New Roman" w:hAnsi="Times New Roman"/>
          <w:b/>
          <w:bCs/>
          <w:color w:val="1F2937"/>
          <w:sz w:val="22"/>
          <w:szCs w:val="22"/>
        </w:rPr>
        <w:t xml:space="preserve">3b. Déclin structurel / potentiel de durabilité :</w:t>
      </w:r>
    </w:p>
    <w:p>
      <w:pPr>
        <w:spacing w:after="120"/>
      </w:pPr>
      <w:r>
        <w:rPr>
          <w:rFonts w:ascii="Times New Roman" w:cs="Times New Roman" w:eastAsia="Times New Roman" w:hAnsi="Times New Roman"/>
          <w:color w:val="1F2937"/>
          <w:sz w:val="22"/>
          <w:szCs w:val="22"/>
        </w:rPr>
        <w:t xml:space="preserve">Modèle A : déclin structurel irréversible. Le contenu date de 2 ans dans un domaine (Python pour débutants) où des ressources gratuites de qualité supérieure sont légion. La chute de 25 à 3 ventes/mois sur 2 ans est un signal de fin de cycle, pas un creux temporaire. Sans mise à jour majeure et sans relance active, il s'approche de zéro.</w:t>
      </w:r>
    </w:p>
    <w:p>
      <w:pPr>
        <w:spacing w:after="120"/>
      </w:pPr>
      <w:r>
        <w:rPr>
          <w:rFonts w:ascii="Times New Roman" w:cs="Times New Roman" w:eastAsia="Times New Roman" w:hAnsi="Times New Roman"/>
          <w:color w:val="1F2937"/>
          <w:sz w:val="22"/>
          <w:szCs w:val="22"/>
        </w:rPr>
        <w:t xml:space="preserve">Modèle B : fort potentiel de durabilité. Audience propriétaire, churn bas, moat cognitif (analyse personnalisée difficile à automatiser à court terme). Le seul risque est la charge de 6 h/semaine qui en fait un modèle semi-actif plutôt que passif pur.</w:t>
      </w:r>
    </w:p>
    <w:p>
      <w:pPr>
        <w:spacing w:after="120"/>
      </w:pPr>
      <w:r>
        <w:rPr>
          <w:rFonts w:ascii="Times New Roman" w:cs="Times New Roman" w:eastAsia="Times New Roman" w:hAnsi="Times New Roman"/>
          <w:b/>
          <w:bCs/>
          <w:color w:val="1F2937"/>
          <w:sz w:val="22"/>
          <w:szCs w:val="22"/>
        </w:rPr>
        <w:t xml:space="preserve">3c. Actions logiques :</w:t>
      </w:r>
    </w:p>
    <w:p>
      <w:pPr>
        <w:pStyle w:val="ListParagraph"/>
        <w:numPr>
          <w:ilvl w:val="0"/>
          <w:numId w:val="1"/>
        </w:numPr>
        <w:spacing w:after="80"/>
      </w:pPr>
      <w:r>
        <w:rPr>
          <w:rFonts w:ascii="Times New Roman" w:cs="Times New Roman" w:eastAsia="Times New Roman" w:hAnsi="Times New Roman"/>
          <w:color w:val="1F2937"/>
          <w:sz w:val="22"/>
          <w:szCs w:val="22"/>
        </w:rPr>
        <w:t xml:space="preserve">Modèle A : soit mise à jour complète + relance marketing (effort élevé, rendement incertain), soit arrêt et redirection du trafic résiduel vers un autre produit.</w:t>
      </w:r>
    </w:p>
    <w:p>
      <w:pPr>
        <w:pStyle w:val="ListParagraph"/>
        <w:numPr>
          <w:ilvl w:val="0"/>
          <w:numId w:val="1"/>
        </w:numPr>
        <w:spacing w:after="80"/>
      </w:pPr>
      <w:r>
        <w:rPr>
          <w:rFonts w:ascii="Times New Roman" w:cs="Times New Roman" w:eastAsia="Times New Roman" w:hAnsi="Times New Roman"/>
          <w:color w:val="1F2937"/>
          <w:sz w:val="22"/>
          <w:szCs w:val="22"/>
        </w:rPr>
        <w:t xml:space="preserve">Modèle B : consolider l'audience, augmenter le prix progressivement (de 12 à 15-17 €/mois en testant le taux de churn), documenter les processus pour réduire le temps de maintenance.</w:t>
      </w:r>
    </w:p>
    <w:p>
      <w:pPr>
        <w:spacing w:after="80"/>
      </w:pPr>
      <w:r>
        <w:t xml:space="preserve"/>
      </w:r>
    </w:p>
    <w:p>
      <w:pPr>
        <w:pStyle w:val="Heading2"/>
        <w:spacing w:after="120" w:before="360"/>
      </w:pPr>
      <w:r>
        <w:rPr>
          <w:rFonts w:ascii="Times New Roman" w:cs="Times New Roman" w:eastAsia="Times New Roman" w:hAnsi="Times New Roman"/>
          <w:b/>
          <w:bCs/>
          <w:color w:val="1B3A6B"/>
          <w:sz w:val="30"/>
          <w:szCs w:val="30"/>
        </w:rPr>
        <w:t xml:space="preserve">🎯 Challenge — Matrice de décision pour un portefeuille à trois modèles</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Scénario de synthèse :</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Vous avez trois modèles actifs :</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1. SCPI Perial PF Hospitalité (fictive) — taux de distribution annoncé : 4,50 % en 2024.</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Signal : taux de distribution était à 5,20 % en 2022, 4,80 % en 2023, 4,50 % en 2024.</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Contexte : vacance en hausse dans l'immobilier de bureau/santé, taux directeurs toujours élevés.</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2. Micro-SaaS "CRMlite" — 220 abonnés à 29 €/mois, MRR : 6 380 €.</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Signal : churn = 5,8 % mensuel. Concurrent gratuit lancé il y a 3 mois couvre 80 % des fonctionnalités.</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3. Ebook "Débuter en Notion en 2023" — 8 ventes/mois, était à 40/mois au lancement en 2023.</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Signal : titre contient une année dépassée, commentaires récents : "guide périmé".</w:t>
      </w:r>
    </w:p>
    <w:p>
      <w:pPr>
        <w:spacing w:after="80"/>
      </w:pPr>
      <w:r>
        <w:t xml:space="preserve"/>
      </w:r>
    </w:p>
    <w:p>
      <w:pPr>
        <w:spacing w:after="120"/>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80"/>
      </w:pPr>
      <w:r>
        <w:rPr>
          <w:rFonts w:ascii="Times New Roman" w:cs="Times New Roman" w:eastAsia="Times New Roman" w:hAnsi="Times New Roman"/>
          <w:color w:val="1F2937"/>
          <w:sz w:val="22"/>
          <w:szCs w:val="22"/>
        </w:rPr>
        <w:t xml:space="preserve">C1. Pour chaque modèle, diagnostiquez : déclin structurel irréversible / déclin conjoncturel traitable / plateau à surveiller.</w:t>
      </w:r>
    </w:p>
    <w:p>
      <w:pPr>
        <w:pStyle w:val="ListParagraph"/>
        <w:numPr>
          <w:ilvl w:val="0"/>
          <w:numId w:val="1"/>
        </w:numPr>
        <w:spacing w:after="80"/>
      </w:pPr>
      <w:r>
        <w:rPr>
          <w:rFonts w:ascii="Times New Roman" w:cs="Times New Roman" w:eastAsia="Times New Roman" w:hAnsi="Times New Roman"/>
          <w:color w:val="1F2937"/>
          <w:sz w:val="22"/>
          <w:szCs w:val="22"/>
        </w:rPr>
        <w:t xml:space="preserve">C2. Construisez la matrice de décision (Maintenir tel quel / Adapter / Pivoter / Sortir) pour chacun, avec la justification et l'horizon temporel.</w:t>
      </w:r>
    </w:p>
    <w:p>
      <w:pPr>
        <w:pStyle w:val="ListParagraph"/>
        <w:numPr>
          <w:ilvl w:val="0"/>
          <w:numId w:val="1"/>
        </w:numPr>
        <w:spacing w:after="80"/>
      </w:pPr>
      <w:r>
        <w:rPr>
          <w:rFonts w:ascii="Times New Roman" w:cs="Times New Roman" w:eastAsia="Times New Roman" w:hAnsi="Times New Roman"/>
          <w:color w:val="1F2937"/>
          <w:sz w:val="22"/>
          <w:szCs w:val="22"/>
        </w:rPr>
        <w:t xml:space="preserve">C3. Quelle est la priorité d'action n°1 sur l'ensemble du portefeuille ?</w:t>
      </w:r>
    </w:p>
    <w:p>
      <w:pPr>
        <w:spacing w:after="80"/>
      </w:pPr>
      <w:r>
        <w:t xml:space="preserve"/>
      </w:r>
    </w:p>
    <w:p>
      <w:pPr>
        <w:pStyle w:val="Heading3"/>
        <w:spacing w:after="80" w:before="240"/>
      </w:pPr>
      <w:r>
        <w:rPr>
          <w:rFonts w:ascii="Times New Roman" w:cs="Times New Roman" w:eastAsia="Times New Roman" w:hAnsi="Times New Roman"/>
          <w:b/>
          <w:bCs/>
          <w:color w:val="1F2937"/>
          <w:sz w:val="26"/>
          <w:szCs w:val="26"/>
        </w:rPr>
        <w:t xml:space="preserve">Corrigé du challenge</w:t>
      </w:r>
    </w:p>
    <w:p>
      <w:pPr>
        <w:spacing w:after="120"/>
      </w:pPr>
      <w:r>
        <w:rPr>
          <w:rFonts w:ascii="Times New Roman" w:cs="Times New Roman" w:eastAsia="Times New Roman" w:hAnsi="Times New Roman"/>
          <w:b/>
          <w:bCs/>
          <w:color w:val="1F2937"/>
          <w:sz w:val="22"/>
          <w:szCs w:val="22"/>
        </w:rPr>
        <w:t xml:space="preserve">C1. Diagnostic par modèle :</w:t>
      </w:r>
    </w:p>
    <w:p>
      <w:pPr>
        <w:pStyle w:val="ListParagraph"/>
        <w:numPr>
          <w:ilvl w:val="0"/>
          <w:numId w:val="1"/>
        </w:numPr>
        <w:spacing w:after="80"/>
      </w:pPr>
      <w:r>
        <w:rPr>
          <w:rFonts w:ascii="Times New Roman" w:cs="Times New Roman" w:eastAsia="Times New Roman" w:hAnsi="Times New Roman"/>
          <w:color w:val="1F2937"/>
          <w:sz w:val="22"/>
          <w:szCs w:val="22"/>
        </w:rPr>
        <w:t xml:space="preserve">SCPI : déclin conjoncturel traitable. La baisse du taux de distribution (5,20 % → 4,50 % en 2 ans) est significative mais pas catastrophique. Elle reflète un contexte macro (taux directeurs, vacance) qui peut s'inverser. Ce n'est pas une déroute — c'est une vigilance à renforcer.</w:t>
      </w:r>
    </w:p>
    <w:p>
      <w:pPr>
        <w:pStyle w:val="ListParagraph"/>
        <w:numPr>
          <w:ilvl w:val="0"/>
          <w:numId w:val="1"/>
        </w:numPr>
        <w:spacing w:after="80"/>
      </w:pPr>
      <w:r>
        <w:rPr>
          <w:rFonts w:ascii="Times New Roman" w:cs="Times New Roman" w:eastAsia="Times New Roman" w:hAnsi="Times New Roman"/>
          <w:color w:val="1F2937"/>
          <w:sz w:val="22"/>
          <w:szCs w:val="22"/>
        </w:rPr>
        <w:t xml:space="preserve">CRMlite : déclin structurel potentiellement irréversible. Un churn de 5,8 % mensuel composé sur 12 mois donne (1 − 0,058)^12 = 0,942^12 ≈ 0,488, soit environ 51 % de la base perdue en un an sans compensation. Sur un bimestre : 1 − 0,942^2 ≈ 11,3 %. La présence d'un concurrent gratuit couvrant 80 % des cas d'usage est un signal de commoditisation — le modèle tel quel n'est plus défendable.</w:t>
      </w:r>
    </w:p>
    <w:p>
      <w:pPr>
        <w:pStyle w:val="ListParagraph"/>
        <w:numPr>
          <w:ilvl w:val="0"/>
          <w:numId w:val="1"/>
        </w:numPr>
        <w:spacing w:after="80"/>
      </w:pPr>
      <w:r>
        <w:rPr>
          <w:rFonts w:ascii="Times New Roman" w:cs="Times New Roman" w:eastAsia="Times New Roman" w:hAnsi="Times New Roman"/>
          <w:color w:val="1F2937"/>
          <w:sz w:val="22"/>
          <w:szCs w:val="22"/>
        </w:rPr>
        <w:t xml:space="preserve">Ebook : déclin structurel irréversible. Chute de 40 à 8 ventes/mois sur 3 ans, titre périmé, retours négatifs sur la pertinence. Ce modèle est en fin de vie.</w:t>
      </w:r>
    </w:p>
    <w:p>
      <w:pPr>
        <w:spacing w:after="80"/>
      </w:pPr>
      <w:r>
        <w:t xml:space="preserve"/>
      </w:r>
    </w:p>
    <w:p>
      <w:pPr>
        <w:spacing w:after="120"/>
      </w:pPr>
      <w:r>
        <w:rPr>
          <w:rFonts w:ascii="Times New Roman" w:cs="Times New Roman" w:eastAsia="Times New Roman" w:hAnsi="Times New Roman"/>
          <w:b/>
          <w:bCs/>
          <w:color w:val="1F2937"/>
          <w:sz w:val="22"/>
          <w:szCs w:val="22"/>
        </w:rPr>
        <w:t xml:space="preserve">C2. Matrice de décision :</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1B3A6B" w:val="solid"/>
            <w:vAlign w:val="center"/>
          </w:tcPr>
          <w:p>
            <w:pPr>
              <w:jc w:val="center"/>
            </w:pPr>
            <w:r>
              <w:rPr>
                <w:rFonts w:ascii="Times New Roman" w:cs="Times New Roman" w:eastAsia="Times New Roman" w:hAnsi="Times New Roman"/>
                <w:b/>
                <w:bCs/>
                <w:color w:val="FFFFFF"/>
                <w:sz w:val="20"/>
                <w:szCs w:val="20"/>
              </w:rPr>
              <w:t xml:space="preserve">Modèle</w:t>
            </w:r>
          </w:p>
        </w:tc>
        <w:tc>
          <w:tcPr>
            <w:shd w:color="1B3A6B" w:val="solid"/>
            <w:vAlign w:val="center"/>
          </w:tcPr>
          <w:p>
            <w:pPr>
              <w:jc w:val="center"/>
            </w:pPr>
            <w:r>
              <w:rPr>
                <w:rFonts w:ascii="Times New Roman" w:cs="Times New Roman" w:eastAsia="Times New Roman" w:hAnsi="Times New Roman"/>
                <w:b/>
                <w:bCs/>
                <w:color w:val="FFFFFF"/>
                <w:sz w:val="20"/>
                <w:szCs w:val="20"/>
              </w:rPr>
              <w:t xml:space="preserve">Décision</w:t>
            </w:r>
          </w:p>
        </w:tc>
        <w:tc>
          <w:tcPr>
            <w:shd w:color="1B3A6B" w:val="solid"/>
            <w:vAlign w:val="center"/>
          </w:tcPr>
          <w:p>
            <w:pPr>
              <w:jc w:val="center"/>
            </w:pPr>
            <w:r>
              <w:rPr>
                <w:rFonts w:ascii="Times New Roman" w:cs="Times New Roman" w:eastAsia="Times New Roman" w:hAnsi="Times New Roman"/>
                <w:b/>
                <w:bCs/>
                <w:color w:val="FFFFFF"/>
                <w:sz w:val="20"/>
                <w:szCs w:val="20"/>
              </w:rPr>
              <w:t xml:space="preserve">Justification</w:t>
            </w:r>
          </w:p>
        </w:tc>
        <w:tc>
          <w:tcPr>
            <w:shd w:color="1B3A6B" w:val="solid"/>
            <w:vAlign w:val="center"/>
          </w:tcPr>
          <w:p>
            <w:pPr>
              <w:jc w:val="center"/>
            </w:pPr>
            <w:r>
              <w:rPr>
                <w:rFonts w:ascii="Times New Roman" w:cs="Times New Roman" w:eastAsia="Times New Roman" w:hAnsi="Times New Roman"/>
                <w:b/>
                <w:bCs/>
                <w:color w:val="FFFFFF"/>
                <w:sz w:val="20"/>
                <w:szCs w:val="20"/>
              </w:rPr>
              <w:t xml:space="preserve">Horizon</w:t>
            </w:r>
          </w:p>
        </w:tc>
      </w:tr>
      <w:tr>
        <w:tc>
          <w:tcPr>
            <w:shd w:color="FFFFFF" w:val="solid"/>
            <w:vAlign w:val="center"/>
          </w:tcPr>
          <w:p>
            <w:r>
              <w:rPr>
                <w:rFonts w:ascii="Times New Roman" w:cs="Times New Roman" w:eastAsia="Times New Roman" w:hAnsi="Times New Roman"/>
                <w:color w:val="1F2937"/>
                <w:sz w:val="20"/>
                <w:szCs w:val="20"/>
              </w:rPr>
              <w:t xml:space="preserve">SCPI</w:t>
            </w:r>
          </w:p>
        </w:tc>
        <w:tc>
          <w:tcPr>
            <w:shd w:color="FFFFFF" w:val="solid"/>
            <w:vAlign w:val="center"/>
          </w:tcPr>
          <w:p>
            <w:r>
              <w:rPr>
                <w:rFonts w:ascii="Times New Roman" w:cs="Times New Roman" w:eastAsia="Times New Roman" w:hAnsi="Times New Roman"/>
                <w:color w:val="1F2937"/>
                <w:sz w:val="20"/>
                <w:szCs w:val="20"/>
              </w:rPr>
              <w:t xml:space="preserve">Maintenir + surveiller</w:t>
            </w:r>
          </w:p>
        </w:tc>
        <w:tc>
          <w:tcPr>
            <w:shd w:color="FFFFFF" w:val="solid"/>
            <w:vAlign w:val="center"/>
          </w:tcPr>
          <w:p>
            <w:r>
              <w:rPr>
                <w:rFonts w:ascii="Times New Roman" w:cs="Times New Roman" w:eastAsia="Times New Roman" w:hAnsi="Times New Roman"/>
                <w:color w:val="1F2937"/>
                <w:sz w:val="20"/>
                <w:szCs w:val="20"/>
              </w:rPr>
              <w:t xml:space="preserve">Déclin conjoncturel, actif de long terme, pas de signal de capitulation</w:t>
            </w:r>
          </w:p>
        </w:tc>
        <w:tc>
          <w:tcPr>
            <w:shd w:color="FFFFFF" w:val="solid"/>
            <w:vAlign w:val="center"/>
          </w:tcPr>
          <w:p>
            <w:r>
              <w:rPr>
                <w:rFonts w:ascii="Times New Roman" w:cs="Times New Roman" w:eastAsia="Times New Roman" w:hAnsi="Times New Roman"/>
                <w:color w:val="1F2937"/>
                <w:sz w:val="20"/>
                <w:szCs w:val="20"/>
              </w:rPr>
              <w:t xml:space="preserve">Réévaluer dans 12 mois sur base du bilan annuel 2026</w:t>
            </w:r>
          </w:p>
        </w:tc>
      </w:tr>
      <w:tr>
        <w:tc>
          <w:tcPr>
            <w:shd w:color="EEF2F7" w:val="solid"/>
            <w:vAlign w:val="center"/>
          </w:tcPr>
          <w:p>
            <w:r>
              <w:rPr>
                <w:rFonts w:ascii="Times New Roman" w:cs="Times New Roman" w:eastAsia="Times New Roman" w:hAnsi="Times New Roman"/>
                <w:color w:val="1F2937"/>
                <w:sz w:val="20"/>
                <w:szCs w:val="20"/>
              </w:rPr>
              <w:t xml:space="preserve">CRMlite</w:t>
            </w:r>
          </w:p>
        </w:tc>
        <w:tc>
          <w:tcPr>
            <w:shd w:color="EEF2F7" w:val="solid"/>
            <w:vAlign w:val="center"/>
          </w:tcPr>
          <w:p>
            <w:r>
              <w:rPr>
                <w:rFonts w:ascii="Times New Roman" w:cs="Times New Roman" w:eastAsia="Times New Roman" w:hAnsi="Times New Roman"/>
                <w:color w:val="1F2937"/>
                <w:sz w:val="20"/>
                <w:szCs w:val="20"/>
              </w:rPr>
              <w:t xml:space="preserve">Adapter ou pivoter</w:t>
            </w:r>
          </w:p>
        </w:tc>
        <w:tc>
          <w:tcPr>
            <w:shd w:color="EEF2F7" w:val="solid"/>
            <w:vAlign w:val="center"/>
          </w:tcPr>
          <w:p>
            <w:r>
              <w:rPr>
                <w:rFonts w:ascii="Times New Roman" w:cs="Times New Roman" w:eastAsia="Times New Roman" w:hAnsi="Times New Roman"/>
                <w:color w:val="1F2937"/>
                <w:sz w:val="20"/>
                <w:szCs w:val="20"/>
              </w:rPr>
              <w:t xml:space="preserve">Réorienter vers une niche non couverte par le concurrent gratuit, ou vendre le SaaS maintenant (avant que la base s'effondre davantage)</w:t>
            </w:r>
          </w:p>
        </w:tc>
        <w:tc>
          <w:tcPr>
            <w:shd w:color="EEF2F7" w:val="solid"/>
            <w:vAlign w:val="center"/>
          </w:tcPr>
          <w:p>
            <w:r>
              <w:rPr>
                <w:rFonts w:ascii="Times New Roman" w:cs="Times New Roman" w:eastAsia="Times New Roman" w:hAnsi="Times New Roman"/>
                <w:color w:val="1F2937"/>
                <w:sz w:val="20"/>
                <w:szCs w:val="20"/>
              </w:rPr>
              <w:t xml:space="preserve">Décision dans 60 à 90 jours maximum</w:t>
            </w:r>
          </w:p>
        </w:tc>
      </w:tr>
      <w:tr>
        <w:tc>
          <w:tcPr>
            <w:shd w:color="FFFFFF" w:val="solid"/>
            <w:vAlign w:val="center"/>
          </w:tcPr>
          <w:p>
            <w:r>
              <w:rPr>
                <w:rFonts w:ascii="Times New Roman" w:cs="Times New Roman" w:eastAsia="Times New Roman" w:hAnsi="Times New Roman"/>
                <w:color w:val="1F2937"/>
                <w:sz w:val="20"/>
                <w:szCs w:val="20"/>
              </w:rPr>
              <w:t xml:space="preserve">Ebook</w:t>
            </w:r>
          </w:p>
        </w:tc>
        <w:tc>
          <w:tcPr>
            <w:shd w:color="FFFFFF" w:val="solid"/>
            <w:vAlign w:val="center"/>
          </w:tcPr>
          <w:p>
            <w:r>
              <w:rPr>
                <w:rFonts w:ascii="Times New Roman" w:cs="Times New Roman" w:eastAsia="Times New Roman" w:hAnsi="Times New Roman"/>
                <w:color w:val="1F2937"/>
                <w:sz w:val="20"/>
                <w:szCs w:val="20"/>
              </w:rPr>
              <w:t xml:space="preserve">Sortir</w:t>
            </w:r>
          </w:p>
        </w:tc>
        <w:tc>
          <w:tcPr>
            <w:shd w:color="FFFFFF" w:val="solid"/>
            <w:vAlign w:val="center"/>
          </w:tcPr>
          <w:p>
            <w:r>
              <w:rPr>
                <w:rFonts w:ascii="Times New Roman" w:cs="Times New Roman" w:eastAsia="Times New Roman" w:hAnsi="Times New Roman"/>
                <w:color w:val="1F2937"/>
                <w:sz w:val="20"/>
                <w:szCs w:val="20"/>
              </w:rPr>
              <w:t xml:space="preserve">Fin de cycle documentée, plus de moat, coût de refonte &gt; espérance de gain</w:t>
            </w:r>
          </w:p>
        </w:tc>
        <w:tc>
          <w:tcPr>
            <w:shd w:color="FFFFFF" w:val="solid"/>
            <w:vAlign w:val="center"/>
          </w:tcPr>
          <w:p>
            <w:r>
              <w:rPr>
                <w:rFonts w:ascii="Times New Roman" w:cs="Times New Roman" w:eastAsia="Times New Roman" w:hAnsi="Times New Roman"/>
                <w:color w:val="1F2937"/>
                <w:sz w:val="20"/>
                <w:szCs w:val="20"/>
              </w:rPr>
              <w:t xml:space="preserve">Retirer ou archiver sous 30 jours</w:t>
            </w:r>
          </w:p>
        </w:tc>
      </w:tr>
    </w:tbl>
    <w:p>
      <w:pPr>
        <w:spacing w:after="80"/>
      </w:pPr>
      <w:r>
        <w:t xml:space="preserve"/>
      </w:r>
    </w:p>
    <w:p>
      <w:pPr>
        <w:spacing w:after="120"/>
      </w:pPr>
      <w:r>
        <w:rPr>
          <w:rFonts w:ascii="Times New Roman" w:cs="Times New Roman" w:eastAsia="Times New Roman" w:hAnsi="Times New Roman"/>
          <w:b/>
          <w:bCs/>
          <w:color w:val="1F2937"/>
          <w:sz w:val="22"/>
          <w:szCs w:val="22"/>
        </w:rPr>
        <w:t xml:space="preserve">C3. Priorité n°1 du portefeuille :</w:t>
      </w:r>
    </w:p>
    <w:p>
      <w:pPr>
        <w:spacing w:after="120"/>
      </w:pPr>
      <w:r>
        <w:rPr>
          <w:rFonts w:ascii="Times New Roman" w:cs="Times New Roman" w:eastAsia="Times New Roman" w:hAnsi="Times New Roman"/>
          <w:color w:val="1F2937"/>
          <w:sz w:val="22"/>
          <w:szCs w:val="22"/>
        </w:rPr>
        <w:t xml:space="preserve">CRMlite est la priorité absolue. C'est le modèle avec le MRR le plus élevé (6 380 €/mois) ET le plus en danger (churn 5,8 % + concurrent gratuit). Chaque mois d'inaction = base d'abonnés réduite. La décision doit être prise rapidement : soit trouver une niche défendable non couverte par le concurrent, soit préparer une vente sur une marketplace (Acquire.com, Flippa) pendant que la base est encore significative.</w:t>
      </w:r>
    </w:p>
    <w:p>
      <w:pPr>
        <w:spacing w:after="80"/>
      </w:pPr>
      <w:r>
        <w:t xml:space="preserve"/>
      </w:r>
    </w:p>
    <w:p>
      <w:pPr>
        <w:pStyle w:val="Heading2"/>
        <w:spacing w:after="120" w:before="360"/>
      </w:pPr>
      <w:r>
        <w:rPr>
          <w:rFonts w:ascii="Times New Roman" w:cs="Times New Roman" w:eastAsia="Times New Roman" w:hAnsi="Times New Roman"/>
          <w:b/>
          <w:bCs/>
          <w:color w:val="1B3A6B"/>
          <w:sz w:val="30"/>
          <w:szCs w:val="30"/>
        </w:rPr>
        <w:t xml:space="preserve">📚 Ressources cliquables</w:t>
      </w:r>
    </w:p>
    <w:p>
      <w:pPr>
        <w:spacing w:after="120"/>
      </w:pPr>
      <w:r>
        <w:rPr>
          <w:rFonts w:ascii="Times New Roman" w:cs="Times New Roman" w:eastAsia="Times New Roman" w:hAnsi="Times New Roman"/>
          <w:color w:val="1F2937"/>
          <w:sz w:val="22"/>
          <w:szCs w:val="22"/>
        </w:rPr>
        <w:t xml:space="preserve">Toutes les ressources ci-dessous ont été testées (HTTP 200) lors de cette exécution.</w:t>
      </w:r>
    </w:p>
    <w:p>
      <w:pPr>
        <w:spacing w:after="80"/>
      </w:pPr>
      <w:r>
        <w:t xml:space="preserve"/>
      </w:r>
    </w:p>
    <w:p>
      <w:pPr>
        <w:spacing w:after="120"/>
      </w:pPr>
      <w:r>
        <w:rPr>
          <w:rFonts w:ascii="Times New Roman" w:cs="Times New Roman" w:eastAsia="Times New Roman" w:hAnsi="Times New Roman"/>
          <w:b/>
          <w:bCs/>
          <w:color w:val="1F2937"/>
          <w:sz w:val="22"/>
          <w:szCs w:val="22"/>
        </w:rPr>
        <w:t xml:space="preserve">Données micro-SaaS vérifiées lors de cette exécution :</w:t>
      </w:r>
    </w:p>
    <w:p>
      <w:pPr>
        <w:spacing w:after="100"/>
      </w:pPr>
      <w:r>
        <w:rPr>
          <w:rFonts w:ascii="Times New Roman" w:cs="Times New Roman" w:eastAsia="Times New Roman" w:hAnsi="Times New Roman"/>
          <w:color w:val="1F2937"/>
          <w:sz w:val="22"/>
          <w:szCs w:val="22"/>
        </w:rPr>
        <w:t xml:space="preserve">• </w:t>
      </w:r>
      <w:hyperlink w:history="1" r:id="rIdzdrhzeesepbqprgm0wknp">
        <w:r>
          <w:rPr>
            <w:rFonts w:ascii="Times New Roman" w:cs="Times New Roman" w:eastAsia="Times New Roman" w:hAnsi="Times New Roman"/>
            <w:color w:val="1155CC"/>
            <w:sz w:val="22"/>
            <w:szCs w:val="22"/>
            <w:u w:val="single"/>
          </w:rPr>
          <w:t xml:space="preserve">Groundwork Blog — The Economics of Micro-SaaS: Real Numbers (mai 2026)</w:t>
        </w:r>
      </w:hyperlink>
      <w:r>
        <w:rPr>
          <w:rFonts w:ascii="Times New Roman" w:cs="Times New Roman" w:eastAsia="Times New Roman" w:hAnsi="Times New Roman"/>
          <w:color w:val="1F2937"/>
          <w:sz w:val="22"/>
          <w:szCs w:val="22"/>
        </w:rPr>
        <w:t xml:space="preserve"> — Distribution des revenus de 1 000+ produits, médiane, temps au seuil.</w:t>
      </w:r>
    </w:p>
    <w:p>
      <w:pPr>
        <w:spacing w:after="100"/>
      </w:pPr>
      <w:r>
        <w:rPr>
          <w:rFonts w:ascii="Times New Roman" w:cs="Times New Roman" w:eastAsia="Times New Roman" w:hAnsi="Times New Roman"/>
          <w:color w:val="1F2937"/>
          <w:sz w:val="22"/>
          <w:szCs w:val="22"/>
        </w:rPr>
        <w:t xml:space="preserve">• </w:t>
      </w:r>
      <w:hyperlink w:history="1" r:id="rIdisx66sih8tnocudjii4qz">
        <w:r>
          <w:rPr>
            <w:rFonts w:ascii="Times New Roman" w:cs="Times New Roman" w:eastAsia="Times New Roman" w:hAnsi="Times New Roman"/>
            <w:color w:val="1155CC"/>
            <w:sz w:val="22"/>
            <w:szCs w:val="22"/>
            <w:u w:val="single"/>
          </w:rPr>
          <w:t xml:space="preserve">shno.co — Micro SaaS Launch Statistics for 2026</w:t>
        </w:r>
      </w:hyperlink>
      <w:r>
        <w:rPr>
          <w:rFonts w:ascii="Times New Roman" w:cs="Times New Roman" w:eastAsia="Times New Roman" w:hAnsi="Times New Roman"/>
          <w:color w:val="1F2937"/>
          <w:sz w:val="22"/>
          <w:szCs w:val="22"/>
        </w:rPr>
        <w:t xml:space="preserve"> — Taille de marché ($15,7B → $59,6B), données de lancement. Note : cite 70 % &lt;1 000 $/mois (vs &lt;500 $/mois chez groundworkblog pour la même source RockingWeb — discordance à considérer).</w:t>
      </w:r>
    </w:p>
    <w:p>
      <w:pPr>
        <w:spacing w:after="80"/>
      </w:pPr>
      <w:r>
        <w:t xml:space="preserve"/>
      </w:r>
    </w:p>
    <w:p>
      <w:pPr>
        <w:spacing w:after="120"/>
      </w:pPr>
      <w:r>
        <w:rPr>
          <w:rFonts w:ascii="Times New Roman" w:cs="Times New Roman" w:eastAsia="Times New Roman" w:hAnsi="Times New Roman"/>
          <w:b/>
          <w:bCs/>
          <w:color w:val="1F2937"/>
          <w:sz w:val="22"/>
          <w:szCs w:val="22"/>
        </w:rPr>
        <w:t xml:space="preserve">Protection des épargnants (AMF) :</w:t>
      </w:r>
    </w:p>
    <w:p>
      <w:pPr>
        <w:spacing w:after="100"/>
      </w:pPr>
      <w:r>
        <w:rPr>
          <w:rFonts w:ascii="Times New Roman" w:cs="Times New Roman" w:eastAsia="Times New Roman" w:hAnsi="Times New Roman"/>
          <w:color w:val="1F2937"/>
          <w:sz w:val="22"/>
          <w:szCs w:val="22"/>
        </w:rPr>
        <w:t xml:space="preserve">• </w:t>
      </w:r>
      <w:hyperlink w:history="1" r:id="rIdiosduirxebwqo0wd9jknl">
        <w:r>
          <w:rPr>
            <w:rFonts w:ascii="Times New Roman" w:cs="Times New Roman" w:eastAsia="Times New Roman" w:hAnsi="Times New Roman"/>
            <w:color w:val="1155CC"/>
            <w:sz w:val="22"/>
            <w:szCs w:val="22"/>
            <w:u w:val="single"/>
          </w:rPr>
          <w:t xml:space="preserve">AMF — Listes noires et mises en garde</w:t>
        </w:r>
      </w:hyperlink>
      <w:r>
        <w:rPr>
          <w:rFonts w:ascii="Times New Roman" w:cs="Times New Roman" w:eastAsia="Times New Roman" w:hAnsi="Times New Roman"/>
          <w:color w:val="1F2937"/>
          <w:sz w:val="22"/>
          <w:szCs w:val="22"/>
        </w:rPr>
        <w:t xml:space="preserve"> — Forex, options binaires, crypto, placements atypiques, usurpations d'identité. Mis à jour en septembre 2026.</w:t>
      </w:r>
    </w:p>
    <w:p>
      <w:pPr>
        <w:spacing w:after="100"/>
      </w:pPr>
      <w:r>
        <w:rPr>
          <w:rFonts w:ascii="Times New Roman" w:cs="Times New Roman" w:eastAsia="Times New Roman" w:hAnsi="Times New Roman"/>
          <w:color w:val="1F2937"/>
          <w:sz w:val="22"/>
          <w:szCs w:val="22"/>
        </w:rPr>
        <w:t xml:space="preserve">• </w:t>
      </w:r>
      <w:hyperlink w:history="1" r:id="rIdbza3bsqvanh1atbup2fop">
        <w:r>
          <w:rPr>
            <w:rFonts w:ascii="Times New Roman" w:cs="Times New Roman" w:eastAsia="Times New Roman" w:hAnsi="Times New Roman"/>
            <w:color w:val="1155CC"/>
            <w:sz w:val="22"/>
            <w:szCs w:val="22"/>
            <w:u w:val="single"/>
          </w:rPr>
          <w:t xml:space="preserve">AMF — Espace épargnants</w:t>
        </w:r>
      </w:hyperlink>
      <w:r>
        <w:rPr>
          <w:rFonts w:ascii="Times New Roman" w:cs="Times New Roman" w:eastAsia="Times New Roman" w:hAnsi="Times New Roman"/>
          <w:color w:val="1F2937"/>
          <w:sz w:val="22"/>
          <w:szCs w:val="22"/>
        </w:rPr>
        <w:t xml:space="preserve"> — Simulateurs, FAQ, Épargne Info Service (01 53 45 62 00).</w:t>
      </w:r>
    </w:p>
    <w:p>
      <w:pPr>
        <w:spacing w:after="80"/>
      </w:pPr>
      <w:r>
        <w:t xml:space="preserve"/>
      </w:r>
    </w:p>
    <w:p>
      <w:pPr>
        <w:spacing w:after="120"/>
      </w:pPr>
      <w:r>
        <w:rPr>
          <w:rFonts w:ascii="Times New Roman" w:cs="Times New Roman" w:eastAsia="Times New Roman" w:hAnsi="Times New Roman"/>
          <w:b/>
          <w:bCs/>
          <w:color w:val="1F2937"/>
          <w:sz w:val="22"/>
          <w:szCs w:val="22"/>
        </w:rPr>
        <w:t xml:space="preserve">Communauté IndieHackers (retours d'expérience réels) :</w:t>
      </w:r>
    </w:p>
    <w:p>
      <w:pPr>
        <w:spacing w:after="100"/>
      </w:pPr>
      <w:r>
        <w:rPr>
          <w:rFonts w:ascii="Times New Roman" w:cs="Times New Roman" w:eastAsia="Times New Roman" w:hAnsi="Times New Roman"/>
          <w:color w:val="1F2937"/>
          <w:sz w:val="22"/>
          <w:szCs w:val="22"/>
        </w:rPr>
        <w:t xml:space="preserve">• </w:t>
      </w:r>
      <w:hyperlink w:history="1" r:id="rId6mefifqmo2lix2ddywqj0">
        <w:r>
          <w:rPr>
            <w:rFonts w:ascii="Times New Roman" w:cs="Times New Roman" w:eastAsia="Times New Roman" w:hAnsi="Times New Roman"/>
            <w:color w:val="1155CC"/>
            <w:sz w:val="22"/>
            <w:szCs w:val="22"/>
            <w:u w:val="single"/>
          </w:rPr>
          <w:t xml:space="preserve">IndieHackers — Everyone Talks About AI Passive Income. Very Few Talk About What Happens After Month 1</w:t>
        </w:r>
      </w:hyperlink>
    </w:p>
    <w:p>
      <w:pPr>
        <w:spacing w:after="100"/>
      </w:pPr>
      <w:r>
        <w:rPr>
          <w:rFonts w:ascii="Times New Roman" w:cs="Times New Roman" w:eastAsia="Times New Roman" w:hAnsi="Times New Roman"/>
          <w:color w:val="1F2937"/>
          <w:sz w:val="22"/>
          <w:szCs w:val="22"/>
        </w:rPr>
        <w:t xml:space="preserve">• </w:t>
      </w:r>
      <w:hyperlink w:history="1" r:id="rIdsvwewd4cggy6wk-gzh4vx">
        <w:r>
          <w:rPr>
            <w:rFonts w:ascii="Times New Roman" w:cs="Times New Roman" w:eastAsia="Times New Roman" w:hAnsi="Times New Roman"/>
            <w:color w:val="1155CC"/>
            <w:sz w:val="22"/>
            <w:szCs w:val="22"/>
            <w:u w:val="single"/>
          </w:rPr>
          <w:t xml:space="preserve">IndieHackers — How Multiple Income Streams Are Actually Built Online in 2026 (The Modern Operator Model)</w:t>
        </w:r>
      </w:hyperlink>
    </w:p>
    <w:p>
      <w:pPr>
        <w:spacing w:after="80"/>
      </w:pPr>
      <w:r>
        <w:t xml:space="preserve"/>
      </w:r>
    </w:p>
    <w:p>
      <w:pPr>
        <w:pStyle w:val="Heading2"/>
        <w:spacing w:after="120" w:before="360"/>
      </w:pPr>
      <w:r>
        <w:rPr>
          <w:rFonts w:ascii="Times New Roman" w:cs="Times New Roman" w:eastAsia="Times New Roman" w:hAnsi="Times New Roman"/>
          <w:b/>
          <w:bCs/>
          <w:color w:val="1B3A6B"/>
          <w:sz w:val="30"/>
          <w:szCs w:val="30"/>
        </w:rPr>
        <w:t xml:space="preserve">🏁 Fin du parcours — Et maintenant ?</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C'est la dernière leçon du parcours « Revenus passifs » en 10 semaines.</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Vous avez couvert l'intégralité de la feuille de route : des définitions jusqu'à la matrice de décision finale. Ce que vous avez maintenant :</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Une compréhension réaliste des mécanismes — sans promesses ni naïveté.</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Des outils concrets : les trois intrants, la matrice des six facteurs, les signaux d'alerte, la décision de portefeuille.</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Un cadre de pensée critique : taux d'échec réels, coûts cachés, fiscalité, signaux d'arnaque.</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La prochaine étape est la vôtre : identifier un modèle candidat, appliquer les critères de durabilité, et tester à petite échelle avant tout engagement significatif.</w:t>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
      </w:r>
    </w:p>
    <w:p>
      <w:pPr>
        <w:pBdr>
          <w:left w:val="thick" w:color="1B3A6B" w:sz="12"/>
        </w:pBdr>
        <w:shd w:color="EEF2F7" w:val="solid"/>
        <w:spacing w:after="100" w:before="100"/>
        <w:ind w:left="240" w:right="240"/>
      </w:pPr>
      <w:r>
        <w:rPr>
          <w:rFonts w:ascii="Times New Roman" w:cs="Times New Roman" w:eastAsia="Times New Roman" w:hAnsi="Times New Roman"/>
          <w:i/>
          <w:iCs/>
          <w:color w:val="1F2937"/>
          <w:sz w:val="22"/>
          <w:szCs w:val="22"/>
        </w:rPr>
        <w:t xml:space="preserve">Parcours terminé — 10 / 10.</w:t>
      </w:r>
    </w:p>
    <w:p>
      <w:pPr>
        <w:spacing w:after="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drhzeesepbqprgm0wknp" Type="http://schemas.openxmlformats.org/officeDocument/2006/relationships/hyperlink" Target="https://groundworkblog.com/articles/economics-of-micro-saas-businesses" TargetMode="External"/><Relationship Id="rIdisx66sih8tnocudjii4qz" Type="http://schemas.openxmlformats.org/officeDocument/2006/relationships/hyperlink" Target="https://www.shno.co/marketing-statistics/micro-saas-launch-statistics" TargetMode="External"/><Relationship Id="rIdiosduirxebwqo0wd9jknl" Type="http://schemas.openxmlformats.org/officeDocument/2006/relationships/hyperlink" Target="https://www.amf-france.org/fr/espace-epargnants/proteger-son-epargne/listes-noires-et-mises-en-garde" TargetMode="External"/><Relationship Id="rIdbza3bsqvanh1atbup2fop" Type="http://schemas.openxmlformats.org/officeDocument/2006/relationships/hyperlink" Target="https://www.amf-france.org/fr/espace-epargnants" TargetMode="External"/><Relationship Id="rId6mefifqmo2lix2ddywqj0" Type="http://schemas.openxmlformats.org/officeDocument/2006/relationships/hyperlink" Target="https://www.indiehackers.com/post/everyone-talks-about-ai-passive-income-very-few-talk-about-what-happens-after-month-1-681cb901b5" TargetMode="External"/><Relationship Id="rIdsvwewd4cggy6wk-gzh4vx" Type="http://schemas.openxmlformats.org/officeDocument/2006/relationships/hyperlink" Target="https://www.indiehackers.com/post/how-multiple-income-streams-are-actually-built-online-in-2026-the-modern-operator-model-fc0301547e"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2026-09-27T05:11:50.723Z</dcterms:created>
  <dcterms:modified xsi:type="dcterms:W3CDTF">2026-09-27T05:11:50.724Z</dcterms:modified>
</cp:coreProperties>
</file>

<file path=docProps/custom.xml><?xml version="1.0" encoding="utf-8"?>
<Properties xmlns="http://schemas.openxmlformats.org/officeDocument/2006/custom-properties" xmlns:vt="http://schemas.openxmlformats.org/officeDocument/2006/docPropsVTypes"/>
</file>