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1B3A6B"/>
          <w:sz w:val="52"/>
          <w:szCs w:val="52"/>
        </w:rPr>
        <w:t xml:space="preserve">Leçon Dzogchen n°04 — Les trois préceptes de Garab Dorje (Tsik Sum Nedek)</w:t>
      </w:r>
    </w:p>
    <w:p>
      <w:pPr>
        <w:spacing w:after="240" w:before="0"/>
        <w:jc w:val="center"/>
      </w:pPr>
      <w:r>
        <w:rPr>
          <w:rFonts w:ascii="Times New Roman" w:cs="Times New Roman" w:eastAsia="Times New Roman" w:hAnsi="Times New Roman"/>
          <w:i/>
          <w:iCs/>
          <w:color w:val="6B7280"/>
          <w:sz w:val="20"/>
          <w:szCs w:val="20"/>
        </w:rPr>
        <w:t xml:space="preserve">2026-06-30  ·  Module Fondamental — leçon 04/12</w:t>
      </w:r>
    </w:p>
    <w:p>
      <w:pPr>
        <w:spacing w:after="160" w:before="160"/>
        <w:jc w:val="center"/>
      </w:pPr>
      <w:r>
        <w:rPr>
          <w:color w:val="D1D5DB"/>
          <w:sz w:val="18"/>
          <w:szCs w:val="18"/>
        </w:rPr>
        <w:t xml:space="preserve">─────────────────────────────────────────</w:t>
      </w:r>
    </w:p>
    <w:p>
      <w:pPr>
        <w:pStyle w:val="Heading2"/>
        <w:spacing w:after="10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la fin de cette leçon, tu sauras formuler les trois préceptes de Garab Dorje, comprendre leur logique interne et t'exercer à la première reconnaissance de rigpa qu'ils pointent.</w:t>
      </w:r>
    </w:p>
    <w:p>
      <w:pPr>
        <w:spacing w:after="80" w:before="80"/>
      </w:pPr>
      <w:r>
        <w:rPr>
          <w:rFonts w:ascii="Times New Roman" w:cs="Times New Roman" w:eastAsia="Times New Roman" w:hAnsi="Times New Roman"/>
          <w:color w:val="1F2937"/>
          <w:sz w:val="22"/>
          <w:szCs w:val="22"/>
        </w:rPr>
        <w:t xml:space="preserve">Leçon précédente (n°03) : La Base (gzhi) — pureté primordiale (kadag) et présence spontanée (lhundrub). Les trois préceptes sont la clé pratique permettant d'entrer dans cette Base : ils décrivent comment la reconnaître, s'y maintenir et faire confiance à sa puissance libératrice.</w:t>
      </w:r>
    </w:p>
    <w:p>
      <w:pPr>
        <w:spacing w:after="160" w:before="160"/>
        <w:jc w:val="center"/>
      </w:pPr>
      <w:r>
        <w:rPr>
          <w:color w:val="D1D5DB"/>
          <w:sz w:val="18"/>
          <w:szCs w:val="18"/>
        </w:rPr>
        <w:t xml:space="preserve">─────────────────────────────────────────</w:t>
      </w:r>
    </w:p>
    <w:p>
      <w:pPr>
        <w:pStyle w:val="Heading2"/>
        <w:spacing w:after="100" w:before="300"/>
      </w:pPr>
      <w:r>
        <w:rPr>
          <w:rFonts w:ascii="Times New Roman" w:cs="Times New Roman" w:eastAsia="Times New Roman" w:hAnsi="Times New Roman"/>
          <w:b/>
          <w:bCs/>
          <w:color w:val="1B3A6B"/>
          <w:sz w:val="30"/>
          <w:szCs w:val="30"/>
        </w:rPr>
        <w:t xml:space="preserve">🔬 Théorie (20 %) — Les trois préceptes de Garab Dorje</w:t>
      </w:r>
    </w:p>
    <w:p>
      <w:pPr>
        <w:pStyle w:val="Heading3"/>
        <w:spacing w:after="80" w:before="200"/>
      </w:pPr>
      <w:r>
        <w:rPr>
          <w:rFonts w:ascii="Times New Roman" w:cs="Times New Roman" w:eastAsia="Times New Roman" w:hAnsi="Times New Roman"/>
          <w:b/>
          <w:bCs/>
          <w:color w:val="1F2937"/>
          <w:sz w:val="26"/>
          <w:szCs w:val="26"/>
        </w:rPr>
        <w:t xml:space="preserve">Qui est Garab Dorje ?</w:t>
      </w:r>
    </w:p>
    <w:p>
      <w:pPr>
        <w:spacing w:after="80" w:before="80"/>
      </w:pPr>
      <w:r>
        <w:rPr>
          <w:rFonts w:ascii="Times New Roman" w:cs="Times New Roman" w:eastAsia="Times New Roman" w:hAnsi="Times New Roman"/>
          <w:color w:val="1F2937"/>
          <w:sz w:val="22"/>
          <w:szCs w:val="22"/>
        </w:rPr>
        <w:t xml:space="preserve">Garab Dorje (tibétain : dGa' rab rDo rje) est le premier maître humain du Dzogchen, né au Pays d'Oddiyana. Selon la tradition Nyingma, il est la manifestation de Vajrasattva et reçut les enseignements Dzogchen directement des dakinis. Son apport fondateur : il synthétisa l'ensemble du Dzogpachenpo en trois phrases précises, transmises au moment de sa parinirvāna à son disciple principal Manjushrimitra.</w:t>
      </w:r>
    </w:p>
    <w:p>
      <w:pPr>
        <w:spacing w:after="80" w:before="80"/>
      </w:pPr>
      <w:r>
        <w:rPr>
          <w:rFonts w:ascii="Times New Roman" w:cs="Times New Roman" w:eastAsia="Times New Roman" w:hAnsi="Times New Roman"/>
          <w:color w:val="1F2937"/>
          <w:sz w:val="22"/>
          <w:szCs w:val="22"/>
        </w:rPr>
        <w:t xml:space="preserve">Transmission légendaire : au moment de se dissoudre dans la lumière arc-en-ciel, Garab Dorje fit apparaître son bras tenant un écrin d'or miniature, qui descendit dans la main de Manjushrimitra. L'écrin contenait le Tsik Sum Nedek, écrit « en encre de lapis-lazuli liquide sur une feuille de cinq substances précieuses. »</w:t>
      </w:r>
    </w:p>
    <w:p>
      <w:pPr>
        <w:pStyle w:val="Heading3"/>
        <w:spacing w:after="80" w:before="200"/>
      </w:pPr>
      <w:r>
        <w:rPr>
          <w:rFonts w:ascii="Times New Roman" w:cs="Times New Roman" w:eastAsia="Times New Roman" w:hAnsi="Times New Roman"/>
          <w:b/>
          <w:bCs/>
          <w:color w:val="1F2937"/>
          <w:sz w:val="26"/>
          <w:szCs w:val="26"/>
        </w:rPr>
        <w:t xml:space="preserve">Le Tsik Sum Nedek — « Frapper l'essentiel en trois mots »</w:t>
      </w:r>
    </w:p>
    <w:p>
      <w:pPr>
        <w:spacing w:after="80" w:before="80"/>
      </w:pPr>
      <w:r>
        <w:rPr>
          <w:rFonts w:ascii="Times New Roman" w:cs="Times New Roman" w:eastAsia="Times New Roman" w:hAnsi="Times New Roman"/>
          <w:color w:val="1F2937"/>
          <w:sz w:val="22"/>
          <w:szCs w:val="22"/>
        </w:rPr>
        <w:t xml:space="preserve">Tsik Sum Nedek (tshig gSum gNad brDeg) signifie littéralement « Trois énoncés qui frappent le point vital ». Ce texte court est considéré par la tradition comme contenant l'intégralité des enseignements Dzogchen, condensée en trois instructions essentielles.</w:t>
      </w:r>
    </w:p>
    <w:p>
      <w:pPr>
        <w:spacing w:after="4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w:t>
            </w:r>
          </w:p>
        </w:tc>
        <w:tc>
          <w:tcPr>
            <w:shd w:fill="1B3A6B"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Tibétain romanisé</w:t>
            </w:r>
          </w:p>
        </w:tc>
        <w:tc>
          <w:tcPr>
            <w:shd w:fill="1B3A6B"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Formulation</w:t>
            </w:r>
          </w:p>
        </w:tc>
        <w:tc>
          <w:tcPr>
            <w:shd w:fill="1B3A6B"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Sens central</w:t>
            </w:r>
          </w:p>
        </w:tc>
      </w:tr>
      <w:tr>
        <w:tc>
          <w:tcPr>
            <w:shd w:fill="FFFFFF"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1</w:t>
            </w:r>
          </w:p>
        </w:tc>
        <w:tc>
          <w:tcPr>
            <w:shd w:fill="FFFFFF"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ngo rang tok tu tré</w:t>
            </w:r>
          </w:p>
        </w:tc>
        <w:tc>
          <w:tcPr>
            <w:shd w:fill="FFFFFF"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Introduction directe à rigpa</w:t>
            </w:r>
          </w:p>
        </w:tc>
        <w:tc>
          <w:tcPr>
            <w:shd w:fill="FFFFFF"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Reconnaître sa propre nature, sans médiation conceptuelle</w:t>
            </w:r>
          </w:p>
        </w:tc>
      </w:tr>
      <w:tr>
        <w:tc>
          <w:tcPr>
            <w:shd w:fill="EEF2F7"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2</w:t>
            </w:r>
          </w:p>
        </w:tc>
        <w:tc>
          <w:tcPr>
            <w:shd w:fill="EEF2F7"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tak chik tok tu ché</w:t>
            </w:r>
          </w:p>
        </w:tc>
        <w:tc>
          <w:tcPr>
            <w:shd w:fill="EEF2F7"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Décider d'une seule chose</w:t>
            </w:r>
          </w:p>
        </w:tc>
        <w:tc>
          <w:tcPr>
            <w:shd w:fill="EEF2F7"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Certitude que tout se résout dans la conscience éveillée</w:t>
            </w:r>
          </w:p>
        </w:tc>
      </w:tr>
      <w:tr>
        <w:tc>
          <w:tcPr>
            <w:shd w:fill="FFFFFF"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3</w:t>
            </w:r>
          </w:p>
        </w:tc>
        <w:tc>
          <w:tcPr>
            <w:shd w:fill="FFFFFF"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deng drol tok tu cha</w:t>
            </w:r>
          </w:p>
        </w:tc>
        <w:tc>
          <w:tcPr>
            <w:shd w:fill="FFFFFF"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Confiance en l'auto-libération</w:t>
            </w:r>
          </w:p>
        </w:tc>
        <w:tc>
          <w:tcPr>
            <w:shd w:fill="FFFFFF" w:val="clear"/>
            <w:tcMar>
              <w:top w:type="dxa" w:w="80"/>
              <w:left w:type="dxa" w:w="100"/>
              <w:bottom w:type="dxa" w:w="80"/>
              <w:right w:type="dxa" w:w="100"/>
            </w:tcMar>
          </w:tcPr>
          <w:p>
            <w:r>
              <w:rPr>
                <w:rFonts w:ascii="Times New Roman" w:cs="Times New Roman" w:eastAsia="Times New Roman" w:hAnsi="Times New Roman"/>
                <w:color w:val="1F2937"/>
                <w:sz w:val="20"/>
                <w:szCs w:val="20"/>
              </w:rPr>
              <w:t xml:space="preserve">Les pensées se libèrent d'elles-mêmes (rangrol)</w:t>
            </w:r>
          </w:p>
        </w:tc>
      </w:tr>
    </w:tbl>
    <w:p>
      <w:pPr>
        <w:spacing w:after="60" w:before="120"/>
      </w:pPr>
    </w:p>
    <w:p>
      <w:pPr>
        <w:pStyle w:val="Heading3"/>
        <w:spacing w:after="80" w:before="200"/>
      </w:pPr>
      <w:r>
        <w:rPr>
          <w:rFonts w:ascii="Times New Roman" w:cs="Times New Roman" w:eastAsia="Times New Roman" w:hAnsi="Times New Roman"/>
          <w:b/>
          <w:bCs/>
          <w:color w:val="1F2937"/>
          <w:sz w:val="26"/>
          <w:szCs w:val="26"/>
        </w:rPr>
        <w:t xml:space="preserve">Comprendre la logique interne des trois préceptes</w:t>
      </w:r>
    </w:p>
    <w:p>
      <w:pPr>
        <w:spacing w:after="80" w:before="80"/>
      </w:pPr>
      <w:r>
        <w:rPr>
          <w:rFonts w:ascii="Times New Roman" w:cs="Times New Roman" w:eastAsia="Times New Roman" w:hAnsi="Times New Roman"/>
          <w:color w:val="1F2937"/>
          <w:sz w:val="22"/>
          <w:szCs w:val="22"/>
        </w:rPr>
        <w:t xml:space="preserve">Les trois préceptes ne sont PAS des étapes progressives à franchir l'une après l'autre. Ils sont une seule réalisation vue sous trois angles différents, correspondant aux trois aspects de la pratique Dzogchen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Précepte 1 → Vue (tawa) : Introduction directe à rigpa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Précepte 2 → Méditation (gompa) : Décision ferme dans la présence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Précepte 3 → Résultat / Conduite (chöpa) : Confiance en l'auto-libération</w:t>
      </w:r>
    </w:p>
    <w:p>
      <w:pPr>
        <w:spacing w:after="80" w:before="80"/>
      </w:pPr>
      <w:r>
        <w:rPr>
          <w:rFonts w:ascii="Times New Roman" w:cs="Times New Roman" w:eastAsia="Times New Roman" w:hAnsi="Times New Roman"/>
          <w:color w:val="1F2937"/>
          <w:sz w:val="22"/>
          <w:szCs w:val="22"/>
        </w:rPr>
        <w:t xml:space="preserve">Cette structure en trois points est le cœur de tout le Dzogchen ; on retrouvera ces trois dimensions dans tous les enseignements qui suivent le parcours.</w:t>
      </w:r>
    </w:p>
    <w:p>
      <w:pPr>
        <w:pStyle w:val="Heading3"/>
        <w:spacing w:after="80" w:before="200"/>
      </w:pPr>
      <w:r>
        <w:rPr>
          <w:rFonts w:ascii="Times New Roman" w:cs="Times New Roman" w:eastAsia="Times New Roman" w:hAnsi="Times New Roman"/>
          <w:b/>
          <w:bCs/>
          <w:color w:val="1F2937"/>
          <w:sz w:val="26"/>
          <w:szCs w:val="26"/>
        </w:rPr>
        <w:t xml:space="preserve">Commentateurs de référence</w:t>
      </w:r>
    </w:p>
    <w:p>
      <w:pPr>
        <w:spacing w:after="80" w:before="80"/>
      </w:pPr>
      <w:r>
        <w:rPr>
          <w:rFonts w:ascii="Times New Roman" w:cs="Times New Roman" w:eastAsia="Times New Roman" w:hAnsi="Times New Roman"/>
          <w:b/>
          <w:bCs/>
          <w:color w:val="1F2937"/>
          <w:sz w:val="22"/>
          <w:szCs w:val="22"/>
        </w:rPr>
        <w:t xml:space="preserve">Patrul Rinpoche</w:t>
      </w:r>
      <w:r>
        <w:rPr>
          <w:rFonts w:ascii="Times New Roman" w:cs="Times New Roman" w:eastAsia="Times New Roman" w:hAnsi="Times New Roman"/>
          <w:color w:val="1F2937"/>
          <w:sz w:val="22"/>
          <w:szCs w:val="22"/>
        </w:rPr>
        <w:t xml:space="preserve"> (Orgyen Jigme Chokyi Wangpo, 1808–1887) </w:t>
      </w:r>
      <w:r>
        <w:rPr>
          <w:rFonts w:ascii="Times New Roman" w:cs="Times New Roman" w:eastAsia="Times New Roman" w:hAnsi="Times New Roman"/>
          <w:color w:val="1F2937"/>
          <w:sz w:val="22"/>
          <w:szCs w:val="22"/>
        </w:rPr>
        <w:t xml:space="preserve">— auteur du commentaire classique du Tsik Sum Nedek, considéré comme « l'instruction la plus cruciale pour la pratique du Dzogchen ». Sa méthode concrète : utiliser la syllabe </w:t>
      </w:r>
      <w:r>
        <w:rPr>
          <w:rFonts w:ascii="Times New Roman" w:cs="Times New Roman" w:eastAsia="Times New Roman" w:hAnsi="Times New Roman"/>
          <w:b/>
          <w:bCs/>
          <w:color w:val="1F2937"/>
          <w:sz w:val="22"/>
          <w:szCs w:val="22"/>
        </w:rPr>
        <w:t xml:space="preserve">phaṭ!</w:t>
      </w:r>
      <w:r>
        <w:rPr>
          <w:rFonts w:ascii="Times New Roman" w:cs="Times New Roman" w:eastAsia="Times New Roman" w:hAnsi="Times New Roman"/>
          <w:color w:val="1F2937"/>
          <w:sz w:val="22"/>
          <w:szCs w:val="22"/>
        </w:rPr>
        <w:t xml:space="preserve"> pour l'introduction directe à rigpa.</w:t>
      </w:r>
    </w:p>
    <w:p>
      <w:pPr>
        <w:spacing w:after="80" w:before="80"/>
      </w:pPr>
      <w:r>
        <w:rPr>
          <w:rFonts w:ascii="Times New Roman" w:cs="Times New Roman" w:eastAsia="Times New Roman" w:hAnsi="Times New Roman"/>
          <w:b/>
          <w:bCs/>
          <w:color w:val="1F2937"/>
          <w:sz w:val="22"/>
          <w:szCs w:val="22"/>
        </w:rPr>
        <w:t xml:space="preserve">Dilgo Khyentse Rinpoche</w:t>
      </w:r>
      <w:r>
        <w:rPr>
          <w:rFonts w:ascii="Times New Roman" w:cs="Times New Roman" w:eastAsia="Times New Roman" w:hAnsi="Times New Roman"/>
          <w:color w:val="1F2937"/>
          <w:sz w:val="22"/>
          <w:szCs w:val="22"/>
        </w:rPr>
        <w:t xml:space="preserve"> — commentaire de référence dans la tradition Nyingma contemporaine.</w:t>
      </w:r>
    </w:p>
    <w:p>
      <w:pPr>
        <w:spacing w:after="80" w:before="80"/>
      </w:pPr>
      <w:r>
        <w:rPr>
          <w:rFonts w:ascii="Times New Roman" w:cs="Times New Roman" w:eastAsia="Times New Roman" w:hAnsi="Times New Roman"/>
          <w:b/>
          <w:bCs/>
          <w:color w:val="1F2937"/>
          <w:sz w:val="22"/>
          <w:szCs w:val="22"/>
        </w:rPr>
        <w:t xml:space="preserve">Longchenpa</w:t>
      </w:r>
      <w:r>
        <w:rPr>
          <w:rFonts w:ascii="Times New Roman" w:cs="Times New Roman" w:eastAsia="Times New Roman" w:hAnsi="Times New Roman"/>
          <w:color w:val="1F2937"/>
          <w:sz w:val="22"/>
          <w:szCs w:val="22"/>
        </w:rPr>
        <w:t xml:space="preserve"> — bien que contemporain de Garab Dorje, ses textes éclairent la Base et le contexte des trois préceptes.</w:t>
      </w:r>
    </w:p>
    <w:p>
      <w:pPr>
        <w:shd w:fill="F0F4F8" w:val="clear"/>
        <w:spacing w:after="100" w:before="100"/>
        <w:ind w:left="720"/>
      </w:pPr>
      <w:r>
        <w:rPr>
          <w:rFonts w:ascii="Times New Roman" w:cs="Times New Roman" w:eastAsia="Times New Roman" w:hAnsi="Times New Roman"/>
          <w:i/>
          <w:iCs/>
          <w:color w:val="1B3A6B"/>
          <w:sz w:val="22"/>
          <w:szCs w:val="22"/>
        </w:rPr>
        <w:t xml:space="preserve">« Reconnaître ta propre nature, c'est comme une mère reconnaissant son enfant — une reconnaissance immédiate, sans intermédiaire conceptuel. — Garab Dorje, Tsik Sum Nedek (trad. Adam Pearcey) »</w:t>
      </w:r>
    </w:p>
    <w:p>
      <w:pPr>
        <w:spacing w:after="160" w:before="160"/>
        <w:jc w:val="center"/>
      </w:pPr>
      <w:r>
        <w:rPr>
          <w:color w:val="D1D5DB"/>
          <w:sz w:val="18"/>
          <w:szCs w:val="18"/>
        </w:rPr>
        <w:t xml:space="preserve">─────────────────────────────────────────</w:t>
      </w:r>
    </w:p>
    <w:p>
      <w:pPr>
        <w:pStyle w:val="Heading2"/>
        <w:spacing w:after="100" w:before="300"/>
      </w:pPr>
      <w:r>
        <w:rPr>
          <w:rFonts w:ascii="Times New Roman" w:cs="Times New Roman" w:eastAsia="Times New Roman" w:hAnsi="Times New Roman"/>
          <w:b/>
          <w:bCs/>
          <w:color w:val="1B3A6B"/>
          <w:sz w:val="30"/>
          <w:szCs w:val="30"/>
        </w:rPr>
        <w:t xml:space="preserve">🛠️ Pratique (80 %) — Trois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Mémorisation active des trois préceptes (20 min)</w:t>
      </w:r>
    </w:p>
    <w:p>
      <w:pPr>
        <w:spacing w:after="80" w:before="80"/>
      </w:pPr>
      <w:r>
        <w:rPr>
          <w:rFonts w:ascii="Times New Roman" w:cs="Times New Roman" w:eastAsia="Times New Roman" w:hAnsi="Times New Roman"/>
          <w:color w:val="1F2937"/>
          <w:sz w:val="22"/>
          <w:szCs w:val="22"/>
        </w:rPr>
        <w:t xml:space="preserve">But : ancrer les trois formulations dans la mémoire à long terme et en comprendre le sens interne.</w:t>
      </w:r>
    </w:p>
    <w:p>
      <w:pPr>
        <w:spacing w:after="80" w:before="8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Écris sur une feuille les trois préceptes en tibétain romanisé + leur formulation + leur sens, comme si tu les transmettais à un élève.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Couvre tes notes et récite les trois préceptes à voix haute en les numérotant. Si tu bloques, consulte — puis recommence.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Ferme les yeux et tente d'associer une image mentale à chacun : (1) une rencontre soudaine face à face ; (2) une flèche qui touche une cible unique ; (3) un nœud qui se défait de lui-même.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Répète le lendemain matin sans te référer à tes notes.</w:t>
      </w:r>
    </w:p>
    <w:p>
      <w:pPr>
        <w:spacing w:after="80" w:before="80"/>
      </w:pPr>
      <w:r>
        <w:rPr>
          <w:rFonts w:ascii="Times New Roman" w:cs="Times New Roman" w:eastAsia="Times New Roman" w:hAnsi="Times New Roman"/>
          <w:color w:val="1F2937"/>
          <w:sz w:val="22"/>
          <w:szCs w:val="22"/>
        </w:rPr>
        <w:t xml:space="preserve">Critère de réussite : tu peux réciter les trois préceptes dans le bon ordre, sans lire, 24h après.</w:t>
      </w:r>
    </w:p>
    <w:p>
      <w:pPr>
        <w:pStyle w:val="Heading3"/>
        <w:spacing w:after="80" w:before="200"/>
      </w:pPr>
      <w:r>
        <w:rPr>
          <w:rFonts w:ascii="Times New Roman" w:cs="Times New Roman" w:eastAsia="Times New Roman" w:hAnsi="Times New Roman"/>
          <w:b/>
          <w:bCs/>
          <w:color w:val="1F2937"/>
          <w:sz w:val="26"/>
          <w:szCs w:val="26"/>
        </w:rPr>
        <w:t xml:space="preserve">Exercice 2 — Contemplation du premier précepte : introduction directe à rigpa (25 min)</w:t>
      </w:r>
    </w:p>
    <w:p>
      <w:pPr>
        <w:spacing w:after="80" w:before="80"/>
      </w:pPr>
      <w:r>
        <w:rPr>
          <w:rFonts w:ascii="Times New Roman" w:cs="Times New Roman" w:eastAsia="Times New Roman" w:hAnsi="Times New Roman"/>
          <w:color w:val="1F2937"/>
          <w:sz w:val="22"/>
          <w:szCs w:val="22"/>
        </w:rPr>
        <w:t xml:space="preserve">But : expérimenter, même brièvement, ce que pointe le premier précepte.</w:t>
      </w:r>
    </w:p>
    <w:p>
      <w:pPr>
        <w:spacing w:after="80" w:before="80"/>
      </w:pPr>
      <w:r>
        <w:rPr>
          <w:rFonts w:ascii="Times New Roman" w:cs="Times New Roman" w:eastAsia="Times New Roman" w:hAnsi="Times New Roman"/>
          <w:color w:val="1F2937"/>
          <w:sz w:val="22"/>
          <w:szCs w:val="22"/>
        </w:rPr>
        <w:t xml:space="preserve">Préparation (5 min)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Assieds-toi en posture stable. Laisse la respiration s'installer naturellement.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Rappelle-toi la définition de rigpa vue en leçon 01 : la conscience pure, nue, non conceptuelle.</w:t>
      </w:r>
    </w:p>
    <w:p>
      <w:pPr>
        <w:spacing w:after="80" w:before="80"/>
      </w:pPr>
      <w:r>
        <w:rPr>
          <w:rFonts w:ascii="Times New Roman" w:cs="Times New Roman" w:eastAsia="Times New Roman" w:hAnsi="Times New Roman"/>
          <w:color w:val="1F2937"/>
          <w:sz w:val="22"/>
          <w:szCs w:val="22"/>
        </w:rPr>
        <w:t xml:space="preserve">Pratique (15 min)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Prononce intérieurement la syllabe phaṭ! avec force. Observe l'instant juste après : qu'y a-t-il avant que le mental reprenne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 blanc » après phaṭ! — même s'il dure une fraction de seconde — est pointé par le premier précepte. Sans y attacher de concept, laisse simplement ce moment exister.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Répète 5-7 fois. Remarque : est-ce que la durée du « blanc » change ? La qualité ?</w:t>
      </w:r>
    </w:p>
    <w:p>
      <w:pPr>
        <w:spacing w:after="80" w:before="80"/>
      </w:pPr>
      <w:r>
        <w:rPr>
          <w:rFonts w:ascii="Times New Roman" w:cs="Times New Roman" w:eastAsia="Times New Roman" w:hAnsi="Times New Roman"/>
          <w:color w:val="1F2937"/>
          <w:sz w:val="22"/>
          <w:szCs w:val="22"/>
        </w:rPr>
        <w:t xml:space="preserve">Retour (5 min)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Note dans un carnet : qu'as-tu observé ? Confusion, clarté, absence de pensée ? Il n'y a pas de « bonne » réponse.</w:t>
      </w:r>
    </w:p>
    <w:p>
      <w:pPr>
        <w:shd w:fill="F0F4F8" w:val="clear"/>
        <w:spacing w:after="100" w:before="100"/>
        <w:ind w:left="720"/>
      </w:pPr>
      <w:r>
        <w:rPr>
          <w:rFonts w:ascii="Times New Roman" w:cs="Times New Roman" w:eastAsia="Times New Roman" w:hAnsi="Times New Roman"/>
          <w:i/>
          <w:iCs/>
          <w:color w:val="1B3A6B"/>
          <w:sz w:val="22"/>
          <w:szCs w:val="22"/>
        </w:rPr>
        <w:t xml:space="preserve">« Le premier précepte ne dit pas 'trouve quelque chose de nouveau'. Il dit : reconnais ce qui est déjà là. — Patrul Rinpoche, commentaire du Tsik Sum Nedek »</w:t>
      </w:r>
    </w:p>
    <w:p>
      <w:pPr>
        <w:pStyle w:val="Heading3"/>
        <w:spacing w:after="80" w:before="200"/>
      </w:pPr>
      <w:r>
        <w:rPr>
          <w:rFonts w:ascii="Times New Roman" w:cs="Times New Roman" w:eastAsia="Times New Roman" w:hAnsi="Times New Roman"/>
          <w:b/>
          <w:bCs/>
          <w:color w:val="1F2937"/>
          <w:sz w:val="26"/>
          <w:szCs w:val="26"/>
        </w:rPr>
        <w:t xml:space="preserve">Exercice 3 — Observer l'auto-libération des pensées : le troisième précepte en action (20 min)</w:t>
      </w:r>
    </w:p>
    <w:p>
      <w:pPr>
        <w:spacing w:after="80" w:before="80"/>
      </w:pPr>
      <w:r>
        <w:rPr>
          <w:rFonts w:ascii="Times New Roman" w:cs="Times New Roman" w:eastAsia="Times New Roman" w:hAnsi="Times New Roman"/>
          <w:color w:val="1F2937"/>
          <w:sz w:val="22"/>
          <w:szCs w:val="22"/>
        </w:rPr>
        <w:t xml:space="preserve">But : vérifier par l'expérience directe que les pensées peuvent se libérer d'elles-mêmes (rangrol).</w:t>
      </w:r>
    </w:p>
    <w:p>
      <w:pPr>
        <w:spacing w:after="80" w:before="80"/>
      </w:pPr>
      <w:r>
        <w:rPr>
          <w:rFonts w:ascii="Times New Roman" w:cs="Times New Roman" w:eastAsia="Times New Roman" w:hAnsi="Times New Roman"/>
          <w:color w:val="1F2937"/>
          <w:sz w:val="22"/>
          <w:szCs w:val="22"/>
        </w:rPr>
        <w:t xml:space="preserve">Pratique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Assieds-toi et observe le flux de tes pensées sans les suivre ni les arrêter. Ne fais rien.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Quand une pensée surgit, observe-la comme on observe une bulle dans l'eau : elle monte, elle existe un instant, elle disparaît. Sans aide extérieure.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Note intérieurement : « Cette pensée est venue d'elle-même. Elle est repartie d'elle-même.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Continue 15 min. Si tu te retrouves à 'chasser' les pensées ou à les 'laisser passer' par effort, remarque cet effort — c'est précisément ce que le troisième précepte dépasse.</w:t>
      </w:r>
    </w:p>
    <w:p>
      <w:pPr>
        <w:spacing w:after="80" w:before="80"/>
      </w:pPr>
      <w:r>
        <w:rPr>
          <w:rFonts w:ascii="Times New Roman" w:cs="Times New Roman" w:eastAsia="Times New Roman" w:hAnsi="Times New Roman"/>
          <w:color w:val="1F2937"/>
          <w:sz w:val="22"/>
          <w:szCs w:val="22"/>
        </w:rPr>
        <w:t xml:space="preserve">Question de réflexion :</w:t>
      </w:r>
    </w:p>
    <w:p>
      <w:pPr>
        <w:shd w:fill="F0F4F8" w:val="clear"/>
        <w:spacing w:after="100" w:before="100"/>
        <w:ind w:left="720"/>
      </w:pPr>
      <w:r>
        <w:rPr>
          <w:rFonts w:ascii="Times New Roman" w:cs="Times New Roman" w:eastAsia="Times New Roman" w:hAnsi="Times New Roman"/>
          <w:i/>
          <w:iCs/>
          <w:color w:val="1B3A6B"/>
          <w:sz w:val="22"/>
          <w:szCs w:val="22"/>
        </w:rPr>
        <w:t xml:space="preserve">« Surgissement et libération sont-ils deux événements séparés, ou un seul et même mouvement ? — Young Edo Drulling, commentaire pédagogique du Tsik Sum Nedek »</w:t>
      </w:r>
    </w:p>
    <w:p>
      <w:pPr>
        <w:spacing w:after="80" w:before="80"/>
      </w:pPr>
      <w:r>
        <w:rPr>
          <w:rFonts w:ascii="Times New Roman" w:cs="Times New Roman" w:eastAsia="Times New Roman" w:hAnsi="Times New Roman"/>
          <w:color w:val="1F2937"/>
          <w:sz w:val="22"/>
          <w:szCs w:val="22"/>
        </w:rPr>
        <w:t xml:space="preserve">Note ta réponse expérientielle, pas intellectuelle.</w:t>
      </w:r>
    </w:p>
    <w:p>
      <w:pPr>
        <w:spacing w:after="160" w:before="160"/>
        <w:jc w:val="center"/>
      </w:pPr>
      <w:r>
        <w:rPr>
          <w:color w:val="D1D5DB"/>
          <w:sz w:val="18"/>
          <w:szCs w:val="18"/>
        </w:rPr>
        <w:t xml:space="preserve">─────────────────────────────────────────</w:t>
      </w:r>
    </w:p>
    <w:p>
      <w:pPr>
        <w:pStyle w:val="Heading2"/>
        <w:spacing w:after="100" w:before="300"/>
      </w:pPr>
      <w:r>
        <w:rPr>
          <w:rFonts w:ascii="Times New Roman" w:cs="Times New Roman" w:eastAsia="Times New Roman" w:hAnsi="Times New Roman"/>
          <w:b/>
          <w:bCs/>
          <w:color w:val="1B3A6B"/>
          <w:sz w:val="30"/>
          <w:szCs w:val="30"/>
        </w:rPr>
        <w:t xml:space="preserve">🎯 Challenge — Synthèse des trois préceptes</w:t>
      </w:r>
    </w:p>
    <w:p>
      <w:pPr>
        <w:spacing w:after="80" w:before="80"/>
      </w:pPr>
      <w:r>
        <w:rPr>
          <w:rFonts w:ascii="Times New Roman" w:cs="Times New Roman" w:eastAsia="Times New Roman" w:hAnsi="Times New Roman"/>
          <w:color w:val="1F2937"/>
          <w:sz w:val="22"/>
          <w:szCs w:val="22"/>
        </w:rPr>
        <w:t xml:space="preserve">Exercice de synthèse (30-40 min) :</w:t>
      </w:r>
    </w:p>
    <w:p>
      <w:pPr>
        <w:spacing w:after="80" w:before="80"/>
      </w:pPr>
      <w:r>
        <w:rPr>
          <w:rFonts w:ascii="Times New Roman" w:cs="Times New Roman" w:eastAsia="Times New Roman" w:hAnsi="Times New Roman"/>
          <w:color w:val="1F2937"/>
          <w:sz w:val="22"/>
          <w:szCs w:val="22"/>
        </w:rPr>
        <w:t xml:space="preserve">Sans relire tes notes, rédige en moins d'une page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En quoi les trois préceptes sont-ils UNE seule réalisation et non trois étapes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Comment le deuxième précepte ('décider d'une seule chose') est-il différent d'une simple 'concentration' mentale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quoi ressemble l'auto-libération (rangrol) dans ta propre expérience de l'exercice 3 ?</w:t>
      </w:r>
    </w:p>
    <w:p>
      <w:pPr>
        <w:spacing w:after="80" w:before="80"/>
      </w:pPr>
      <w:r>
        <w:rPr>
          <w:rFonts w:ascii="Times New Roman" w:cs="Times New Roman" w:eastAsia="Times New Roman" w:hAnsi="Times New Roman"/>
          <w:color w:val="1F2937"/>
          <w:sz w:val="22"/>
          <w:szCs w:val="22"/>
        </w:rPr>
        <w:t xml:space="preserve">Puis relis tes notes et identifie un point que tu n'as pas mentionné et qui te surprend.</w:t>
      </w:r>
    </w:p>
    <w:p>
      <w:pPr>
        <w:spacing w:after="80" w:before="80"/>
      </w:pPr>
      <w:r>
        <w:rPr>
          <w:rFonts w:ascii="Times New Roman" w:cs="Times New Roman" w:eastAsia="Times New Roman" w:hAnsi="Times New Roman"/>
          <w:color w:val="1F2937"/>
          <w:sz w:val="22"/>
          <w:szCs w:val="22"/>
        </w:rPr>
        <w:t xml:space="preserve">Objectif non écrit : réaliser que comprendre intellectuellement et reconnaître dans l'expérience sont deux choses. Le deuxième précepte invite à cette décision.</w:t>
      </w:r>
    </w:p>
    <w:p>
      <w:pPr>
        <w:spacing w:after="160" w:before="160"/>
        <w:jc w:val="center"/>
      </w:pPr>
      <w:r>
        <w:rPr>
          <w:color w:val="D1D5DB"/>
          <w:sz w:val="18"/>
          <w:szCs w:val="18"/>
        </w:rPr>
        <w:t xml:space="preserve">─────────────────────────────────────────</w:t>
      </w:r>
    </w:p>
    <w:p>
      <w:pPr>
        <w:pStyle w:val="Heading2"/>
        <w:spacing w:after="100" w:before="300"/>
      </w:pPr>
      <w:r>
        <w:rPr>
          <w:rFonts w:ascii="Times New Roman" w:cs="Times New Roman" w:eastAsia="Times New Roman" w:hAnsi="Times New Roman"/>
          <w:b/>
          <w:bCs/>
          <w:color w:val="1B3A6B"/>
          <w:sz w:val="30"/>
          <w:szCs w:val="30"/>
        </w:rPr>
        <w:t xml:space="preserve">🌉 Pont pro (optionnel)</w:t>
      </w:r>
    </w:p>
    <w:p>
      <w:pPr>
        <w:spacing w:after="80" w:before="80"/>
      </w:pPr>
      <w:r>
        <w:rPr>
          <w:rFonts w:ascii="Times New Roman" w:cs="Times New Roman" w:eastAsia="Times New Roman" w:hAnsi="Times New Roman"/>
          <w:color w:val="1F2937"/>
          <w:sz w:val="22"/>
          <w:szCs w:val="22"/>
        </w:rPr>
        <w:t xml:space="preserve">Dans l'accompagnement des personnes en situation de handicap mental et psychique, la « décision sur une seule chose » (deuxième précepte) résonne avec la posture professionnelle : face à la complexité d'une situation, un chef de service efficace identifie le levier central — l'enjeu unique qui dénoue les autres — plutôt que de disperser l'énergie. L'auto-libération (troisième précepte) peut éclairer la gestion des tensions d'équipe : certains conflits se résorbent seuls si on résiste à l'impulsion d'intervenir immédiatement.</w:t>
      </w:r>
    </w:p>
    <w:p>
      <w:pPr>
        <w:spacing w:after="160" w:before="160"/>
        <w:jc w:val="center"/>
      </w:pPr>
      <w:r>
        <w:rPr>
          <w:color w:val="D1D5DB"/>
          <w:sz w:val="18"/>
          <w:szCs w:val="18"/>
        </w:rPr>
        <w:t xml:space="preserve">─────────────────────────────────────────</w:t>
      </w:r>
    </w:p>
    <w:p>
      <w:pPr>
        <w:pStyle w:val="Heading2"/>
        <w:spacing w:after="100" w:before="300"/>
      </w:pPr>
      <w:r>
        <w:rPr>
          <w:rFonts w:ascii="Times New Roman" w:cs="Times New Roman" w:eastAsia="Times New Roman" w:hAnsi="Times New Roman"/>
          <w:b/>
          <w:bCs/>
          <w:color w:val="1B3A6B"/>
          <w:sz w:val="30"/>
          <w:szCs w:val="30"/>
        </w:rPr>
        <w:t xml:space="preserve">📚 Ressources pour approfondir</w:t>
      </w:r>
    </w:p>
    <w:p>
      <w:pPr>
        <w:spacing w:after="80" w:before="80"/>
      </w:pPr>
      <w:r>
        <w:rPr>
          <w:rFonts w:ascii="Times New Roman" w:cs="Times New Roman" w:eastAsia="Times New Roman" w:hAnsi="Times New Roman"/>
          <w:color w:val="1F2937"/>
          <w:sz w:val="22"/>
          <w:szCs w:val="22"/>
        </w:rPr>
        <w:t xml:space="preserve">Textes primaires et commentaires :</w:t>
      </w:r>
    </w:p>
    <w:p>
      <w:pPr>
        <w:spacing w:after="60" w:before="60"/>
      </w:pPr>
      <w:r>
        <w:rPr>
          <w:rFonts w:ascii="Times New Roman" w:cs="Times New Roman" w:eastAsia="Times New Roman" w:hAnsi="Times New Roman"/>
          <w:color w:val="1F2937"/>
          <w:sz w:val="22"/>
          <w:szCs w:val="22"/>
        </w:rPr>
        <w:t xml:space="preserve">→ </w:t>
      </w:r>
      <w:hyperlink w:history="1" r:id="rIda1srfi9_vlfsuvgzofqaj">
        <w:r>
          <w:rPr>
            <w:rStyle w:val="Hyperlink"/>
            <w:rFonts w:ascii="Times New Roman" w:cs="Times New Roman" w:eastAsia="Times New Roman" w:hAnsi="Times New Roman"/>
            <w:color w:val="1155CC"/>
            <w:sz w:val="22"/>
            <w:szCs w:val="22"/>
            <w:u w:val="single"/>
          </w:rPr>
          <w:t xml:space="preserve">Wikipedia — Garab Dorje (encyclopédie : histoire, transmission, contexte)</w:t>
        </w:r>
      </w:hyperlink>
    </w:p>
    <w:p>
      <w:pPr>
        <w:spacing w:after="60" w:before="60"/>
      </w:pPr>
      <w:r>
        <w:rPr>
          <w:rFonts w:ascii="Times New Roman" w:cs="Times New Roman" w:eastAsia="Times New Roman" w:hAnsi="Times New Roman"/>
          <w:color w:val="1F2937"/>
          <w:sz w:val="22"/>
          <w:szCs w:val="22"/>
        </w:rPr>
        <w:t xml:space="preserve">→ </w:t>
      </w:r>
      <w:hyperlink w:history="1" r:id="rIdo53b72kmmfgxoycnjuxin">
        <w:r>
          <w:rPr>
            <w:rStyle w:val="Hyperlink"/>
            <w:rFonts w:ascii="Times New Roman" w:cs="Times New Roman" w:eastAsia="Times New Roman" w:hAnsi="Times New Roman"/>
            <w:color w:val="1155CC"/>
            <w:sz w:val="22"/>
            <w:szCs w:val="22"/>
            <w:u w:val="single"/>
          </w:rPr>
          <w:t xml:space="preserve">Lotsawa House — Tsik Sum Nedek, texte racine (trad. Adam Pearcey, 2025)</w:t>
        </w:r>
      </w:hyperlink>
    </w:p>
    <w:p>
      <w:pPr>
        <w:spacing w:after="60" w:before="60"/>
      </w:pPr>
      <w:r>
        <w:rPr>
          <w:rFonts w:ascii="Times New Roman" w:cs="Times New Roman" w:eastAsia="Times New Roman" w:hAnsi="Times New Roman"/>
          <w:color w:val="1F2937"/>
          <w:sz w:val="22"/>
          <w:szCs w:val="22"/>
        </w:rPr>
        <w:t xml:space="preserve">→ </w:t>
      </w:r>
      <w:hyperlink w:history="1" r:id="rId6gmnprwadtmr-uyxyumiy">
        <w:r>
          <w:rPr>
            <w:rStyle w:val="Hyperlink"/>
            <w:rFonts w:ascii="Times New Roman" w:cs="Times New Roman" w:eastAsia="Times New Roman" w:hAnsi="Times New Roman"/>
            <w:color w:val="1155CC"/>
            <w:sz w:val="22"/>
            <w:szCs w:val="22"/>
            <w:u w:val="single"/>
          </w:rPr>
          <w:t xml:space="preserve">Lotsawa House — Commentaire de Patrul Rinpoche (Rigpa Translations, 2008)</w:t>
        </w:r>
      </w:hyperlink>
    </w:p>
    <w:p>
      <w:pPr>
        <w:spacing w:after="60" w:before="60"/>
      </w:pPr>
      <w:r>
        <w:rPr>
          <w:rFonts w:ascii="Times New Roman" w:cs="Times New Roman" w:eastAsia="Times New Roman" w:hAnsi="Times New Roman"/>
          <w:color w:val="1F2937"/>
          <w:sz w:val="22"/>
          <w:szCs w:val="22"/>
        </w:rPr>
        <w:t xml:space="preserve">→ </w:t>
      </w:r>
      <w:hyperlink w:history="1" r:id="rIdliunl2ydoaksk4vcjhrhq">
        <w:r>
          <w:rPr>
            <w:rStyle w:val="Hyperlink"/>
            <w:rFonts w:ascii="Times New Roman" w:cs="Times New Roman" w:eastAsia="Times New Roman" w:hAnsi="Times New Roman"/>
            <w:color w:val="1155CC"/>
            <w:sz w:val="22"/>
            <w:szCs w:val="22"/>
            <w:u w:val="single"/>
          </w:rPr>
          <w:t xml:space="preserve">Young Edo Drulling — Les trois préceptes : présentation pédagogique détaillée</w:t>
        </w:r>
      </w:hyperlink>
    </w:p>
    <w:p>
      <w:pPr>
        <w:spacing w:after="60" w:before="60"/>
      </w:pPr>
      <w:r>
        <w:rPr>
          <w:rFonts w:ascii="Times New Roman" w:cs="Times New Roman" w:eastAsia="Times New Roman" w:hAnsi="Times New Roman"/>
          <w:color w:val="1F2937"/>
          <w:sz w:val="22"/>
          <w:szCs w:val="22"/>
        </w:rPr>
        <w:t xml:space="preserve">→ </w:t>
      </w:r>
      <w:hyperlink w:history="1" r:id="rIdskimixjfmdsuvxoympssz">
        <w:r>
          <w:rPr>
            <w:rStyle w:val="Hyperlink"/>
            <w:rFonts w:ascii="Times New Roman" w:cs="Times New Roman" w:eastAsia="Times New Roman" w:hAnsi="Times New Roman"/>
            <w:color w:val="1155CC"/>
            <w:sz w:val="22"/>
            <w:szCs w:val="22"/>
            <w:u w:val="single"/>
          </w:rPr>
          <w:t xml:space="preserve">Lotsawa House — Hub thématique : tous les textes sur le Tsik Sum Nedek</w:t>
        </w:r>
      </w:hyperlink>
    </w:p>
    <w:p>
      <w:pPr>
        <w:spacing w:after="80" w:before="80"/>
      </w:pPr>
      <w:r>
        <w:rPr>
          <w:rFonts w:ascii="Times New Roman" w:cs="Times New Roman" w:eastAsia="Times New Roman" w:hAnsi="Times New Roman"/>
          <w:color w:val="1F2937"/>
          <w:sz w:val="22"/>
          <w:szCs w:val="22"/>
        </w:rPr>
        <w:t xml:space="preserve">Source partielle — Rigpa Wiki (Tsik Sum Nedek) ⛔ [403, accès bloqué] :</w:t>
      </w:r>
    </w:p>
    <w:p>
      <w:pPr>
        <w:spacing w:after="60" w:before="60"/>
      </w:pPr>
      <w:r>
        <w:rPr>
          <w:rFonts w:ascii="Times New Roman" w:cs="Times New Roman" w:eastAsia="Times New Roman" w:hAnsi="Times New Roman"/>
          <w:color w:val="1F2937"/>
          <w:sz w:val="22"/>
          <w:szCs w:val="22"/>
        </w:rPr>
        <w:t xml:space="preserve">→ </w:t>
      </w:r>
      <w:hyperlink w:history="1" r:id="rId_k_q6o6ulsxaan8lit_en">
        <w:r>
          <w:rPr>
            <w:rStyle w:val="Hyperlink"/>
            <w:rFonts w:ascii="Times New Roman" w:cs="Times New Roman" w:eastAsia="Times New Roman" w:hAnsi="Times New Roman"/>
            <w:color w:val="1155CC"/>
            <w:sz w:val="22"/>
            <w:szCs w:val="22"/>
            <w:u w:val="single"/>
          </w:rPr>
          <w:t xml:space="preserve">Rigpa Wiki — Tsik Sum Né Dek (terminologie standard tradition Nyingma)</w:t>
        </w:r>
      </w:hyperlink>
    </w:p>
    <w:p>
      <w:pPr>
        <w:spacing w:after="160" w:before="160"/>
        <w:jc w:val="center"/>
      </w:pPr>
      <w:r>
        <w:rPr>
          <w:color w:val="D1D5DB"/>
          <w:sz w:val="18"/>
          <w:szCs w:val="18"/>
        </w:rPr>
        <w:t xml:space="preserve">─────────────────────────────────────────</w:t>
      </w:r>
    </w:p>
    <w:p>
      <w:pPr>
        <w:pStyle w:val="Heading2"/>
        <w:spacing w:after="100" w:before="300"/>
      </w:pPr>
      <w:r>
        <w:rPr>
          <w:rFonts w:ascii="Times New Roman" w:cs="Times New Roman" w:eastAsia="Times New Roman" w:hAnsi="Times New Roman"/>
          <w:b/>
          <w:bCs/>
          <w:color w:val="1B3A6B"/>
          <w:sz w:val="30"/>
          <w:szCs w:val="30"/>
        </w:rPr>
        <w:t xml:space="preserve">🔜 Prochaine leçon (n°05)</w:t>
      </w:r>
    </w:p>
    <w:p>
      <w:pPr>
        <w:spacing w:after="80" w:before="80"/>
      </w:pPr>
      <w:r>
        <w:rPr>
          <w:rFonts w:ascii="Times New Roman" w:cs="Times New Roman" w:eastAsia="Times New Roman" w:hAnsi="Times New Roman"/>
          <w:color w:val="1F2937"/>
          <w:sz w:val="22"/>
          <w:szCs w:val="22"/>
        </w:rPr>
        <w:t xml:space="preserve">Thème : Vue, méditation et conduite — les trois piliers de la pratique Dzogchen (tawa, gompa, chöpa).</w:t>
      </w:r>
    </w:p>
    <w:p>
      <w:pPr>
        <w:spacing w:after="80" w:before="80"/>
      </w:pPr>
      <w:r>
        <w:rPr>
          <w:rFonts w:ascii="Times New Roman" w:cs="Times New Roman" w:eastAsia="Times New Roman" w:hAnsi="Times New Roman"/>
          <w:color w:val="1F2937"/>
          <w:sz w:val="22"/>
          <w:szCs w:val="22"/>
        </w:rPr>
        <w:t xml:space="preserve">Ces trois piliers reprennent et approfondissent la structure pointée par les trois préceptes : comment la vue juste (rigpa reconnu) se traduit en posture de méditation spécifique, puis en manière d'être dans l'action quotidienne.</w:t>
      </w:r>
    </w:p>
    <w:p>
      <w:pPr>
        <w:spacing w:after="160" w:before="160"/>
        <w:jc w:val="center"/>
      </w:pPr>
      <w:r>
        <w:rPr>
          <w:color w:val="D1D5DB"/>
          <w:sz w:val="18"/>
          <w:szCs w:val="18"/>
        </w:rPr>
        <w:t xml:space="preserve">─────────────────────────────────────────</w:t>
      </w:r>
    </w:p>
    <w:p>
      <w:pPr>
        <w:spacing w:after="0" w:before="160"/>
        <w:jc w:val="center"/>
      </w:pPr>
      <w:r>
        <w:rPr>
          <w:rFonts w:ascii="Times New Roman" w:cs="Times New Roman" w:eastAsia="Times New Roman" w:hAnsi="Times New Roman"/>
          <w:i/>
          <w:iCs/>
          <w:color w:val="9CA3AF"/>
          <w:sz w:val="18"/>
          <w:szCs w:val="18"/>
        </w:rPr>
        <w:t xml:space="preserve">Leçon Dzogchen n°04 · 2026-06-30 · Parcours progressif Fondamental → Avancé · Module 4/12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1srfi9_vlfsuvgzofqaj" Type="http://schemas.openxmlformats.org/officeDocument/2006/relationships/hyperlink" Target="https://en.wikipedia.org/wiki/Garab_Dorje" TargetMode="External"/><Relationship Id="rIdo53b72kmmfgxoycnjuxin" Type="http://schemas.openxmlformats.org/officeDocument/2006/relationships/hyperlink" Target="https://www.lotsawahouse.org/indian-masters/garab-dorje/three-statements-that-strike-vital-point" TargetMode="External"/><Relationship Id="rId6gmnprwadtmr-uyxyumiy" Type="http://schemas.openxmlformats.org/officeDocument/2006/relationships/hyperlink" Target="https://www.lotsawahouse.org/tibetan-masters/patrul-rinpoche/tsik-sum-nedek-root" TargetMode="External"/><Relationship Id="rIdliunl2ydoaksk4vcjhrhq" Type="http://schemas.openxmlformats.org/officeDocument/2006/relationships/hyperlink" Target="https://youngedrodulling.org/garab-dorjes-three-statements-that-strike-the-vital-point/" TargetMode="External"/><Relationship Id="rIdskimixjfmdsuvxoympssz" Type="http://schemas.openxmlformats.org/officeDocument/2006/relationships/hyperlink" Target="https://www.lotsawahouse.org/topics/three-striking-statements/" TargetMode="External"/><Relationship Id="rId_k_q6o6ulsxaan8lit_en" Type="http://schemas.openxmlformats.org/officeDocument/2006/relationships/hyperlink" Target="https://www.rigpawiki.org/index.php?title=Tsik_Sum_N%C3%A9_Dek"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2026-06-30T06:07:03.968Z</dcterms:created>
  <dcterms:modified xsi:type="dcterms:W3CDTF">2026-06-30T06:07:03.970Z</dcterms:modified>
</cp:coreProperties>
</file>

<file path=docProps/custom.xml><?xml version="1.0" encoding="utf-8"?>
<Properties xmlns="http://schemas.openxmlformats.org/officeDocument/2006/custom-properties" xmlns:vt="http://schemas.openxmlformats.org/officeDocument/2006/docPropsVTypes"/>
</file>