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00"/>
        <w:jc w:val="center"/>
      </w:pPr>
      <w:r>
        <w:rPr>
          <w:rFonts w:ascii="Times New Roman" w:cs="Times New Roman" w:eastAsia="Times New Roman" w:hAnsi="Times New Roman"/>
          <w:b/>
          <w:bCs/>
          <w:color w:val="1B3A6B"/>
          <w:sz w:val="52"/>
          <w:szCs w:val="52"/>
        </w:rPr>
        <w:t xml:space="preserve">Leçon Dzogchen n°08 — Les trois séries : Semdé, Longdé, Mengagdé</w:t>
      </w:r>
    </w:p>
    <w:p>
      <w:pPr>
        <w:spacing w:after="80" w:before="80"/>
      </w:pPr>
      <w:r>
        <w:rPr>
          <w:rFonts w:ascii="Times New Roman" w:cs="Times New Roman" w:eastAsia="Times New Roman" w:hAnsi="Times New Roman"/>
          <w:b w:val="false"/>
          <w:bCs w:val="false"/>
          <w:i w:val="false"/>
          <w:iCs w:val="false"/>
          <w:color w:val="1B3A6B"/>
          <w:sz w:val="22"/>
          <w:szCs w:val="22"/>
        </w:rPr>
        <w:t xml:space="preserve">Date : 28 juillet 2026  |  Position dans le parcours : Module Fondamental — leçon 8 / 12</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Objectif et continuité</w:t>
      </w:r>
    </w:p>
    <w:p>
      <w:pPr>
        <w:spacing w:after="80" w:before="80"/>
      </w:pPr>
      <w:r>
        <w:rPr>
          <w:rFonts w:ascii="Times New Roman" w:cs="Times New Roman" w:eastAsia="Times New Roman" w:hAnsi="Times New Roman"/>
          <w:b w:val="false"/>
          <w:bCs w:val="false"/>
          <w:i w:val="false"/>
          <w:iCs w:val="false"/>
          <w:color w:val="1F2937"/>
          <w:sz w:val="22"/>
          <w:szCs w:val="22"/>
        </w:rPr>
        <w:t xml:space="preserve">À la fin de cette leçon, tu sauras :</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Distinguer les trois séries du Dzogchen (Semdé, Longdé, Mengagdé) dans leur intention et leur méthode.</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Situer chaque série sur l'axe esprit / espace / transmission directe.</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Identifier les textes et maîtres associés à chaque série.</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Comprendre pourquoi la Mengagdé (et son cœur, le Nyingtik) est aujourd'hui la plus pratiquée.</w:t>
      </w:r>
    </w:p>
    <w:p>
      <w:pPr>
        <w:spacing w:after="80" w:before="80"/>
      </w:pPr>
    </w:p>
    <w:p>
      <w:pPr>
        <w:spacing w:after="80" w:before="80"/>
      </w:pPr>
      <w:r>
        <w:rPr>
          <w:rFonts w:ascii="Times New Roman" w:cs="Times New Roman" w:eastAsia="Times New Roman" w:hAnsi="Times New Roman"/>
          <w:b w:val="false"/>
          <w:bCs w:val="false"/>
          <w:i/>
          <w:iCs/>
          <w:color w:val="555555"/>
          <w:sz w:val="22"/>
          <w:szCs w:val="22"/>
        </w:rPr>
        <w:t xml:space="preserve">Lien avec la leçon précédente : En leçon 07, tu as exploré le Tögal — pratiques de la lumière, vision directe de la nature de l'esprit. Ces pratiques luminiques appartiennent précisément à la Mengagdé (cycle Nyingtik). Cette leçon élargit l'horizon en cartographiant l'architecture complète du Dzogchen en trois grandes séries.</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Théorie (20%) — Architecture des trois séries</w:t>
      </w:r>
    </w:p>
    <w:p>
      <w:pPr>
        <w:pStyle w:val="Heading3"/>
        <w:spacing w:after="80" w:before="200"/>
      </w:pPr>
      <w:r>
        <w:rPr>
          <w:rFonts w:ascii="Times New Roman" w:cs="Times New Roman" w:eastAsia="Times New Roman" w:hAnsi="Times New Roman"/>
          <w:b/>
          <w:bCs/>
          <w:color w:val="1F2937"/>
          <w:sz w:val="26"/>
          <w:szCs w:val="26"/>
        </w:rPr>
        <w:t xml:space="preserve">1. Origine de la classification : Mañjuśrīmitra</w:t>
      </w:r>
    </w:p>
    <w:p>
      <w:pPr>
        <w:spacing w:after="80" w:before="80"/>
      </w:pPr>
      <w:r>
        <w:rPr>
          <w:rFonts w:ascii="Times New Roman" w:cs="Times New Roman" w:eastAsia="Times New Roman" w:hAnsi="Times New Roman"/>
          <w:b w:val="false"/>
          <w:bCs w:val="false"/>
          <w:i w:val="false"/>
          <w:iCs w:val="false"/>
          <w:color w:val="1F2937"/>
          <w:sz w:val="22"/>
          <w:szCs w:val="22"/>
        </w:rPr>
        <w:t xml:space="preserve">La tradition attribue la division en trois séries à Mañjuśrīmitra, disciple direct de Garab Dorje (le premier maître humain du Dzogchen). Après avoir reçu la totalité de la transmission, il organisa les enseignements en trois voies d'accès distinctes — trois portes vers la même réalisation.</w:t>
      </w:r>
    </w:p>
    <w:p>
      <w:pPr>
        <w:spacing w:after="80" w:before="80"/>
      </w:pPr>
      <w:r>
        <w:rPr>
          <w:rFonts w:ascii="Times New Roman" w:cs="Times New Roman" w:eastAsia="Times New Roman" w:hAnsi="Times New Roman"/>
          <w:b w:val="false"/>
          <w:bCs w:val="false"/>
          <w:i w:val="false"/>
          <w:iCs w:val="false"/>
          <w:color w:val="1F2937"/>
          <w:sz w:val="22"/>
          <w:szCs w:val="22"/>
        </w:rPr>
        <w:t xml:space="preserve">Selon la littérature spécialisée, la cristallisation doxographique de ce système s'est réellement consolidée vers le XIe siècle, notamment dans la littérature de la Mengagdé, même si l'attribution à Mañjuśrīmitra est ancienne.</w:t>
      </w:r>
    </w:p>
    <w:p>
      <w:pPr>
        <w:spacing w:after="80" w:before="80"/>
      </w:pPr>
    </w:p>
    <w:p>
      <w:pPr>
        <w:pStyle w:val="Heading3"/>
        <w:spacing w:after="80" w:before="200"/>
      </w:pPr>
      <w:r>
        <w:rPr>
          <w:rFonts w:ascii="Times New Roman" w:cs="Times New Roman" w:eastAsia="Times New Roman" w:hAnsi="Times New Roman"/>
          <w:b/>
          <w:bCs/>
          <w:color w:val="1F2937"/>
          <w:sz w:val="26"/>
          <w:szCs w:val="26"/>
        </w:rPr>
        <w:t xml:space="preserve">2. Vue synoptique des trois séries</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6B" w:color="1B3A6B" w:val="solid"/>
          </w:tcPr>
          <w:p>
            <w:pPr>
              <w:jc w:val="center"/>
            </w:pPr>
            <w:r>
              <w:rPr>
                <w:rFonts w:ascii="Times New Roman" w:cs="Times New Roman" w:eastAsia="Times New Roman" w:hAnsi="Times New Roman"/>
                <w:b/>
                <w:bCs/>
                <w:color w:val="FFFFFF"/>
                <w:sz w:val="20"/>
                <w:szCs w:val="20"/>
              </w:rPr>
              <w:t xml:space="preserve">Série</w:t>
            </w:r>
          </w:p>
        </w:tc>
        <w:tc>
          <w:tcPr>
            <w:shd w:fill="1B3A6B" w:color="1B3A6B" w:val="solid"/>
          </w:tcPr>
          <w:p>
            <w:pPr>
              <w:jc w:val="center"/>
            </w:pPr>
            <w:r>
              <w:rPr>
                <w:rFonts w:ascii="Times New Roman" w:cs="Times New Roman" w:eastAsia="Times New Roman" w:hAnsi="Times New Roman"/>
                <w:b/>
                <w:bCs/>
                <w:color w:val="FFFFFF"/>
                <w:sz w:val="20"/>
                <w:szCs w:val="20"/>
              </w:rPr>
              <w:t xml:space="preserve">Nom tibétain</w:t>
            </w:r>
          </w:p>
        </w:tc>
        <w:tc>
          <w:tcPr>
            <w:shd w:fill="1B3A6B" w:color="1B3A6B" w:val="solid"/>
          </w:tcPr>
          <w:p>
            <w:pPr>
              <w:jc w:val="center"/>
            </w:pPr>
            <w:r>
              <w:rPr>
                <w:rFonts w:ascii="Times New Roman" w:cs="Times New Roman" w:eastAsia="Times New Roman" w:hAnsi="Times New Roman"/>
                <w:b/>
                <w:bCs/>
                <w:color w:val="FFFFFF"/>
                <w:sz w:val="20"/>
                <w:szCs w:val="20"/>
              </w:rPr>
              <w:t xml:space="preserve">Sens</w:t>
            </w:r>
          </w:p>
        </w:tc>
        <w:tc>
          <w:tcPr>
            <w:shd w:fill="1B3A6B" w:color="1B3A6B" w:val="solid"/>
          </w:tcPr>
          <w:p>
            <w:pPr>
              <w:jc w:val="center"/>
            </w:pPr>
            <w:r>
              <w:rPr>
                <w:rFonts w:ascii="Times New Roman" w:cs="Times New Roman" w:eastAsia="Times New Roman" w:hAnsi="Times New Roman"/>
                <w:b/>
                <w:bCs/>
                <w:color w:val="FFFFFF"/>
                <w:sz w:val="20"/>
                <w:szCs w:val="20"/>
              </w:rPr>
              <w:t xml:space="preserve">Accent central</w:t>
            </w:r>
          </w:p>
        </w:tc>
        <w:tc>
          <w:tcPr>
            <w:shd w:fill="1B3A6B" w:color="1B3A6B" w:val="solid"/>
          </w:tcPr>
          <w:p>
            <w:pPr>
              <w:jc w:val="center"/>
            </w:pPr>
            <w:r>
              <w:rPr>
                <w:rFonts w:ascii="Times New Roman" w:cs="Times New Roman" w:eastAsia="Times New Roman" w:hAnsi="Times New Roman"/>
                <w:b/>
                <w:bCs/>
                <w:color w:val="FFFFFF"/>
                <w:sz w:val="20"/>
                <w:szCs w:val="20"/>
              </w:rPr>
              <w:t xml:space="preserve">Texte-clé</w:t>
            </w:r>
          </w:p>
        </w:tc>
      </w:tr>
      <w:tr>
        <w:tc>
          <w:tcPr>
            <w:shd w:fill="EEF2F7" w:color="EEF2F7" w:val="solid"/>
          </w:tcPr>
          <w:p>
            <w:r>
              <w:rPr>
                <w:rFonts w:ascii="Times New Roman" w:cs="Times New Roman" w:eastAsia="Times New Roman" w:hAnsi="Times New Roman"/>
                <w:color w:val="1F2937"/>
                <w:sz w:val="20"/>
                <w:szCs w:val="20"/>
              </w:rPr>
              <w:t xml:space="preserve">Semdé</w:t>
            </w:r>
          </w:p>
        </w:tc>
        <w:tc>
          <w:tcPr>
            <w:shd w:fill="EEF2F7" w:color="EEF2F7" w:val="solid"/>
          </w:tcPr>
          <w:p>
            <w:r>
              <w:rPr>
                <w:rFonts w:ascii="Times New Roman" w:cs="Times New Roman" w:eastAsia="Times New Roman" w:hAnsi="Times New Roman"/>
                <w:color w:val="1F2937"/>
                <w:sz w:val="20"/>
                <w:szCs w:val="20"/>
              </w:rPr>
              <w:t xml:space="preserve">སེམས་སྡེ</w:t>
            </w:r>
          </w:p>
        </w:tc>
        <w:tc>
          <w:tcPr>
            <w:shd w:fill="EEF2F7" w:color="EEF2F7" w:val="solid"/>
          </w:tcPr>
          <w:p>
            <w:r>
              <w:rPr>
                <w:rFonts w:ascii="Times New Roman" w:cs="Times New Roman" w:eastAsia="Times New Roman" w:hAnsi="Times New Roman"/>
                <w:color w:val="1F2937"/>
                <w:sz w:val="20"/>
                <w:szCs w:val="20"/>
              </w:rPr>
              <w:t xml:space="preserve">Série de l'Esprit</w:t>
            </w:r>
          </w:p>
        </w:tc>
        <w:tc>
          <w:tcPr>
            <w:shd w:fill="EEF2F7" w:color="EEF2F7" w:val="solid"/>
          </w:tcPr>
          <w:p>
            <w:r>
              <w:rPr>
                <w:rFonts w:ascii="Times New Roman" w:cs="Times New Roman" w:eastAsia="Times New Roman" w:hAnsi="Times New Roman"/>
                <w:color w:val="1F2937"/>
                <w:sz w:val="20"/>
                <w:szCs w:val="20"/>
              </w:rPr>
              <w:t xml:space="preserve">Nature lumineuse de l'esprit</w:t>
            </w:r>
          </w:p>
        </w:tc>
        <w:tc>
          <w:tcPr>
            <w:shd w:fill="EEF2F7" w:color="EEF2F7" w:val="solid"/>
          </w:tcPr>
          <w:p>
            <w:r>
              <w:rPr>
                <w:rFonts w:ascii="Times New Roman" w:cs="Times New Roman" w:eastAsia="Times New Roman" w:hAnsi="Times New Roman"/>
                <w:color w:val="1F2937"/>
                <w:sz w:val="20"/>
                <w:szCs w:val="20"/>
              </w:rPr>
              <w:t xml:space="preserve">Kunjed Gyalpo</w:t>
            </w:r>
          </w:p>
        </w:tc>
      </w:tr>
      <w:tr>
        <w:tc>
          <w:p>
            <w:r>
              <w:rPr>
                <w:rFonts w:ascii="Times New Roman" w:cs="Times New Roman" w:eastAsia="Times New Roman" w:hAnsi="Times New Roman"/>
                <w:color w:val="1F2937"/>
                <w:sz w:val="20"/>
                <w:szCs w:val="20"/>
              </w:rPr>
              <w:t xml:space="preserve">Longdé</w:t>
            </w:r>
          </w:p>
        </w:tc>
        <w:tc>
          <w:p>
            <w:r>
              <w:rPr>
                <w:rFonts w:ascii="Times New Roman" w:cs="Times New Roman" w:eastAsia="Times New Roman" w:hAnsi="Times New Roman"/>
                <w:color w:val="1F2937"/>
                <w:sz w:val="20"/>
                <w:szCs w:val="20"/>
              </w:rPr>
              <w:t xml:space="preserve">ཀློང་སྡེ</w:t>
            </w:r>
          </w:p>
        </w:tc>
        <w:tc>
          <w:p>
            <w:r>
              <w:rPr>
                <w:rFonts w:ascii="Times New Roman" w:cs="Times New Roman" w:eastAsia="Times New Roman" w:hAnsi="Times New Roman"/>
                <w:color w:val="1F2937"/>
                <w:sz w:val="20"/>
                <w:szCs w:val="20"/>
              </w:rPr>
              <w:t xml:space="preserve">Série de l'Espace</w:t>
            </w:r>
          </w:p>
        </w:tc>
        <w:tc>
          <w:p>
            <w:r>
              <w:rPr>
                <w:rFonts w:ascii="Times New Roman" w:cs="Times New Roman" w:eastAsia="Times New Roman" w:hAnsi="Times New Roman"/>
                <w:color w:val="1F2937"/>
                <w:sz w:val="20"/>
                <w:szCs w:val="20"/>
              </w:rPr>
              <w:t xml:space="preserve">Vide primordial, dimension ouverte</w:t>
            </w:r>
          </w:p>
        </w:tc>
        <w:tc>
          <w:p>
            <w:r>
              <w:rPr>
                <w:rFonts w:ascii="Times New Roman" w:cs="Times New Roman" w:eastAsia="Times New Roman" w:hAnsi="Times New Roman"/>
                <w:color w:val="1F2937"/>
                <w:sz w:val="20"/>
                <w:szCs w:val="20"/>
              </w:rPr>
              <w:t xml:space="preserve">Textes symboliques de l'espace</w:t>
            </w:r>
          </w:p>
        </w:tc>
      </w:tr>
      <w:tr>
        <w:tc>
          <w:tcPr>
            <w:shd w:fill="EEF2F7" w:color="EEF2F7" w:val="solid"/>
          </w:tcPr>
          <w:p>
            <w:r>
              <w:rPr>
                <w:rFonts w:ascii="Times New Roman" w:cs="Times New Roman" w:eastAsia="Times New Roman" w:hAnsi="Times New Roman"/>
                <w:color w:val="1F2937"/>
                <w:sz w:val="20"/>
                <w:szCs w:val="20"/>
              </w:rPr>
              <w:t xml:space="preserve">Mengagdé</w:t>
            </w:r>
          </w:p>
        </w:tc>
        <w:tc>
          <w:tcPr>
            <w:shd w:fill="EEF2F7" w:color="EEF2F7" w:val="solid"/>
          </w:tcPr>
          <w:p>
            <w:r>
              <w:rPr>
                <w:rFonts w:ascii="Times New Roman" w:cs="Times New Roman" w:eastAsia="Times New Roman" w:hAnsi="Times New Roman"/>
                <w:color w:val="1F2937"/>
                <w:sz w:val="20"/>
                <w:szCs w:val="20"/>
              </w:rPr>
              <w:t xml:space="preserve">མན་ངག་སྡེ</w:t>
            </w:r>
          </w:p>
        </w:tc>
        <w:tc>
          <w:tcPr>
            <w:shd w:fill="EEF2F7" w:color="EEF2F7" w:val="solid"/>
          </w:tcPr>
          <w:p>
            <w:r>
              <w:rPr>
                <w:rFonts w:ascii="Times New Roman" w:cs="Times New Roman" w:eastAsia="Times New Roman" w:hAnsi="Times New Roman"/>
                <w:color w:val="1F2937"/>
                <w:sz w:val="20"/>
                <w:szCs w:val="20"/>
              </w:rPr>
              <w:t xml:space="preserve">Série des Instructions secrètes (Upadesha)</w:t>
            </w:r>
          </w:p>
        </w:tc>
        <w:tc>
          <w:tcPr>
            <w:shd w:fill="EEF2F7" w:color="EEF2F7" w:val="solid"/>
          </w:tcPr>
          <w:p>
            <w:r>
              <w:rPr>
                <w:rFonts w:ascii="Times New Roman" w:cs="Times New Roman" w:eastAsia="Times New Roman" w:hAnsi="Times New Roman"/>
                <w:color w:val="1F2937"/>
                <w:sz w:val="20"/>
                <w:szCs w:val="20"/>
              </w:rPr>
              <w:t xml:space="preserve">Transmission directe maître → disciple</w:t>
            </w:r>
          </w:p>
        </w:tc>
        <w:tc>
          <w:tcPr>
            <w:shd w:fill="EEF2F7" w:color="EEF2F7" w:val="solid"/>
          </w:tcPr>
          <w:p>
            <w:r>
              <w:rPr>
                <w:rFonts w:ascii="Times New Roman" w:cs="Times New Roman" w:eastAsia="Times New Roman" w:hAnsi="Times New Roman"/>
                <w:color w:val="1F2937"/>
                <w:sz w:val="20"/>
                <w:szCs w:val="20"/>
              </w:rPr>
              <w:t xml:space="preserve">Dix-sept Tantras · Nyingtik</w:t>
            </w:r>
          </w:p>
        </w:tc>
      </w:tr>
    </w:tbl>
    <w:p>
      <w:pPr>
        <w:spacing w:after="80" w:before="80"/>
      </w:pPr>
    </w:p>
    <w:p>
      <w:pPr>
        <w:pStyle w:val="Heading3"/>
        <w:spacing w:after="80" w:before="200"/>
      </w:pPr>
      <w:r>
        <w:rPr>
          <w:rFonts w:ascii="Times New Roman" w:cs="Times New Roman" w:eastAsia="Times New Roman" w:hAnsi="Times New Roman"/>
          <w:b/>
          <w:bCs/>
          <w:color w:val="1F2937"/>
          <w:sz w:val="26"/>
          <w:szCs w:val="26"/>
        </w:rPr>
        <w:t xml:space="preserve">3. Semdé — La série de l'Esprit (སེམས་སྡེ)</w:t>
      </w:r>
    </w:p>
    <w:p>
      <w:pPr>
        <w:spacing w:after="80" w:before="80"/>
      </w:pPr>
      <w:r>
        <w:rPr>
          <w:rFonts w:ascii="Times New Roman" w:cs="Times New Roman" w:eastAsia="Times New Roman" w:hAnsi="Times New Roman"/>
          <w:b w:val="false"/>
          <w:bCs w:val="false"/>
          <w:i w:val="false"/>
          <w:iCs w:val="false"/>
          <w:color w:val="1F2937"/>
          <w:sz w:val="22"/>
          <w:szCs w:val="22"/>
        </w:rPr>
        <w:t xml:space="preserve">Le Semdé introduit le pratiquant à la nature de l'esprit par l'esprit lui-même. L'accent est mis sur la luminosité inhérente de la conscience (rigpa) et sa capacité à refléter la réalité telle qu'elle est, sans filtrage conceptuel.</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Texte-clé : le Kunjed Gyalpo (Roi Créateur de Tout), l'un des premiers et plus influents textes Dzogchen, organisé en 18 grands textes sacrés.</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Maîtres associés : Śrī Siṅgha, Vairotsana, Vimalamitra (IXe siècle).</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Approche : comprendre que l'esprit personnel est la base de toutes les apparences — il est vide et lumineux simultanément.</w:t>
      </w:r>
    </w:p>
    <w:p>
      <w:pPr>
        <w:spacing w:after="80" w:before="80"/>
      </w:pPr>
    </w:p>
    <w:p>
      <w:pPr>
        <w:pStyle w:val="Heading3"/>
        <w:spacing w:after="80" w:before="200"/>
      </w:pPr>
      <w:r>
        <w:rPr>
          <w:rFonts w:ascii="Times New Roman" w:cs="Times New Roman" w:eastAsia="Times New Roman" w:hAnsi="Times New Roman"/>
          <w:b/>
          <w:bCs/>
          <w:color w:val="1F2937"/>
          <w:sz w:val="26"/>
          <w:szCs w:val="26"/>
        </w:rPr>
        <w:t xml:space="preserve">4. Longdé — La série de l'Espace (ཀློང་སྡེ)</w:t>
      </w:r>
    </w:p>
    <w:p>
      <w:pPr>
        <w:spacing w:after="80" w:before="80"/>
      </w:pPr>
      <w:r>
        <w:rPr>
          <w:rFonts w:ascii="Times New Roman" w:cs="Times New Roman" w:eastAsia="Times New Roman" w:hAnsi="Times New Roman"/>
          <w:b w:val="false"/>
          <w:bCs w:val="false"/>
          <w:i w:val="false"/>
          <w:iCs w:val="false"/>
          <w:color w:val="1F2937"/>
          <w:sz w:val="22"/>
          <w:szCs w:val="22"/>
        </w:rPr>
        <w:t xml:space="preserve">Le Longdé travaille avec l'espace comme dimension primordiale du vide. L'espace ici n'est pas le vide négatif du nihilisme : c'est la base ouverte et non limitée depuis laquelle la clarté se manifeste.</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Caractéristique : introduction symbolique et non-verbale — postures corporelles spécifiques, regards, environnement naturel.</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Statut actuel : rarement transmis et pratiqué aujourd'hui, préservé par quelques maîtres comme Namkhai Norbu Rinpoché.</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Concept central : l'esprit dans sa nature n'est pas délimité par les concepts, idées ou frontières ordinaires.</w:t>
      </w:r>
    </w:p>
    <w:p>
      <w:pPr>
        <w:spacing w:after="80" w:before="80"/>
      </w:pPr>
    </w:p>
    <w:p>
      <w:pPr>
        <w:pStyle w:val="Heading3"/>
        <w:spacing w:after="80" w:before="200"/>
      </w:pPr>
      <w:r>
        <w:rPr>
          <w:rFonts w:ascii="Times New Roman" w:cs="Times New Roman" w:eastAsia="Times New Roman" w:hAnsi="Times New Roman"/>
          <w:b/>
          <w:bCs/>
          <w:color w:val="1F2937"/>
          <w:sz w:val="26"/>
          <w:szCs w:val="26"/>
        </w:rPr>
        <w:t xml:space="preserve">5. Mengagdé — La série des Instructions secrètes (མན་ངག་སྡེ)</w:t>
      </w:r>
    </w:p>
    <w:p>
      <w:pPr>
        <w:spacing w:after="80" w:before="80"/>
      </w:pPr>
      <w:r>
        <w:rPr>
          <w:rFonts w:ascii="Times New Roman" w:cs="Times New Roman" w:eastAsia="Times New Roman" w:hAnsi="Times New Roman"/>
          <w:b w:val="false"/>
          <w:bCs w:val="false"/>
          <w:i w:val="false"/>
          <w:iCs w:val="false"/>
          <w:color w:val="1F2937"/>
          <w:sz w:val="22"/>
          <w:szCs w:val="22"/>
        </w:rPr>
        <w:t xml:space="preserve">La Mengagdé (aussi appelée Upadesha, « instructions orales directes ») est la série la plus directe, la plus concise et aujourd'hui la plus largement enseignée. Elle repose sur la transmission expérientielle de maître à disciple, sans détour par la méditation conceptuelle sur le vide.</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Śrī Siṅgha subdivisa la Mengagdé en quatre cycles : extérieur, intérieur, secret et suprêmement secret (innermost, unexcelled).</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Textes majeurs : les Dix-sept Tantras (rgyud bcu bdun) et le cœur du système : le Nyingtik (Essence du Cœur).</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Nyingtik — deux lignées principales :</w:t>
      </w:r>
    </w:p>
    <w:p>
      <w:pPr>
        <w:pStyle w:val="ListParagraph"/>
        <w:numPr>
          <w:ilvl w:val="1"/>
          <w:numId w:val="1"/>
        </w:numPr>
        <w:spacing w:after="60" w:before="60"/>
        <w:ind w:left="760"/>
      </w:pPr>
      <w:r>
        <w:rPr>
          <w:rFonts w:ascii="Times New Roman" w:cs="Times New Roman" w:eastAsia="Times New Roman" w:hAnsi="Times New Roman"/>
          <w:color w:val="1F2937"/>
          <w:sz w:val="22"/>
          <w:szCs w:val="22"/>
        </w:rPr>
        <w:t xml:space="preserve">Vima Nyingtik (de Vimalamitra, écrit et caché)</w:t>
      </w:r>
    </w:p>
    <w:p>
      <w:pPr>
        <w:pStyle w:val="ListParagraph"/>
        <w:numPr>
          <w:ilvl w:val="1"/>
          <w:numId w:val="1"/>
        </w:numPr>
        <w:spacing w:after="60" w:before="60"/>
        <w:ind w:left="760"/>
      </w:pPr>
      <w:r>
        <w:rPr>
          <w:rFonts w:ascii="Times New Roman" w:cs="Times New Roman" w:eastAsia="Times New Roman" w:hAnsi="Times New Roman"/>
          <w:color w:val="1F2937"/>
          <w:sz w:val="22"/>
          <w:szCs w:val="22"/>
        </w:rPr>
        <w:t xml:space="preserve">Khandro Nyingtik (de Padmasambhava, transmis à Yeshe Tsogyal)</w:t>
      </w:r>
    </w:p>
    <w:p>
      <w:pPr>
        <w:spacing w:after="80" w:before="80"/>
      </w:pPr>
    </w:p>
    <w:p>
      <w:pPr>
        <w:pStyle w:val="Heading3"/>
        <w:spacing w:after="80" w:before="200"/>
      </w:pPr>
      <w:r>
        <w:rPr>
          <w:rFonts w:ascii="Times New Roman" w:cs="Times New Roman" w:eastAsia="Times New Roman" w:hAnsi="Times New Roman"/>
          <w:b/>
          <w:bCs/>
          <w:color w:val="1F2937"/>
          <w:sz w:val="26"/>
          <w:szCs w:val="26"/>
        </w:rPr>
        <w:t xml:space="preserve">6. Longchenpa — Synthèse des trois séries</w:t>
      </w:r>
    </w:p>
    <w:p>
      <w:pPr>
        <w:spacing w:after="80" w:before="80"/>
      </w:pPr>
      <w:r>
        <w:rPr>
          <w:rFonts w:ascii="Times New Roman" w:cs="Times New Roman" w:eastAsia="Times New Roman" w:hAnsi="Times New Roman"/>
          <w:b w:val="false"/>
          <w:bCs w:val="false"/>
          <w:i w:val="false"/>
          <w:iCs w:val="false"/>
          <w:color w:val="1F2937"/>
          <w:sz w:val="22"/>
          <w:szCs w:val="22"/>
        </w:rPr>
        <w:t xml:space="preserve">Longchenpa (1308–1364, aussi appelé Drimé Özer — Lumière sans tache) est le maître qui a le plus profondément synthétisé ces trois séries dans une architecture cohérente.</w:t>
      </w:r>
    </w:p>
    <w:p>
      <w:pPr>
        <w:spacing w:after="80" w:before="80"/>
      </w:pPr>
      <w:r>
        <w:rPr>
          <w:rFonts w:ascii="Times New Roman" w:cs="Times New Roman" w:eastAsia="Times New Roman" w:hAnsi="Times New Roman"/>
          <w:b w:val="false"/>
          <w:bCs w:val="false"/>
          <w:i w:val="false"/>
          <w:iCs w:val="false"/>
          <w:color w:val="1F2937"/>
          <w:sz w:val="22"/>
          <w:szCs w:val="22"/>
        </w:rPr>
        <w:t xml:space="preserve">Ses Sept Trésors (mdzod bdun) et le Nyingtik Yabzhi (Quatre collections du Cœur-Essence) articulent les trois séries dans un système progressif. Son recueil Trente conseils du cœur insiste sur la pratique simple, la discipline éthique et l'humilité.</w:t>
      </w:r>
    </w:p>
    <w:p>
      <w:pPr>
        <w:spacing w:after="80" w:before="80"/>
      </w:pPr>
      <w:r>
        <w:rPr>
          <w:rFonts w:ascii="Times New Roman" w:cs="Times New Roman" w:eastAsia="Times New Roman" w:hAnsi="Times New Roman"/>
          <w:b w:val="false"/>
          <w:bCs w:val="false"/>
          <w:i w:val="false"/>
          <w:iCs w:val="false"/>
          <w:color w:val="1F2937"/>
          <w:sz w:val="22"/>
          <w:szCs w:val="22"/>
        </w:rPr>
        <w:t xml:space="preserve">Jigme Lingpa (1730–1798) perpétua cette synthèse en révélant le Longchen Nyingthig, cycle de trésor textuel (terma) considéré comme l'un des plus influents de la tradition Nyingma.</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Pratique (80%) — Trois exercices d'apprentissage actif</w:t>
      </w:r>
    </w:p>
    <w:p>
      <w:pPr>
        <w:pStyle w:val="Heading3"/>
        <w:spacing w:after="80" w:before="200"/>
      </w:pPr>
      <w:r>
        <w:rPr>
          <w:rFonts w:ascii="Times New Roman" w:cs="Times New Roman" w:eastAsia="Times New Roman" w:hAnsi="Times New Roman"/>
          <w:b/>
          <w:bCs/>
          <w:color w:val="1F2937"/>
          <w:sz w:val="26"/>
          <w:szCs w:val="26"/>
        </w:rPr>
        <w:t xml:space="preserve">Exercice 1 — Cartographie active des trois séries</w:t>
      </w:r>
    </w:p>
    <w:p>
      <w:pPr>
        <w:spacing w:after="80" w:before="80"/>
      </w:pPr>
      <w:r>
        <w:rPr>
          <w:rFonts w:ascii="Times New Roman" w:cs="Times New Roman" w:eastAsia="Times New Roman" w:hAnsi="Times New Roman"/>
          <w:b w:val="false"/>
          <w:bCs w:val="false"/>
          <w:i w:val="false"/>
          <w:iCs w:val="false"/>
          <w:color w:val="1F2937"/>
          <w:sz w:val="22"/>
          <w:szCs w:val="22"/>
        </w:rPr>
        <w:t xml:space="preserve">Durée estimée : 20 min</w:t>
      </w:r>
    </w:p>
    <w:p>
      <w:pPr>
        <w:spacing w:after="80" w:before="80"/>
      </w:pPr>
    </w:p>
    <w:p>
      <w:pPr>
        <w:spacing w:after="80" w:before="80"/>
      </w:pPr>
      <w:r>
        <w:rPr>
          <w:rFonts w:ascii="Times New Roman" w:cs="Times New Roman" w:eastAsia="Times New Roman" w:hAnsi="Times New Roman"/>
          <w:b w:val="false"/>
          <w:bCs w:val="false"/>
          <w:i w:val="false"/>
          <w:iCs w:val="false"/>
          <w:color w:val="1F2937"/>
          <w:sz w:val="22"/>
          <w:szCs w:val="22"/>
        </w:rPr>
        <w:t xml:space="preserve">Objectif : ancrer les distinctions conceptuelles par la reformulation personnelle.</w:t>
      </w:r>
    </w:p>
    <w:p>
      <w:pPr>
        <w:spacing w:after="80" w:before="80"/>
      </w:pPr>
    </w:p>
    <w:p>
      <w:pPr>
        <w:spacing w:after="80" w:before="80"/>
      </w:pPr>
      <w:r>
        <w:rPr>
          <w:rFonts w:ascii="Times New Roman" w:cs="Times New Roman" w:eastAsia="Times New Roman" w:hAnsi="Times New Roman"/>
          <w:b w:val="false"/>
          <w:bCs w:val="false"/>
          <w:i w:val="false"/>
          <w:iCs w:val="false"/>
          <w:color w:val="1F2937"/>
          <w:sz w:val="22"/>
          <w:szCs w:val="22"/>
        </w:rPr>
        <w:t xml:space="preserve">Consigne :</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Sans regarder tes notes, trace de mémoire un tableau à 3 colonnes (Semdé / Longdé / Mengagdé).</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Pour chaque série, note : le sens du nom, l'accent central, un texte ou maître clé, une image ou métaphore qui te parle.</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Compare avec le tableau de la leçon. Identifie ce qui manque ou ce qui est imprécis.</w:t>
      </w:r>
    </w:p>
    <w:p>
      <w:pPr>
        <w:spacing w:after="80" w:before="80"/>
      </w:pPr>
    </w:p>
    <w:p>
      <w:pPr>
        <w:spacing w:after="80" w:before="80"/>
      </w:pPr>
      <w:r>
        <w:rPr>
          <w:rFonts w:ascii="Times New Roman" w:cs="Times New Roman" w:eastAsia="Times New Roman" w:hAnsi="Times New Roman"/>
          <w:b w:val="false"/>
          <w:bCs w:val="false"/>
          <w:i w:val="false"/>
          <w:iCs w:val="false"/>
          <w:color w:val="1F2937"/>
          <w:sz w:val="22"/>
          <w:szCs w:val="22"/>
        </w:rPr>
        <w:t xml:space="preserve">Corrigé-type : voir tableau synoptique ci-dessus. Vérifie en particulier :</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Semdé → esprit / luminosité / Kunjed Gyalpo / Vairotsana</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Longdé → espace / vide ouvert / rarement transmis / Namkhai Norbu</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Mengagdé → instructions directes / Upadesha / Nyingtik / Longchenpa</w:t>
      </w:r>
    </w:p>
    <w:p>
      <w:pPr>
        <w:spacing w:after="80" w:before="80"/>
      </w:pPr>
    </w:p>
    <w:p>
      <w:pPr>
        <w:spacing w:after="80" w:before="80"/>
      </w:pPr>
      <w:r>
        <w:rPr>
          <w:rFonts w:ascii="Times New Roman" w:cs="Times New Roman" w:eastAsia="Times New Roman" w:hAnsi="Times New Roman"/>
          <w:b w:val="false"/>
          <w:bCs w:val="false"/>
          <w:i w:val="false"/>
          <w:iCs w:val="false"/>
          <w:color w:val="1F2937"/>
          <w:sz w:val="22"/>
          <w:szCs w:val="22"/>
        </w:rPr>
        <w:t xml:space="preserve">Note : la « métaphore personnelle » n'a pas de corrigé — c'est toi qui l'inventes pour ancrer le concept. Elle n'est pas évaluée, elle est mémorisée.</w:t>
      </w:r>
    </w:p>
    <w:p>
      <w:pPr>
        <w:pBdr>
          <w:bottom w:val="single" w:color="1B3A6B" w:sz="6"/>
        </w:pBdr>
        <w:spacing w:after="160" w:before="160"/>
      </w:pPr>
    </w:p>
    <w:p>
      <w:pPr>
        <w:pStyle w:val="Heading3"/>
        <w:spacing w:after="80" w:before="200"/>
      </w:pPr>
      <w:r>
        <w:rPr>
          <w:rFonts w:ascii="Times New Roman" w:cs="Times New Roman" w:eastAsia="Times New Roman" w:hAnsi="Times New Roman"/>
          <w:b/>
          <w:bCs/>
          <w:color w:val="1F2937"/>
          <w:sz w:val="26"/>
          <w:szCs w:val="26"/>
        </w:rPr>
        <w:t xml:space="preserve">Exercice 2 — Contemplation de l'espace (introduction au Longdé)</w:t>
      </w:r>
    </w:p>
    <w:p>
      <w:pPr>
        <w:spacing w:after="80" w:before="80"/>
      </w:pPr>
      <w:r>
        <w:rPr>
          <w:rFonts w:ascii="Times New Roman" w:cs="Times New Roman" w:eastAsia="Times New Roman" w:hAnsi="Times New Roman"/>
          <w:b w:val="false"/>
          <w:bCs w:val="false"/>
          <w:i w:val="false"/>
          <w:iCs w:val="false"/>
          <w:color w:val="1F2937"/>
          <w:sz w:val="22"/>
          <w:szCs w:val="22"/>
        </w:rPr>
        <w:t xml:space="preserve">Durée estimée : 15–20 min  |  Type : méditation contemplative</w:t>
      </w:r>
    </w:p>
    <w:p>
      <w:pPr>
        <w:spacing w:after="80" w:before="80"/>
      </w:pPr>
    </w:p>
    <w:p>
      <w:pPr>
        <w:spacing w:after="80" w:before="80"/>
      </w:pPr>
      <w:r>
        <w:rPr>
          <w:rFonts w:ascii="Times New Roman" w:cs="Times New Roman" w:eastAsia="Times New Roman" w:hAnsi="Times New Roman"/>
          <w:b w:val="false"/>
          <w:bCs w:val="false"/>
          <w:i w:val="false"/>
          <w:iCs w:val="false"/>
          <w:color w:val="1F2937"/>
          <w:sz w:val="22"/>
          <w:szCs w:val="22"/>
        </w:rPr>
        <w:t xml:space="preserve">Contexte : le Longdé travaille avec l'espace comme base. Cet exercice est une introduction expérientielle — non un enseignement Longdé authentique (lequel nécessite une transmission), mais une exploration de la même direction.</w:t>
      </w:r>
    </w:p>
    <w:p>
      <w:pPr>
        <w:spacing w:after="80" w:before="80"/>
      </w:pPr>
    </w:p>
    <w:p>
      <w:pPr>
        <w:spacing w:after="80" w:before="80"/>
      </w:pPr>
      <w:r>
        <w:rPr>
          <w:rFonts w:ascii="Times New Roman" w:cs="Times New Roman" w:eastAsia="Times New Roman" w:hAnsi="Times New Roman"/>
          <w:b w:val="false"/>
          <w:bCs w:val="false"/>
          <w:i w:val="false"/>
          <w:iCs w:val="false"/>
          <w:color w:val="1F2937"/>
          <w:sz w:val="22"/>
          <w:szCs w:val="22"/>
        </w:rPr>
        <w:t xml:space="preserve">Consigne :</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Assieds-toi dehors ou près d'une fenêtre ouverte, si possible avec une vue sur le ciel ou un espace ouvert.</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Pendant 5 min : observe le ciel ou l'espace devant toi. Ne cherche pas à méditer. Regarde simplement.</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Ensuite, ferme les yeux et tente de reproduire intérieurement cette sensation d'espace ouvert, non délimité.</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Observe : est-ce que l'esprit qui regarde l'espace a lui-même des bords ? Est-il contenu quelque part ?</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Reste dans cette question sans chercher à y répondre conceptuellement — 10 min.</w:t>
      </w:r>
    </w:p>
    <w:p>
      <w:pPr>
        <w:spacing w:after="80" w:before="80"/>
      </w:pPr>
    </w:p>
    <w:p>
      <w:pPr>
        <w:spacing w:after="80" w:before="80"/>
      </w:pPr>
      <w:r>
        <w:rPr>
          <w:rFonts w:ascii="Times New Roman" w:cs="Times New Roman" w:eastAsia="Times New Roman" w:hAnsi="Times New Roman"/>
          <w:b w:val="false"/>
          <w:bCs w:val="false"/>
          <w:i w:val="false"/>
          <w:iCs w:val="false"/>
          <w:color w:val="1F2937"/>
          <w:sz w:val="22"/>
          <w:szCs w:val="22"/>
        </w:rPr>
        <w:t xml:space="preserve">Point d'intégration : dans le Longdé, l'espace extérieur et l'espace de l'esprit sont reconnus comme non séparés. Cette contemplation en donne un avant-goût expérientiel.</w:t>
      </w:r>
    </w:p>
    <w:p>
      <w:pPr>
        <w:pBdr>
          <w:bottom w:val="single" w:color="1B3A6B" w:sz="6"/>
        </w:pBdr>
        <w:spacing w:after="160" w:before="160"/>
      </w:pPr>
    </w:p>
    <w:p>
      <w:pPr>
        <w:pStyle w:val="Heading3"/>
        <w:spacing w:after="80" w:before="200"/>
      </w:pPr>
      <w:r>
        <w:rPr>
          <w:rFonts w:ascii="Times New Roman" w:cs="Times New Roman" w:eastAsia="Times New Roman" w:hAnsi="Times New Roman"/>
          <w:b/>
          <w:bCs/>
          <w:color w:val="1F2937"/>
          <w:sz w:val="26"/>
          <w:szCs w:val="26"/>
        </w:rPr>
        <w:t xml:space="preserve">Exercice 3 — Lecture active sur le Nyingtik</w:t>
      </w:r>
    </w:p>
    <w:p>
      <w:pPr>
        <w:spacing w:after="80" w:before="80"/>
      </w:pPr>
      <w:r>
        <w:rPr>
          <w:rFonts w:ascii="Times New Roman" w:cs="Times New Roman" w:eastAsia="Times New Roman" w:hAnsi="Times New Roman"/>
          <w:b w:val="false"/>
          <w:bCs w:val="false"/>
          <w:i w:val="false"/>
          <w:iCs w:val="false"/>
          <w:color w:val="1F2937"/>
          <w:sz w:val="22"/>
          <w:szCs w:val="22"/>
        </w:rPr>
        <w:t xml:space="preserve">Durée estimée : 25–30 min  |  Type : compréhension active</w:t>
      </w:r>
    </w:p>
    <w:p>
      <w:pPr>
        <w:spacing w:after="80" w:before="80"/>
      </w:pPr>
    </w:p>
    <w:p>
      <w:pPr>
        <w:spacing w:after="80" w:before="80"/>
      </w:pPr>
      <w:r>
        <w:rPr>
          <w:rFonts w:ascii="Times New Roman" w:cs="Times New Roman" w:eastAsia="Times New Roman" w:hAnsi="Times New Roman"/>
          <w:b w:val="false"/>
          <w:bCs w:val="false"/>
          <w:i w:val="false"/>
          <w:iCs w:val="false"/>
          <w:color w:val="1F2937"/>
          <w:sz w:val="22"/>
          <w:szCs w:val="22"/>
        </w:rPr>
        <w:t xml:space="preserve">Le Nyingtik (Essence du Cœur) est le cœur de la Mengagdé. Il comprend les pratiques du Trekchö et du Tögal (vus en leçons 06 et 07) dans leur forme la plus directe.</w:t>
      </w:r>
    </w:p>
    <w:p>
      <w:pPr>
        <w:spacing w:after="80" w:before="80"/>
      </w:pPr>
    </w:p>
    <w:p>
      <w:pPr>
        <w:spacing w:after="80" w:before="80"/>
      </w:pPr>
      <w:r>
        <w:rPr>
          <w:rFonts w:ascii="Times New Roman" w:cs="Times New Roman" w:eastAsia="Times New Roman" w:hAnsi="Times New Roman"/>
          <w:b w:val="false"/>
          <w:bCs w:val="false"/>
          <w:i w:val="false"/>
          <w:iCs w:val="false"/>
          <w:color w:val="1F2937"/>
          <w:sz w:val="22"/>
          <w:szCs w:val="22"/>
        </w:rPr>
        <w:t xml:space="preserve">Consigne :</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Lis la section théorique de cette leçon sur la Mengagdé une seconde fois, lentement.</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Réponds à ces trois questions par écrit (5–7 lignes chacune) :</w:t>
      </w:r>
    </w:p>
    <w:p>
      <w:pPr>
        <w:pStyle w:val="ListParagraph"/>
        <w:numPr>
          <w:ilvl w:val="1"/>
          <w:numId w:val="1"/>
        </w:numPr>
        <w:spacing w:after="60" w:before="60"/>
        <w:ind w:left="760"/>
      </w:pPr>
      <w:r>
        <w:rPr>
          <w:rFonts w:ascii="Times New Roman" w:cs="Times New Roman" w:eastAsia="Times New Roman" w:hAnsi="Times New Roman"/>
          <w:color w:val="1F2937"/>
          <w:sz w:val="22"/>
          <w:szCs w:val="22"/>
        </w:rPr>
        <w:t xml:space="preserve">Pourquoi la Mengagdé est-elle qualifiée de « plus directe » que le Semdé ?</w:t>
      </w:r>
    </w:p>
    <w:p>
      <w:pPr>
        <w:pStyle w:val="ListParagraph"/>
        <w:numPr>
          <w:ilvl w:val="1"/>
          <w:numId w:val="1"/>
        </w:numPr>
        <w:spacing w:after="60" w:before="60"/>
        <w:ind w:left="760"/>
      </w:pPr>
      <w:r>
        <w:rPr>
          <w:rFonts w:ascii="Times New Roman" w:cs="Times New Roman" w:eastAsia="Times New Roman" w:hAnsi="Times New Roman"/>
          <w:color w:val="1F2937"/>
          <w:sz w:val="22"/>
          <w:szCs w:val="22"/>
        </w:rPr>
        <w:t xml:space="preserve">Quelle est la différence entre le Nyingtik de Vimalamitra et celui de Padmasambhava (Khandro Nyingtik) — en termes de lignée et de mode de transmission ?</w:t>
      </w:r>
    </w:p>
    <w:p>
      <w:pPr>
        <w:pStyle w:val="ListParagraph"/>
        <w:numPr>
          <w:ilvl w:val="1"/>
          <w:numId w:val="1"/>
        </w:numPr>
        <w:spacing w:after="60" w:before="60"/>
        <w:ind w:left="760"/>
      </w:pPr>
      <w:r>
        <w:rPr>
          <w:rFonts w:ascii="Times New Roman" w:cs="Times New Roman" w:eastAsia="Times New Roman" w:hAnsi="Times New Roman"/>
          <w:color w:val="1F2937"/>
          <w:sz w:val="22"/>
          <w:szCs w:val="22"/>
        </w:rPr>
        <w:t xml:space="preserve">Longchenpa n'a pas « inventé » le Dzogchen : qu'a-t-il fait précisément avec les trois séries ?</w:t>
      </w:r>
    </w:p>
    <w:p>
      <w:pPr>
        <w:spacing w:after="80" w:before="80"/>
      </w:pPr>
    </w:p>
    <w:p>
      <w:pPr>
        <w:spacing w:after="80" w:before="80"/>
      </w:pPr>
      <w:r>
        <w:rPr>
          <w:rFonts w:ascii="Times New Roman" w:cs="Times New Roman" w:eastAsia="Times New Roman" w:hAnsi="Times New Roman"/>
          <w:b w:val="false"/>
          <w:bCs w:val="false"/>
          <w:i w:val="false"/>
          <w:iCs w:val="false"/>
          <w:color w:val="1F2937"/>
          <w:sz w:val="22"/>
          <w:szCs w:val="22"/>
        </w:rPr>
        <w:t xml:space="preserve">Éléments de réponse :</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La Mengagdé est plus directe car elle ne passe pas par la méditation conceptuelle sur le vide (comme le Semdé) ni par des formes symboliques (comme le Longdé) — elle vise l'introduction directe à rigpa.</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Vima Nyingtik : transmis par Vimalamitra, consigné par écrit et caché (terma à déterrer). Khandro Nyingtik : transmis par Padmasambhava à Yeshe Tsogyal, conservé par voie de transmission orale et de terma.</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Longchenpa a synthétisé (et non créé) les trois séries dans une architecture cohérente : ses Sept Trésors et le Nyingtik Yabzhi intègrent les trois lignées dans un système progressif et complet.</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Challenge — Carte mentale de l'architecture du Dzogchen</w:t>
      </w:r>
    </w:p>
    <w:p>
      <w:pPr>
        <w:spacing w:after="80" w:before="80"/>
      </w:pPr>
      <w:r>
        <w:rPr>
          <w:rFonts w:ascii="Times New Roman" w:cs="Times New Roman" w:eastAsia="Times New Roman" w:hAnsi="Times New Roman"/>
          <w:b w:val="false"/>
          <w:bCs w:val="false"/>
          <w:i w:val="false"/>
          <w:iCs w:val="false"/>
          <w:color w:val="1F2937"/>
          <w:sz w:val="22"/>
          <w:szCs w:val="22"/>
        </w:rPr>
        <w:t xml:space="preserve">Durée estimée : 30–40 min  |  Exercice de synthèse</w:t>
      </w:r>
    </w:p>
    <w:p>
      <w:pPr>
        <w:spacing w:after="80" w:before="80"/>
      </w:pPr>
    </w:p>
    <w:p>
      <w:pPr>
        <w:spacing w:after="80" w:before="80"/>
      </w:pPr>
      <w:r>
        <w:rPr>
          <w:rFonts w:ascii="Times New Roman" w:cs="Times New Roman" w:eastAsia="Times New Roman" w:hAnsi="Times New Roman"/>
          <w:b w:val="false"/>
          <w:bCs w:val="false"/>
          <w:i w:val="false"/>
          <w:iCs w:val="false"/>
          <w:color w:val="1F2937"/>
          <w:sz w:val="22"/>
          <w:szCs w:val="22"/>
        </w:rPr>
        <w:t xml:space="preserve">Objectif : mobiliser l'ensemble des leçons 01 à 08 pour produire une carte mentale complète du Dzogchen.</w:t>
      </w:r>
    </w:p>
    <w:p>
      <w:pPr>
        <w:spacing w:after="80" w:before="80"/>
      </w:pPr>
    </w:p>
    <w:p>
      <w:pPr>
        <w:spacing w:after="80" w:before="80"/>
      </w:pPr>
      <w:r>
        <w:rPr>
          <w:rFonts w:ascii="Times New Roman" w:cs="Times New Roman" w:eastAsia="Times New Roman" w:hAnsi="Times New Roman"/>
          <w:b w:val="false"/>
          <w:bCs w:val="false"/>
          <w:i w:val="false"/>
          <w:iCs w:val="false"/>
          <w:color w:val="1F2937"/>
          <w:sz w:val="22"/>
          <w:szCs w:val="22"/>
        </w:rPr>
        <w:t xml:space="preserve">Consigne :</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Sur une feuille A4 (ou outil numérique), crée une carte mentale avec pour nœud central : « Dzogchen ».</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Branches de niveau 1 (au moins 5) : Base (gzhi) · Rigpa / sem · Garab Dorje · Trekchö · Tögal · Trois séries · Maîtres · Pratique quotidienne</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Branches de niveau 2 : pour chaque branche, ajoute 2 à 4 concepts-clés ou noms vus en cours.</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Branches de niveau 3 : pour les trois séries (Semdé / Longdé / Mengagdé), ajoute les textes et maîtres associés.</w:t>
      </w:r>
    </w:p>
    <w:p>
      <w:pPr>
        <w:spacing w:after="80" w:before="80"/>
      </w:pPr>
    </w:p>
    <w:p>
      <w:pPr>
        <w:spacing w:after="80" w:before="80"/>
      </w:pPr>
      <w:r>
        <w:rPr>
          <w:rFonts w:ascii="Times New Roman" w:cs="Times New Roman" w:eastAsia="Times New Roman" w:hAnsi="Times New Roman"/>
          <w:b w:val="false"/>
          <w:bCs w:val="false"/>
          <w:i w:val="false"/>
          <w:iCs w:val="false"/>
          <w:color w:val="1F2937"/>
          <w:sz w:val="22"/>
          <w:szCs w:val="22"/>
        </w:rPr>
        <w:t xml:space="preserve">Critères de réussite :</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Les connexions entre les branches sont explicitées (ex. « Trekchö appartient à la Mengagdé »).</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Au moins 30 nœuds distincts.</w:t>
      </w:r>
    </w:p>
    <w:p>
      <w:pPr>
        <w:pStyle w:val="ListParagraph"/>
        <w:numPr>
          <w:ilvl w:val="0"/>
          <w:numId w:val="1"/>
        </w:numPr>
        <w:spacing w:after="60" w:before="60"/>
        <w:ind w:left="400"/>
      </w:pPr>
      <w:r>
        <w:rPr>
          <w:rFonts w:ascii="Times New Roman" w:cs="Times New Roman" w:eastAsia="Times New Roman" w:hAnsi="Times New Roman"/>
          <w:color w:val="1F2937"/>
          <w:sz w:val="22"/>
          <w:szCs w:val="22"/>
        </w:rPr>
        <w:t xml:space="preserve">La progression des leçons 01 à 08 est lisible dans la carte.</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Pont pro — Cadre de référence et niveaux de lecture</w:t>
      </w:r>
    </w:p>
    <w:p>
      <w:pPr>
        <w:spacing w:after="80" w:before="80"/>
      </w:pPr>
      <w:r>
        <w:rPr>
          <w:rFonts w:ascii="Times New Roman" w:cs="Times New Roman" w:eastAsia="Times New Roman" w:hAnsi="Times New Roman"/>
          <w:b w:val="false"/>
          <w:bCs w:val="false"/>
          <w:i w:val="false"/>
          <w:iCs w:val="false"/>
          <w:color w:val="1F2937"/>
          <w:sz w:val="22"/>
          <w:szCs w:val="22"/>
        </w:rPr>
        <w:t xml:space="preserve">Les trois séries proposent trois entrées vers la même réalité : par l'esprit (Semdé), par l'espace (Longdé), par la transmission directe (Mengagdé). Cette logique des « voies d'accès multiples vers un même objectif » est familière en management d'équipe : certains professionnels s'approprient un changement par l'argumentation (approche cognitive / Semdé), d'autres par l'immersion dans un environnement modifié (approche contextuelle / Longdé), d'autres encore par le compagnonnage direct avec un pair ou un cadre (transmission / Mengagdé). Reconnaître quel canal convient à quel professionnel est une compétence clé du chef de service.</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Ressources cliquables pour approfondir</w:t>
      </w:r>
    </w:p>
    <w:p>
      <w:pPr>
        <w:spacing w:after="80" w:before="80"/>
      </w:pPr>
      <w:r>
        <w:rPr>
          <w:rFonts w:ascii="Times New Roman" w:cs="Times New Roman" w:eastAsia="Times New Roman" w:hAnsi="Times New Roman"/>
          <w:b w:val="false"/>
          <w:bCs w:val="false"/>
          <w:i w:val="false"/>
          <w:iCs w:val="false"/>
          <w:color w:val="1F2937"/>
          <w:sz w:val="22"/>
          <w:szCs w:val="22"/>
        </w:rPr>
        <w:t xml:space="preserve">Sources consultées et vérifiées durant cette session :</w:t>
      </w:r>
    </w:p>
    <w:p>
      <w:pPr>
        <w:spacing w:after="80" w:before="80"/>
      </w:pPr>
    </w:p>
    <w:p>
      <w:pPr>
        <w:spacing w:after="60" w:before="60"/>
        <w:ind w:left="400"/>
      </w:pPr>
      <w:r>
        <w:rPr>
          <w:rFonts w:ascii="Times New Roman" w:cs="Times New Roman" w:eastAsia="Times New Roman" w:hAnsi="Times New Roman"/>
          <w:color w:val="1F2937"/>
          <w:sz w:val="22"/>
          <w:szCs w:val="22"/>
        </w:rPr>
        <w:t xml:space="preserve">• </w:t>
      </w:r>
      <w:hyperlink w:history="1" r:id="rIdrtjkh2jpsgsd_xkafzqcs">
        <w:r>
          <w:rPr>
            <w:rFonts w:ascii="Times New Roman" w:cs="Times New Roman" w:eastAsia="Times New Roman" w:hAnsi="Times New Roman"/>
            <w:color w:val="1155CC"/>
            <w:sz w:val="22"/>
            <w:szCs w:val="22"/>
            <w:u w:val="single"/>
          </w:rPr>
          <w:t xml:space="preserve">Wikipedia — Dzogchen (Three series, historique, maîtres)</w:t>
        </w:r>
      </w:hyperlink>
    </w:p>
    <w:p>
      <w:pPr>
        <w:spacing w:after="60" w:before="60"/>
        <w:ind w:left="400"/>
      </w:pPr>
      <w:r>
        <w:rPr>
          <w:rFonts w:ascii="Times New Roman" w:cs="Times New Roman" w:eastAsia="Times New Roman" w:hAnsi="Times New Roman"/>
          <w:color w:val="1F2937"/>
          <w:sz w:val="22"/>
          <w:szCs w:val="22"/>
        </w:rPr>
        <w:t xml:space="preserve">• </w:t>
      </w:r>
      <w:hyperlink w:history="1" r:id="rIderm7ikdzxook-gencyzkz">
        <w:r>
          <w:rPr>
            <w:rFonts w:ascii="Times New Roman" w:cs="Times New Roman" w:eastAsia="Times New Roman" w:hAnsi="Times New Roman"/>
            <w:color w:val="1155CC"/>
            <w:sz w:val="22"/>
            <w:szCs w:val="22"/>
            <w:u w:val="single"/>
          </w:rPr>
          <w:t xml:space="preserve">Lotsawa House — Longchen Rabjam (biographie et œuvres principales)</w:t>
        </w:r>
      </w:hyperlink>
    </w:p>
    <w:p>
      <w:pPr>
        <w:spacing w:after="60" w:before="60"/>
        <w:ind w:left="400"/>
      </w:pPr>
      <w:r>
        <w:rPr>
          <w:rFonts w:ascii="Times New Roman" w:cs="Times New Roman" w:eastAsia="Times New Roman" w:hAnsi="Times New Roman"/>
          <w:color w:val="1F2937"/>
          <w:sz w:val="22"/>
          <w:szCs w:val="22"/>
        </w:rPr>
        <w:t xml:space="preserve">• </w:t>
      </w:r>
      <w:hyperlink w:history="1" r:id="rIdfqutmffp1bhvjeo-wx5pn">
        <w:r>
          <w:rPr>
            <w:rFonts w:ascii="Times New Roman" w:cs="Times New Roman" w:eastAsia="Times New Roman" w:hAnsi="Times New Roman"/>
            <w:color w:val="1155CC"/>
            <w:sz w:val="22"/>
            <w:szCs w:val="22"/>
            <w:u w:val="single"/>
          </w:rPr>
          <w:t xml:space="preserve">Tsegyalgar East — Semdé, Longdé et Mengagdé (communauté Namkhai Norbu)</w:t>
        </w:r>
      </w:hyperlink>
    </w:p>
    <w:p>
      <w:pPr>
        <w:spacing w:after="60" w:before="60"/>
        <w:ind w:left="400"/>
      </w:pPr>
      <w:r>
        <w:rPr>
          <w:rFonts w:ascii="Times New Roman" w:cs="Times New Roman" w:eastAsia="Times New Roman" w:hAnsi="Times New Roman"/>
          <w:color w:val="1F2937"/>
          <w:sz w:val="22"/>
          <w:szCs w:val="22"/>
        </w:rPr>
        <w:t xml:space="preserve">• </w:t>
      </w:r>
      <w:hyperlink w:history="1" r:id="rId7acyo-cm_ng72veok9-aa">
        <w:r>
          <w:rPr>
            <w:rFonts w:ascii="Times New Roman" w:cs="Times New Roman" w:eastAsia="Times New Roman" w:hAnsi="Times New Roman"/>
            <w:color w:val="1155CC"/>
            <w:sz w:val="22"/>
            <w:szCs w:val="22"/>
            <w:u w:val="single"/>
          </w:rPr>
          <w:t xml:space="preserve">Communauté Dzogchen Internationale France — Enseignements Dzogchen</w:t>
        </w:r>
      </w:hyperlink>
    </w:p>
    <w:p>
      <w:pPr>
        <w:spacing w:after="60" w:before="60"/>
        <w:ind w:left="400"/>
      </w:pPr>
      <w:r>
        <w:rPr>
          <w:rFonts w:ascii="Times New Roman" w:cs="Times New Roman" w:eastAsia="Times New Roman" w:hAnsi="Times New Roman"/>
          <w:color w:val="1F2937"/>
          <w:sz w:val="22"/>
          <w:szCs w:val="22"/>
        </w:rPr>
        <w:t xml:space="preserve">• </w:t>
      </w:r>
      <w:hyperlink w:history="1" r:id="rIdxkt3aczaiahhcmflq74cs">
        <w:r>
          <w:rPr>
            <w:rFonts w:ascii="Times New Roman" w:cs="Times New Roman" w:eastAsia="Times New Roman" w:hAnsi="Times New Roman"/>
            <w:color w:val="1155CC"/>
            <w:sz w:val="22"/>
            <w:szCs w:val="22"/>
            <w:u w:val="single"/>
          </w:rPr>
          <w:t xml:space="preserve">Dzogchen.lt — Three Series of the Dzogchen Teaching (Semde, Longde, Mennagde)</w:t>
        </w:r>
      </w:hyperlink>
    </w:p>
    <w:p>
      <w:pPr>
        <w:spacing w:after="60" w:before="60"/>
        <w:ind w:left="400"/>
      </w:pPr>
      <w:r>
        <w:rPr>
          <w:rFonts w:ascii="Times New Roman" w:cs="Times New Roman" w:eastAsia="Times New Roman" w:hAnsi="Times New Roman"/>
          <w:color w:val="1F2937"/>
          <w:sz w:val="22"/>
          <w:szCs w:val="22"/>
        </w:rPr>
        <w:t xml:space="preserve">• </w:t>
      </w:r>
      <w:hyperlink w:history="1" r:id="rIdkifgagbtxmz0fbzu9lxym">
        <w:r>
          <w:rPr>
            <w:rFonts w:ascii="Times New Roman" w:cs="Times New Roman" w:eastAsia="Times New Roman" w:hAnsi="Times New Roman"/>
            <w:color w:val="1155CC"/>
            <w:sz w:val="22"/>
            <w:szCs w:val="22"/>
            <w:u w:val="single"/>
          </w:rPr>
          <w:t xml:space="preserve">Tricycle — Understanding Dzogchen (Anne C. Klein, Fall 2023)</w:t>
        </w:r>
      </w:hyperlink>
    </w:p>
    <w:p>
      <w:pPr>
        <w:spacing w:after="80" w:before="80"/>
      </w:pPr>
    </w:p>
    <w:p>
      <w:pPr>
        <w:spacing w:after="80" w:before="80"/>
      </w:pPr>
      <w:r>
        <w:rPr>
          <w:rFonts w:ascii="Times New Roman" w:cs="Times New Roman" w:eastAsia="Times New Roman" w:hAnsi="Times New Roman"/>
          <w:b w:val="false"/>
          <w:bCs w:val="false"/>
          <w:i/>
          <w:iCs/>
          <w:color w:val="888888"/>
          <w:sz w:val="22"/>
          <w:szCs w:val="22"/>
        </w:rPr>
        <w:t xml:space="preserve">Sources inaccessibles lors de cette session :</w:t>
      </w:r>
    </w:p>
    <w:p>
      <w:pPr>
        <w:spacing w:after="80" w:before="80"/>
      </w:pPr>
      <w:r>
        <w:rPr>
          <w:rFonts w:ascii="Times New Roman" w:cs="Times New Roman" w:eastAsia="Times New Roman" w:hAnsi="Times New Roman"/>
          <w:b w:val="false"/>
          <w:bCs w:val="false"/>
          <w:i/>
          <w:iCs/>
          <w:color w:val="888888"/>
          <w:sz w:val="22"/>
          <w:szCs w:val="22"/>
        </w:rPr>
        <w:t xml:space="preserve">⛔ Rigpa Wiki (rigpawiki.org) — erreur 403 · ⛔ Study Buddhism (studybuddhism.com) — erreur 404</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Prochaine leçon (n°09)</w:t>
      </w:r>
    </w:p>
    <w:p>
      <w:pPr>
        <w:spacing w:after="80" w:before="80"/>
      </w:pPr>
      <w:r>
        <w:rPr>
          <w:rFonts w:ascii="Times New Roman" w:cs="Times New Roman" w:eastAsia="Times New Roman" w:hAnsi="Times New Roman"/>
          <w:b w:val="false"/>
          <w:bCs w:val="false"/>
          <w:i w:val="false"/>
          <w:iCs w:val="false"/>
          <w:color w:val="1F2937"/>
          <w:sz w:val="22"/>
          <w:szCs w:val="22"/>
        </w:rPr>
        <w:t xml:space="preserve">Thème : Le Ngöndro — les pratiques préliminaires et leur sens</w:t>
      </w:r>
    </w:p>
    <w:p>
      <w:pPr>
        <w:spacing w:after="80" w:before="80"/>
      </w:pPr>
      <w:r>
        <w:rPr>
          <w:rFonts w:ascii="Times New Roman" w:cs="Times New Roman" w:eastAsia="Times New Roman" w:hAnsi="Times New Roman"/>
          <w:b w:val="false"/>
          <w:bCs w:val="false"/>
          <w:i w:val="false"/>
          <w:iCs w:val="false"/>
          <w:color w:val="1F2937"/>
          <w:sz w:val="22"/>
          <w:szCs w:val="22"/>
        </w:rPr>
        <w:t xml:space="preserve">Tu découvriras les cinq pratiques fondamentales du Ngöndro (prostrations, refuge, Vajrasattva, mandala, Guru Yoga), leur logique spirituelle et pourquoi certains maîtres Dzogchen les considèrent comme indispensables tandis que d'autres enseignent que rigpa peut être reconnu directement.</w:t>
      </w:r>
    </w:p>
    <w:p>
      <w:pPr>
        <w:spacing w:after="80" w:before="80"/>
      </w:pPr>
    </w:p>
    <w:p>
      <w:pPr>
        <w:spacing w:after="80" w:before="80"/>
      </w:pPr>
      <w:r>
        <w:rPr>
          <w:rFonts w:ascii="Times New Roman" w:cs="Times New Roman" w:eastAsia="Times New Roman" w:hAnsi="Times New Roman"/>
          <w:b w:val="false"/>
          <w:bCs w:val="false"/>
          <w:i/>
          <w:iCs/>
          <w:color w:val="555555"/>
          <w:sz w:val="22"/>
          <w:szCs w:val="22"/>
        </w:rPr>
        <w:t xml:space="preserve">À mardi prochain — bonne pratique.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tjkh2jpsgsd_xkafzqcs" Type="http://schemas.openxmlformats.org/officeDocument/2006/relationships/hyperlink" Target="https://en.wikipedia.org/wiki/Dzogchen" TargetMode="External"/><Relationship Id="rIderm7ikdzxook-gencyzkz" Type="http://schemas.openxmlformats.org/officeDocument/2006/relationships/hyperlink" Target="https://www.lotsawahouse.org/tibetan-masters/longchen-rabjam" TargetMode="External"/><Relationship Id="rIdfqutmffp1bhvjeo-wx5pn" Type="http://schemas.openxmlformats.org/officeDocument/2006/relationships/hyperlink" Target="https://www.tsegyalgar.org/theteachings/dzogchen/threeseriesofthedz/" TargetMode="External"/><Relationship Id="rId7acyo-cm_ng72veok9-aa" Type="http://schemas.openxmlformats.org/officeDocument/2006/relationships/hyperlink" Target="https://dzogchen-fr.org/dzogchen/" TargetMode="External"/><Relationship Id="rIdxkt3aczaiahhcmflq74cs" Type="http://schemas.openxmlformats.org/officeDocument/2006/relationships/hyperlink" Target="https://www.dzogchen.lt/trys-dzogceno-mokymu-grupes_en/" TargetMode="External"/><Relationship Id="rIdkifgagbtxmz0fbzu9lxym" Type="http://schemas.openxmlformats.org/officeDocument/2006/relationships/hyperlink" Target="https://tricycle.org/magazine/dzogchen/"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2026-07-28T06:07:36.341Z</dcterms:created>
  <dcterms:modified xsi:type="dcterms:W3CDTF">2026-07-28T06:07:36.594Z</dcterms:modified>
</cp:coreProperties>
</file>

<file path=docProps/custom.xml><?xml version="1.0" encoding="utf-8"?>
<Properties xmlns="http://schemas.openxmlformats.org/officeDocument/2006/custom-properties" xmlns:vt="http://schemas.openxmlformats.org/officeDocument/2006/docPropsVTypes"/>
</file>