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Dzogchen n°10</w:t>
      </w:r>
    </w:p>
    <w:p>
      <w:pPr>
        <w:spacing w:after="80" w:before="80"/>
        <w:jc w:val="center"/>
      </w:pPr>
      <w:r>
        <w:rPr>
          <w:rFonts w:ascii="Times New Roman" w:cs="Times New Roman" w:eastAsia="Times New Roman" w:hAnsi="Times New Roman"/>
          <w:b/>
          <w:bCs/>
          <w:color w:val="1B3A6B"/>
          <w:sz w:val="36"/>
          <w:szCs w:val="36"/>
        </w:rPr>
        <w:t xml:space="preserve">Le maître, la lignée et le samaya</w:t>
      </w:r>
    </w:p>
    <w:p>
      <w:pPr>
        <w:spacing w:after="60" w:before="60"/>
        <w:jc w:val="center"/>
      </w:pPr>
      <w:r>
        <w:rPr>
          <w:rFonts w:ascii="Times New Roman" w:cs="Times New Roman" w:eastAsia="Times New Roman" w:hAnsi="Times New Roman"/>
          <w:color w:val="1F2937"/>
          <w:sz w:val="22"/>
          <w:szCs w:val="22"/>
        </w:rPr>
        <w:t xml:space="preserve">11 août 2026  ·  Leçon 10 / 20</w:t>
      </w:r>
    </w:p>
    <w:p>
      <w:pPr>
        <w:spacing w:after="200" w:before="200"/>
      </w:pPr>
      <w:r>
        <w:rPr>
          <w:rFonts w:ascii="Times New Roman" w:cs="Times New Roman" w:eastAsia="Times New Roman" w:hAnsi="Times New Roman"/>
          <w:color w:val="CCCCCC"/>
          <w:sz w:val="18"/>
          <w:szCs w:val="18"/>
        </w:rPr>
        <w:t xml:space="preserve">─────────────────────────────────────────────────────────</w:t>
      </w:r>
    </w:p>
    <w:p>
      <w:pPr>
        <w:pStyle w:val="Heading2"/>
        <w:spacing w:after="120" w:before="36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seras capable de : (1) définir le maître vajra et son rôle irremplaçable dans le dzogchen ; (2) comprendre ce qu'est une lignée de transmission et comment elle garantit l'authenticité de l'enseignement ; (3) expliciter le samaya — le lien sacré qui unit le disciple à son maître et à sa lignée — et en distinguer les dimensions pratiques.</w:t>
      </w:r>
    </w:p>
    <w:p>
      <w:pPr>
        <w:spacing w:after="80" w:before="80"/>
      </w:pPr>
      <w:r>
        <w:rPr>
          <w:rFonts w:ascii="Times New Roman" w:cs="Times New Roman" w:eastAsia="Times New Roman" w:hAnsi="Times New Roman"/>
          <w:color w:val="1F2937"/>
          <w:sz w:val="22"/>
          <w:szCs w:val="22"/>
        </w:rPr>
        <w:t xml:space="preserve">Continuité avec la leçon 9 (Ngöndro — les pratiques préliminaires) : le ngöndro culmine dans le guru yoga, pratique de dévotion et de fusion avec le maître. La leçon 10 approfondit ce pivot : pourquoi le maître est-il indispensable dans le dzogchen, et quel engagement lie le disciple à lui ? Ces deux leçons forment un socle essentiel avant d'aborder les pratiques avancées (rushen, leçon 11).</w:t>
      </w:r>
    </w:p>
    <w:p>
      <w:pPr>
        <w:spacing w:after="200" w:before="200"/>
      </w:pPr>
      <w:r>
        <w:rPr>
          <w:rFonts w:ascii="Times New Roman" w:cs="Times New Roman" w:eastAsia="Times New Roman" w:hAnsi="Times New Roman"/>
          <w:color w:val="CCCCCC"/>
          <w:sz w:val="18"/>
          <w:szCs w:val="18"/>
        </w:rPr>
        <w:t xml:space="preserve">─────────────────────────────────────────────────────────</w:t>
      </w:r>
    </w:p>
    <w:p>
      <w:pPr>
        <w:pStyle w:val="Heading2"/>
        <w:spacing w:after="120" w:before="360"/>
      </w:pPr>
      <w:r>
        <w:rPr>
          <w:rFonts w:ascii="Times New Roman" w:cs="Times New Roman" w:eastAsia="Times New Roman" w:hAnsi="Times New Roman"/>
          <w:b/>
          <w:bCs/>
          <w:color w:val="1B3A6B"/>
          <w:sz w:val="30"/>
          <w:szCs w:val="30"/>
        </w:rPr>
        <w:t xml:space="preserve">🔬 Théorie (20%) — Le maître, la lignée et le samaya</w:t>
      </w:r>
    </w:p>
    <w:p>
      <w:pPr>
        <w:pStyle w:val="Heading3"/>
        <w:spacing w:after="80" w:before="240"/>
      </w:pPr>
      <w:r>
        <w:rPr>
          <w:rFonts w:ascii="Times New Roman" w:cs="Times New Roman" w:eastAsia="Times New Roman" w:hAnsi="Times New Roman"/>
          <w:b/>
          <w:bCs/>
          <w:color w:val="1F2937"/>
          <w:sz w:val="26"/>
          <w:szCs w:val="26"/>
        </w:rPr>
        <w:t xml:space="preserve">1. Le maître vajra (vajra guru) — pourquoi irremplaçable ?</w:t>
      </w:r>
    </w:p>
    <w:p>
      <w:pPr>
        <w:spacing w:after="80" w:before="80"/>
      </w:pPr>
      <w:r>
        <w:rPr>
          <w:rFonts w:ascii="Times New Roman" w:cs="Times New Roman" w:eastAsia="Times New Roman" w:hAnsi="Times New Roman"/>
          <w:color w:val="1F2937"/>
          <w:sz w:val="22"/>
          <w:szCs w:val="22"/>
        </w:rPr>
        <w:t xml:space="preserve">Dans le dzogchen, la transmission de la réalisation ne peut pas passer par le seul texte. Le maître (tib. lama, skt. guru) est le vecteur vivant de la lignée : il transmet non seulement un enseignement, mais une expérience directe — la reconnaissance de rigpa. Selon l'approche décrite par les sources du dzogchen, le guru incarne un exemple vivant de la direction spirituelle recherchée et possède une réalisation authentique de rigpa.</w:t>
      </w:r>
    </w:p>
    <w:p>
      <w:pPr>
        <w:spacing w:after="80" w:before="80"/>
      </w:pPr>
      <w:r>
        <w:rPr>
          <w:rFonts w:ascii="Times New Roman" w:cs="Times New Roman" w:eastAsia="Times New Roman" w:hAnsi="Times New Roman"/>
          <w:color w:val="1F2937"/>
          <w:sz w:val="22"/>
          <w:szCs w:val="22"/>
        </w:rPr>
        <w:t xml:space="preserve">La tradition distingue plusieurs types de maîtres selon le niveau d'enseignement reçu : le maître qui donne des vœux extérieurs, celui qui confère des empowerments tantriques, et le maître vajra — celui qui transmet la vue directe du dzogchen (rigpa). Ce dernier lien est considéré comme le plus profond et le plus contraignant.</w:t>
      </w:r>
    </w:p>
    <w:p>
      <w:pPr>
        <w:spacing w:after="80" w:before="80"/>
      </w:pPr>
      <w:r>
        <w:rPr>
          <w:rFonts w:ascii="Times New Roman" w:cs="Times New Roman" w:eastAsia="Times New Roman" w:hAnsi="Times New Roman"/>
          <w:color w:val="1F2937"/>
          <w:sz w:val="22"/>
          <w:szCs w:val="22"/>
        </w:rPr>
        <w:t xml:space="preserve">Les qualités d'un maître qualifié, selon la littérature dzogchen, incluent : une réalisation stable de la nature de l'esprit, une appartenance à une lignée ininterrompue, la capacité à conférer consciemment les états de reconnaissance, et une conduite éthique irréprochable. La tradition insiste sur la nécessité d'examiner le maître avant de s'engager.</w:t>
      </w:r>
    </w:p>
    <w:p>
      <w:pPr>
        <w:pStyle w:val="Heading3"/>
        <w:spacing w:after="80" w:before="240"/>
      </w:pPr>
      <w:r>
        <w:rPr>
          <w:rFonts w:ascii="Times New Roman" w:cs="Times New Roman" w:eastAsia="Times New Roman" w:hAnsi="Times New Roman"/>
          <w:b/>
          <w:bCs/>
          <w:color w:val="1F2937"/>
          <w:sz w:val="26"/>
          <w:szCs w:val="26"/>
        </w:rPr>
        <w:t xml:space="preserve">2. La lignée — comment l'enseignement traverse le temps ?</w:t>
      </w:r>
    </w:p>
    <w:p>
      <w:pPr>
        <w:spacing w:after="80" w:before="80"/>
      </w:pPr>
      <w:r>
        <w:rPr>
          <w:rFonts w:ascii="Times New Roman" w:cs="Times New Roman" w:eastAsia="Times New Roman" w:hAnsi="Times New Roman"/>
          <w:color w:val="1F2937"/>
          <w:sz w:val="22"/>
          <w:szCs w:val="22"/>
        </w:rPr>
        <w:t xml:space="preserve">La lignée (tib. gyü, brgyud) est la chaîne de transmission par laquelle un enseignement passe de maître en disciple depuis son origine. Dans le dzogchen nyingma, deux types coexistent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Kama (bka' ma) : transmission orale et scriptrale ininterrompue depuis Garab Dorje → Manjushrimitra → Shri Singha → Jnanasutra → Vimalamitra → Padmasambhava → Tibet.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Terma (gter ma) : enseignements « cachés » (par Padmasambhava et ses disciples) et redécouverts ultérieurement par des tertöns (« révélateurs de trésors »). Le Longchen Nyingtik, révélé par Jigme Lingpa, en est l'exemple majeur.</w:t>
      </w:r>
    </w:p>
    <w:p>
      <w:pPr>
        <w:spacing w:after="80" w:before="80"/>
      </w:pPr>
      <w:r>
        <w:rPr>
          <w:rFonts w:ascii="Times New Roman" w:cs="Times New Roman" w:eastAsia="Times New Roman" w:hAnsi="Times New Roman"/>
          <w:color w:val="1F2937"/>
          <w:sz w:val="22"/>
          <w:szCs w:val="22"/>
        </w:rPr>
        <w:t xml:space="preserve">La lignée garantit l'authenticité : un enseignement sans lignée vérifiable est considéré comme suspect. Elle crée aussi un lien karmique collectif — les frères et sœurs vajra (ceux qui reçoivent la même initiation du même maître) partagent un destin spirituel commun.</w:t>
      </w:r>
    </w:p>
    <w:p>
      <w:pPr>
        <w:spacing w:after="80" w:before="80"/>
      </w:pPr>
      <w:r>
        <w:rPr>
          <w:rFonts w:ascii="Times New Roman" w:cs="Times New Roman" w:eastAsia="Times New Roman" w:hAnsi="Times New Roman"/>
          <w:color w:val="1F2937"/>
          <w:sz w:val="22"/>
          <w:szCs w:val="22"/>
        </w:rPr>
        <w:t xml:space="preserve">Selon les sources consultées, Dilgo Khyentse Rinpoche (1910–1991) est l'un des derniers grands maîtres à avoir achevé l'intégralité de sa formation au Tibet, et il incarne cette transmission vivante : disciple de Jamyang Khyentse Chökyi Lodrö, il fut lui-même le maître de nombreux lamas importants contemporains, dont Sogyal Rinpoche.</w:t>
      </w:r>
    </w:p>
    <w:p>
      <w:pPr>
        <w:pStyle w:val="Heading3"/>
        <w:spacing w:after="80" w:before="240"/>
      </w:pPr>
      <w:r>
        <w:rPr>
          <w:rFonts w:ascii="Times New Roman" w:cs="Times New Roman" w:eastAsia="Times New Roman" w:hAnsi="Times New Roman"/>
          <w:b/>
          <w:bCs/>
          <w:color w:val="1F2937"/>
          <w:sz w:val="26"/>
          <w:szCs w:val="26"/>
        </w:rPr>
        <w:t xml:space="preserve">3. Le samaya — le lien sacré</w:t>
      </w:r>
    </w:p>
    <w:p>
      <w:pPr>
        <w:spacing w:after="80" w:before="80"/>
      </w:pPr>
      <w:r>
        <w:rPr>
          <w:rFonts w:ascii="Times New Roman" w:cs="Times New Roman" w:eastAsia="Times New Roman" w:hAnsi="Times New Roman"/>
          <w:color w:val="1F2937"/>
          <w:sz w:val="22"/>
          <w:szCs w:val="22"/>
        </w:rPr>
        <w:t xml:space="preserve">Le mot sanscrit samaya (tib. dam tsig, དམ་ཚིག) est traduit de plusieurs façons selon le contexte : « lien sacré », « vœu vajra », « engagement », ou encore « serment ». Sa traduction préférée par certains commentateurs contemporains est « lien sacré », soulignant la dimension relationnelle plutôt que la dimension obligatoire.</w:t>
      </w:r>
    </w:p>
    <w:p>
      <w:pPr>
        <w:shd w:fill="F3F4F6" w:val="clear"/>
        <w:spacing w:after="120" w:before="120"/>
        <w:ind w:left="576" w:right="576"/>
      </w:pPr>
      <w:r>
        <w:rPr>
          <w:rFonts w:ascii="Times New Roman" w:cs="Times New Roman" w:eastAsia="Times New Roman" w:hAnsi="Times New Roman"/>
          <w:color w:val="1B3A6B"/>
          <w:sz w:val="22"/>
          <w:szCs w:val="22"/>
        </w:rPr>
        <w:t xml:space="preserve">"Le samaya est établi par la prise d'abhisheka et préserve la force vitale de cet empowerment en votre être."</w:t>
      </w:r>
      <w:r>
        <w:rPr>
          <w:rFonts w:ascii="Times New Roman" w:cs="Times New Roman" w:eastAsia="Times New Roman" w:hAnsi="Times New Roman"/>
          <w:color w:val="1F2937"/>
          <w:sz w:val="20"/>
          <w:szCs w:val="20"/>
        </w:rPr>
        <w:t xml:space="preserve">  — Jamgon Kongtrul (selon Wikipedia/Samaya)</w:t>
      </w:r>
    </w:p>
    <w:p>
      <w:pPr>
        <w:spacing w:after="80" w:before="80"/>
      </w:pPr>
      <w:r>
        <w:rPr>
          <w:rFonts w:ascii="Times New Roman" w:cs="Times New Roman" w:eastAsia="Times New Roman" w:hAnsi="Times New Roman"/>
          <w:color w:val="1F2937"/>
          <w:sz w:val="22"/>
          <w:szCs w:val="22"/>
        </w:rPr>
        <w:t xml:space="preserve">Le samaya est contracté lors de l'initiation (empowerment, tib. wang). Il crée un lien tripartite : entre le disciple et son maître, entre le disciple et la lignée, et entre les frères/sœurs vajra (co-initiés). Selon la tradition, rompre ce lien affecte non seulement la pratique personnelle mais aussi les liens avec toute la mandala.</w:t>
      </w:r>
    </w:p>
    <w:p>
      <w:pPr>
        <w:pStyle w:val="Heading3"/>
        <w:spacing w:after="80" w:before="240"/>
      </w:pPr>
      <w:r>
        <w:rPr>
          <w:rFonts w:ascii="Times New Roman" w:cs="Times New Roman" w:eastAsia="Times New Roman" w:hAnsi="Times New Roman"/>
          <w:b/>
          <w:bCs/>
          <w:color w:val="1F2937"/>
          <w:sz w:val="26"/>
          <w:szCs w:val="26"/>
        </w:rPr>
        <w:t xml:space="preserve">3a. Les quatre samaya propres au dzogchen</w:t>
      </w:r>
    </w:p>
    <w:p>
      <w:pPr>
        <w:spacing w:after="80" w:before="80"/>
      </w:pPr>
      <w:r>
        <w:rPr>
          <w:rFonts w:ascii="Times New Roman" w:cs="Times New Roman" w:eastAsia="Times New Roman" w:hAnsi="Times New Roman"/>
          <w:color w:val="1F2937"/>
          <w:sz w:val="22"/>
          <w:szCs w:val="22"/>
        </w:rPr>
        <w:t xml:space="preserve">Le dzogchen possède ses propres engagements, distincts des samayas tantriques généraux. Les quatre samaya dzogchen inconnus (tib. men ngag dé) sont, selon les sources du dzogchen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Non-existence (ou absence) : reconnaître que la base est sans fondement fixe.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Égalité (evenness) : tous les phénomènes sont d'égale pureté dans la base.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Présence spontanée : la manifestation spontanée de l'énergie de rigpa.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Unicité (oneness) : l'insépararité de la base, du chemin et du fruit.</w:t>
      </w:r>
    </w:p>
    <w:p>
      <w:pPr>
        <w:spacing w:after="80" w:before="80"/>
      </w:pPr>
      <w:r>
        <w:rPr>
          <w:rFonts w:ascii="Times New Roman" w:cs="Times New Roman" w:eastAsia="Times New Roman" w:hAnsi="Times New Roman"/>
          <w:color w:val="1F2937"/>
          <w:sz w:val="22"/>
          <w:szCs w:val="22"/>
        </w:rPr>
        <w:t xml:space="preserve">Ces quatre engagements sont « internes » : ils ne concernent pas des comportements extérieurs mais la manière dont le pratiquant tient la vue dans chaque moment de son expérience.</w:t>
      </w:r>
    </w:p>
    <w:p>
      <w:pPr>
        <w:pStyle w:val="Heading3"/>
        <w:spacing w:after="80" w:before="240"/>
      </w:pPr>
      <w:r>
        <w:rPr>
          <w:rFonts w:ascii="Times New Roman" w:cs="Times New Roman" w:eastAsia="Times New Roman" w:hAnsi="Times New Roman"/>
          <w:b/>
          <w:bCs/>
          <w:color w:val="1F2937"/>
          <w:sz w:val="26"/>
          <w:szCs w:val="26"/>
        </w:rPr>
        <w:t xml:space="preserve">3b. Les samayas racine et les conséquences de leur rupture</w:t>
      </w:r>
    </w:p>
    <w:p>
      <w:pPr>
        <w:spacing w:after="80" w:before="80"/>
      </w:pPr>
      <w:r>
        <w:rPr>
          <w:rFonts w:ascii="Times New Roman" w:cs="Times New Roman" w:eastAsia="Times New Roman" w:hAnsi="Times New Roman"/>
          <w:color w:val="1F2937"/>
          <w:sz w:val="22"/>
          <w:szCs w:val="22"/>
        </w:rPr>
        <w:t xml:space="preserve">La tradition distingue des samayas « racine » (dont la violation invalide complètement la pratique) et des samayas « branche » (dont la violation diminue les bénéfices). Parmi les violations racine, Sakya Pandita en énumère quatorze, dont : le manque de respect envers le maître vajra, l'insulte aux frères vajra, l'abandon de la bienveillance, et la critique des enseignements.</w:t>
      </w:r>
    </w:p>
    <w:p>
      <w:pPr>
        <w:spacing w:after="80" w:before="80"/>
      </w:pPr>
      <w:r>
        <w:rPr>
          <w:rFonts w:ascii="Times New Roman" w:cs="Times New Roman" w:eastAsia="Times New Roman" w:hAnsi="Times New Roman"/>
          <w:color w:val="1F2937"/>
          <w:sz w:val="22"/>
          <w:szCs w:val="22"/>
        </w:rPr>
        <w:t xml:space="preserve">Tulku Urgyen Rinpoche (selon Wikipedia) identifie quatre stades progressifs : infraction → rupture → violation → rupture complète. La tradition précise que si une rupture est laissée sans réparation pendant plus de trois ans, elle devient irréparable. La réparation passe par la confession, la récitation du mantra Vajrasattva, ou des méthodes prescrites par le guru.</w:t>
      </w:r>
    </w:p>
    <w:p>
      <w:pPr>
        <w:shd w:fill="F3F4F6" w:val="clear"/>
        <w:spacing w:after="160" w:before="160"/>
        <w:ind w:left="431" w:right="431"/>
      </w:pPr>
      <w:r>
        <w:rPr>
          <w:rFonts w:ascii="Times New Roman" w:cs="Times New Roman" w:eastAsia="Times New Roman" w:hAnsi="Times New Roman"/>
          <w:color w:val="1F2937"/>
          <w:sz w:val="22"/>
          <w:szCs w:val="22"/>
        </w:rPr>
        <w:t xml:space="preserve">⚠️ NOTE ÉPISTÉMIQUE : les attributions précises de citations à Jamgon Kongtrul et Tulku Urgyen Rinpoche</w:t>
      </w:r>
      <w:r>
        <w:rPr>
          <w:rFonts w:ascii="Times New Roman" w:cs="Times New Roman" w:eastAsia="Times New Roman" w:hAnsi="Times New Roman"/>
          <w:color w:val="1F2937"/>
          <w:sz w:val="22"/>
          <w:szCs w:val="22"/>
        </w:rPr>
        <w:br/>
        <w:t xml:space="preserve">
proviennent de l'article Wikipedia/Samaya consulté lors de cette exécution. Elles sont données à titre</w:t>
      </w:r>
      <w:r>
        <w:rPr>
          <w:rFonts w:ascii="Times New Roman" w:cs="Times New Roman" w:eastAsia="Times New Roman" w:hAnsi="Times New Roman"/>
          <w:color w:val="1F2937"/>
          <w:sz w:val="22"/>
          <w:szCs w:val="22"/>
        </w:rPr>
        <w:br/>
        <w:t xml:space="preserve">
d'illustration du discours de la tradition, non comme citations vérifiées mot à mot dans les textes sources.</w:t>
      </w:r>
      <w:r>
        <w:rPr>
          <w:rFonts w:ascii="Times New Roman" w:cs="Times New Roman" w:eastAsia="Times New Roman" w:hAnsi="Times New Roman"/>
          <w:color w:val="1F2937"/>
          <w:sz w:val="22"/>
          <w:szCs w:val="22"/>
        </w:rPr>
        <w:br/>
        <w:t xml:space="preserve">
En cas d'usage académique, consulter directement les textes originaux ou leurs traductions de référence.</w:t>
      </w:r>
    </w:p>
    <w:p>
      <w:pPr>
        <w:spacing w:after="200" w:before="200"/>
      </w:pPr>
      <w:r>
        <w:rPr>
          <w:rFonts w:ascii="Times New Roman" w:cs="Times New Roman" w:eastAsia="Times New Roman" w:hAnsi="Times New Roman"/>
          <w:color w:val="CCCCCC"/>
          <w:sz w:val="18"/>
          <w:szCs w:val="18"/>
        </w:rPr>
        <w:t xml:space="preserve">─────────────────────────────────────────────────────────</w:t>
      </w:r>
    </w:p>
    <w:p>
      <w:pPr>
        <w:pStyle w:val="Heading2"/>
        <w:spacing w:after="120" w:before="360"/>
      </w:pPr>
      <w:r>
        <w:rPr>
          <w:rFonts w:ascii="Times New Roman" w:cs="Times New Roman" w:eastAsia="Times New Roman" w:hAnsi="Times New Roman"/>
          <w:b/>
          <w:bCs/>
          <w:color w:val="1B3A6B"/>
          <w:sz w:val="30"/>
          <w:szCs w:val="30"/>
        </w:rPr>
        <w:t xml:space="preserve">🛠️ Pratique (80%)</w:t>
      </w:r>
    </w:p>
    <w:p>
      <w:pPr>
        <w:pStyle w:val="Heading3"/>
        <w:spacing w:after="80" w:before="240"/>
      </w:pPr>
      <w:r>
        <w:rPr>
          <w:rFonts w:ascii="Times New Roman" w:cs="Times New Roman" w:eastAsia="Times New Roman" w:hAnsi="Times New Roman"/>
          <w:b/>
          <w:bCs/>
          <w:color w:val="1F2937"/>
          <w:sz w:val="26"/>
          <w:szCs w:val="26"/>
        </w:rPr>
        <w:t xml:space="preserve">Exercice 1 — Cartographie personnelle de ma relation au maître</w:t>
      </w:r>
    </w:p>
    <w:p>
      <w:pPr>
        <w:spacing w:after="80" w:before="80"/>
      </w:pPr>
      <w:r>
        <w:rPr>
          <w:rFonts w:ascii="Times New Roman" w:cs="Times New Roman" w:eastAsia="Times New Roman" w:hAnsi="Times New Roman"/>
          <w:color w:val="1F2937"/>
          <w:sz w:val="22"/>
          <w:szCs w:val="22"/>
        </w:rPr>
        <w:t xml:space="preserve">Objectif : clarifier ton propre rapport à la notion de maître spirituel, avant d'entrer dans la pratique.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Prends une feuille ou un carnet. Réponds à ces questions en trois minutes chacune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Qui m'a transmis quelque chose d'essentiel dans ma vie (pas forcément spirituel) ? Comment ce lien a-t-il fonctionné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Quelle différence fais-tu entre un enseignant, un mentor et un maître ? Ces catégories se recouvrent-elles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Qu'est-ce que l'idée d'un « lien sacré » avec quelqu'un suscite en toi : résistance, curiosité, aspiration ?</w:t>
      </w:r>
    </w:p>
    <w:p>
      <w:pPr>
        <w:spacing w:after="80" w:before="80"/>
      </w:pPr>
      <w:r>
        <w:rPr>
          <w:rFonts w:ascii="Times New Roman" w:cs="Times New Roman" w:eastAsia="Times New Roman" w:hAnsi="Times New Roman"/>
          <w:color w:val="1F2937"/>
          <w:sz w:val="22"/>
          <w:szCs w:val="22"/>
        </w:rPr>
        <w:t xml:space="preserve">Réflexion finale (5 min) : en quoi la notion de samaya — engagement volontaire et profond envers une relation — diffère-t-elle d'un contrat ordinaire ? Note ta réponse en une ou deux phrases.</w:t>
      </w:r>
    </w:p>
    <w:p>
      <w:pPr>
        <w:shd w:fill="F3F4F6" w:val="clear"/>
        <w:spacing w:after="160" w:before="160"/>
        <w:ind w:left="431" w:right="431"/>
      </w:pPr>
      <w:r>
        <w:rPr>
          <w:rFonts w:ascii="Times New Roman" w:cs="Times New Roman" w:eastAsia="Times New Roman" w:hAnsi="Times New Roman"/>
          <w:color w:val="1F2937"/>
          <w:sz w:val="22"/>
          <w:szCs w:val="22"/>
        </w:rPr>
        <w:t xml:space="preserve">Piste de réflexion : la tradition dzogchen insiste sur l'examen préalable du maître avant tout engagement.</w:t>
      </w:r>
      <w:r>
        <w:rPr>
          <w:rFonts w:ascii="Times New Roman" w:cs="Times New Roman" w:eastAsia="Times New Roman" w:hAnsi="Times New Roman"/>
          <w:color w:val="1F2937"/>
          <w:sz w:val="22"/>
          <w:szCs w:val="22"/>
        </w:rPr>
        <w:br/>
        <w:t xml:space="preserve">
Ce point est important : le samaya n'est pas un abandon de discernement, c'est un engagement consenti</w:t>
      </w:r>
      <w:r>
        <w:rPr>
          <w:rFonts w:ascii="Times New Roman" w:cs="Times New Roman" w:eastAsia="Times New Roman" w:hAnsi="Times New Roman"/>
          <w:color w:val="1F2937"/>
          <w:sz w:val="22"/>
          <w:szCs w:val="22"/>
        </w:rPr>
        <w:br/>
        <w:t xml:space="preserve">
après vérification — une différence fondamentale avec l'obéissance aveugle.</w:t>
      </w:r>
    </w:p>
    <w:p>
      <w:pPr>
        <w:pStyle w:val="Heading3"/>
        <w:spacing w:after="80" w:before="240"/>
      </w:pPr>
      <w:r>
        <w:rPr>
          <w:rFonts w:ascii="Times New Roman" w:cs="Times New Roman" w:eastAsia="Times New Roman" w:hAnsi="Times New Roman"/>
          <w:b/>
          <w:bCs/>
          <w:color w:val="1F2937"/>
          <w:sz w:val="26"/>
          <w:szCs w:val="26"/>
        </w:rPr>
        <w:t xml:space="preserve">Exercice 2 — Mémorisation : les quatre samaya dzogchen et les trois types de transmission</w:t>
      </w:r>
    </w:p>
    <w:p>
      <w:pPr>
        <w:spacing w:after="80" w:before="80"/>
      </w:pPr>
      <w:r>
        <w:rPr>
          <w:rFonts w:ascii="Times New Roman" w:cs="Times New Roman" w:eastAsia="Times New Roman" w:hAnsi="Times New Roman"/>
          <w:color w:val="1F2937"/>
          <w:sz w:val="22"/>
          <w:szCs w:val="22"/>
        </w:rPr>
        <w:t xml:space="preserve">Objectif : ancrer les concepts clés de la leçon.</w:t>
      </w:r>
    </w:p>
    <w:p>
      <w:pPr>
        <w:pStyle w:val="Heading3"/>
        <w:spacing w:after="80" w:before="240"/>
      </w:pPr>
      <w:r>
        <w:rPr>
          <w:rFonts w:ascii="Times New Roman" w:cs="Times New Roman" w:eastAsia="Times New Roman" w:hAnsi="Times New Roman"/>
          <w:b/>
          <w:bCs/>
          <w:color w:val="1F2937"/>
          <w:sz w:val="26"/>
          <w:szCs w:val="26"/>
        </w:rPr>
        <w:t xml:space="preserve">Tableau : Les quatre samaya dzogchen (à compléter de mémoire)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Samaya</w:t>
            </w:r>
          </w:p>
        </w:tc>
        <w:tc>
          <w:tcPr>
            <w:shd w:fill="1B3A6B" w:val="clear"/>
          </w:tcPr>
          <w:p>
            <w:r>
              <w:rPr>
                <w:rFonts w:ascii="Times New Roman" w:cs="Times New Roman" w:eastAsia="Times New Roman" w:hAnsi="Times New Roman"/>
                <w:b/>
                <w:bCs/>
                <w:color w:val="FFFFFF"/>
                <w:sz w:val="20"/>
                <w:szCs w:val="20"/>
              </w:rPr>
              <w:t xml:space="preserve">Signification pratique</w:t>
            </w:r>
          </w:p>
        </w:tc>
      </w:tr>
      <w:tr>
        <w:tc>
          <w:tcPr>
            <w:shd w:fill="FFFFFF" w:val="clear"/>
          </w:tcPr>
          <w:p>
            <w:r>
              <w:rPr>
                <w:rFonts w:ascii="Times New Roman" w:cs="Times New Roman" w:eastAsia="Times New Roman" w:hAnsi="Times New Roman"/>
                <w:color w:val="1F2937"/>
                <w:sz w:val="20"/>
                <w:szCs w:val="20"/>
              </w:rPr>
              <w:t xml:space="preserve">Non-existence (absence)</w:t>
            </w:r>
          </w:p>
        </w:tc>
        <w:tc>
          <w:tcPr>
            <w:shd w:fill="FFFFFF" w:val="clear"/>
          </w:tcPr>
          <w:p>
            <w:r>
              <w:rPr>
                <w:rFonts w:ascii="Times New Roman" w:cs="Times New Roman" w:eastAsia="Times New Roman" w:hAnsi="Times New Roman"/>
                <w:color w:val="1F2937"/>
                <w:sz w:val="20"/>
                <w:szCs w:val="20"/>
              </w:rPr>
              <w:t xml:space="preserve">La base est sans fondement fixe — ne pas se cramponner à une réalité solide</w:t>
            </w:r>
          </w:p>
        </w:tc>
      </w:tr>
      <w:tr>
        <w:tc>
          <w:tcPr>
            <w:shd w:fill="EEF2F7" w:val="clear"/>
          </w:tcPr>
          <w:p>
            <w:r>
              <w:rPr>
                <w:rFonts w:ascii="Times New Roman" w:cs="Times New Roman" w:eastAsia="Times New Roman" w:hAnsi="Times New Roman"/>
                <w:color w:val="1F2937"/>
                <w:sz w:val="20"/>
                <w:szCs w:val="20"/>
              </w:rPr>
              <w:t xml:space="preserve">Égalité</w:t>
            </w:r>
          </w:p>
        </w:tc>
        <w:tc>
          <w:tcPr>
            <w:shd w:fill="EEF2F7" w:val="clear"/>
          </w:tcPr>
          <w:p>
            <w:r>
              <w:rPr>
                <w:rFonts w:ascii="Times New Roman" w:cs="Times New Roman" w:eastAsia="Times New Roman" w:hAnsi="Times New Roman"/>
                <w:color w:val="1F2937"/>
                <w:sz w:val="20"/>
                <w:szCs w:val="20"/>
              </w:rPr>
              <w:t xml:space="preserve">Tous les phénomènes sont d'égale pureté dans la base — pas de hiérarchie entre pur et impur</w:t>
            </w:r>
          </w:p>
        </w:tc>
      </w:tr>
      <w:tr>
        <w:tc>
          <w:tcPr>
            <w:shd w:fill="FFFFFF" w:val="clear"/>
          </w:tcPr>
          <w:p>
            <w:r>
              <w:rPr>
                <w:rFonts w:ascii="Times New Roman" w:cs="Times New Roman" w:eastAsia="Times New Roman" w:hAnsi="Times New Roman"/>
                <w:color w:val="1F2937"/>
                <w:sz w:val="20"/>
                <w:szCs w:val="20"/>
              </w:rPr>
              <w:t xml:space="preserve">Présence spontanée</w:t>
            </w:r>
          </w:p>
        </w:tc>
        <w:tc>
          <w:tcPr>
            <w:shd w:fill="FFFFFF" w:val="clear"/>
          </w:tcPr>
          <w:p>
            <w:r>
              <w:rPr>
                <w:rFonts w:ascii="Times New Roman" w:cs="Times New Roman" w:eastAsia="Times New Roman" w:hAnsi="Times New Roman"/>
                <w:color w:val="1F2937"/>
                <w:sz w:val="20"/>
                <w:szCs w:val="20"/>
              </w:rPr>
              <w:t xml:space="preserve">L'énergie de rigpa se manifeste sans effort — ne pas bloquer l'expression naturelle</w:t>
            </w:r>
          </w:p>
        </w:tc>
      </w:tr>
      <w:tr>
        <w:tc>
          <w:tcPr>
            <w:shd w:fill="EEF2F7" w:val="clear"/>
          </w:tcPr>
          <w:p>
            <w:r>
              <w:rPr>
                <w:rFonts w:ascii="Times New Roman" w:cs="Times New Roman" w:eastAsia="Times New Roman" w:hAnsi="Times New Roman"/>
                <w:color w:val="1F2937"/>
                <w:sz w:val="20"/>
                <w:szCs w:val="20"/>
              </w:rPr>
              <w:t xml:space="preserve">Unicité</w:t>
            </w:r>
          </w:p>
        </w:tc>
        <w:tc>
          <w:tcPr>
            <w:shd w:fill="EEF2F7" w:val="clear"/>
          </w:tcPr>
          <w:p>
            <w:r>
              <w:rPr>
                <w:rFonts w:ascii="Times New Roman" w:cs="Times New Roman" w:eastAsia="Times New Roman" w:hAnsi="Times New Roman"/>
                <w:color w:val="1F2937"/>
                <w:sz w:val="20"/>
                <w:szCs w:val="20"/>
              </w:rPr>
              <w:t xml:space="preserve">Base, chemin et fruit sont inséparables — pas d'écart entre pratique formelle et vie ordinaire</w:t>
            </w:r>
          </w:p>
        </w:tc>
      </w:tr>
    </w:tbl>
    <w:p>
      <w:pPr>
        <w:spacing w:after="80" w:before="80"/>
      </w:pPr>
      <w:r>
        <w:rPr>
          <w:rFonts w:ascii="Times New Roman" w:cs="Times New Roman" w:eastAsia="Times New Roman" w:hAnsi="Times New Roman"/>
          <w:color w:val="1F2937"/>
          <w:sz w:val="22"/>
          <w:szCs w:val="22"/>
        </w:rPr>
        <w:t xml:space="preserve"> </w:t>
      </w:r>
    </w:p>
    <w:p>
      <w:pPr>
        <w:spacing w:after="80" w:before="80"/>
      </w:pPr>
      <w:r>
        <w:rPr>
          <w:rFonts w:ascii="Times New Roman" w:cs="Times New Roman" w:eastAsia="Times New Roman" w:hAnsi="Times New Roman"/>
          <w:color w:val="1F2937"/>
          <w:sz w:val="22"/>
          <w:szCs w:val="22"/>
        </w:rPr>
        <w:t xml:space="preserve">Exercice d'ancrage : cache la colonne de droite et reformule de mémoire la signification pratique de chacun des quatre samaya. Compare ensuite avec le tableau. Répète jusqu'à pouvoir les énoncer sans regarder.</w:t>
      </w:r>
    </w:p>
    <w:p>
      <w:pPr>
        <w:pStyle w:val="Heading3"/>
        <w:spacing w:after="80" w:before="240"/>
      </w:pPr>
      <w:r>
        <w:rPr>
          <w:rFonts w:ascii="Times New Roman" w:cs="Times New Roman" w:eastAsia="Times New Roman" w:hAnsi="Times New Roman"/>
          <w:b/>
          <w:bCs/>
          <w:color w:val="1F2937"/>
          <w:sz w:val="26"/>
          <w:szCs w:val="26"/>
        </w:rPr>
        <w:t xml:space="preserve">Exercice 3 — Méditation guidée : guru yoga simplifié</w:t>
      </w:r>
    </w:p>
    <w:p>
      <w:pPr>
        <w:spacing w:after="80" w:before="80"/>
      </w:pPr>
      <w:r>
        <w:rPr>
          <w:rFonts w:ascii="Times New Roman" w:cs="Times New Roman" w:eastAsia="Times New Roman" w:hAnsi="Times New Roman"/>
          <w:color w:val="1F2937"/>
          <w:sz w:val="22"/>
          <w:szCs w:val="22"/>
        </w:rPr>
        <w:t xml:space="preserve">Cette pratique courte s'inspire du guru yoga tel qu'il est décrit dans la tradition ngöndro (vue en leçon 9). Elle est proposée ici comme exercice de contact avec la notion de transmission — non comme initiation formelle.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Durée : 15 à 20 minutes. Assieds-toi dans une posture stable, dos droit, mains sur les genoux.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Phase 1 — Aspiration (3 min) : évoque mentalement la « source d'enseignement » qui t'a le plus touché. Cela peut être un texte, un être historique comme Padmasambhava ou Garab Dorje, ou un maître contemporain que tu respectes. Ne force rien — laisse simplement surgir ce qui vient.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Phase 2 — Visualisation légère (5 min) : imagine cette présence au-dessus de toi, dans un espace lumineux, sans forme précise ou sous la forme que tu lui attribues spontanément. Sens une qualité de bienveillance émanant de cette présence.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Phase 3 — Réception (5 min) : sur chaque inspiration, imagine que tu reçois une qualité de clarté ou de sagesse. Sur chaque expiration, relâche ce qui te semble opaque ou tendu. Sans effort, sans attente.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Phase 4 — Dissolution et repos (5 min) : laisse la visualisation se dissoudre progressivement. Reste simplement présent, sans objet, dans l'espace ouvert de la conscience. Si des pensées surgissent, reconnais-les sans les suivre — reviens à l'espace ouvert.</w:t>
      </w:r>
    </w:p>
    <w:p>
      <w:pPr>
        <w:shd w:fill="F3F4F6" w:val="clear"/>
        <w:spacing w:after="160" w:before="160"/>
        <w:ind w:left="431" w:right="431"/>
      </w:pPr>
      <w:r>
        <w:rPr>
          <w:rFonts w:ascii="Times New Roman" w:cs="Times New Roman" w:eastAsia="Times New Roman" w:hAnsi="Times New Roman"/>
          <w:color w:val="1F2937"/>
          <w:sz w:val="22"/>
          <w:szCs w:val="22"/>
        </w:rPr>
        <w:t xml:space="preserve">Note après la pratique : qu'as-tu remarqué ? Y avait-il une qualité différente dans l'espace de conscience</w:t>
      </w:r>
      <w:r>
        <w:rPr>
          <w:rFonts w:ascii="Times New Roman" w:cs="Times New Roman" w:eastAsia="Times New Roman" w:hAnsi="Times New Roman"/>
          <w:color w:val="1F2937"/>
          <w:sz w:val="22"/>
          <w:szCs w:val="22"/>
        </w:rPr>
        <w:br/>
        <w:t xml:space="preserve">
après la visualisation ? L'exercice n'a pas pour but de produire une expérience particulière —</w:t>
      </w:r>
      <w:r>
        <w:rPr>
          <w:rFonts w:ascii="Times New Roman" w:cs="Times New Roman" w:eastAsia="Times New Roman" w:hAnsi="Times New Roman"/>
          <w:color w:val="1F2937"/>
          <w:sz w:val="22"/>
          <w:szCs w:val="22"/>
        </w:rPr>
        <w:br/>
        <w:t xml:space="preserve">
mais d'ouvrir une question vivante : qu'est-ce qui se transmet dans une telle pratique ?</w:t>
      </w:r>
    </w:p>
    <w:p>
      <w:pPr>
        <w:spacing w:after="200" w:before="200"/>
      </w:pPr>
      <w:r>
        <w:rPr>
          <w:rFonts w:ascii="Times New Roman" w:cs="Times New Roman" w:eastAsia="Times New Roman" w:hAnsi="Times New Roman"/>
          <w:color w:val="CCCCCC"/>
          <w:sz w:val="18"/>
          <w:szCs w:val="18"/>
        </w:rPr>
        <w:t xml:space="preserve">─────────────────────────────────────────────────────────</w:t>
      </w:r>
    </w:p>
    <w:p>
      <w:pPr>
        <w:pStyle w:val="Heading2"/>
        <w:spacing w:after="120" w:before="360"/>
      </w:pPr>
      <w:r>
        <w:rPr>
          <w:rFonts w:ascii="Times New Roman" w:cs="Times New Roman" w:eastAsia="Times New Roman" w:hAnsi="Times New Roman"/>
          <w:b/>
          <w:bCs/>
          <w:color w:val="1B3A6B"/>
          <w:sz w:val="30"/>
          <w:szCs w:val="30"/>
        </w:rPr>
        <w:t xml:space="preserve">🎯 Challenge — Synthèse critique</w:t>
      </w:r>
    </w:p>
    <w:p>
      <w:pPr>
        <w:spacing w:after="80" w:before="80"/>
      </w:pPr>
      <w:r>
        <w:rPr>
          <w:rFonts w:ascii="Times New Roman" w:cs="Times New Roman" w:eastAsia="Times New Roman" w:hAnsi="Times New Roman"/>
          <w:color w:val="1F2937"/>
          <w:sz w:val="22"/>
          <w:szCs w:val="22"/>
        </w:rPr>
        <w:t xml:space="preserve">La tradition vajrayana enseigne que la dévotion au maître est la voie la plus directe vers l'éveil. La modernité occidentale valorise à l'inverse l'autonomie, le doute méthodique et la pensée critique.</w:t>
      </w:r>
    </w:p>
    <w:p>
      <w:pPr>
        <w:spacing w:after="80" w:before="80"/>
      </w:pPr>
      <w:r>
        <w:rPr>
          <w:rFonts w:ascii="Times New Roman" w:cs="Times New Roman" w:eastAsia="Times New Roman" w:hAnsi="Times New Roman"/>
          <w:color w:val="1F2937"/>
          <w:sz w:val="22"/>
          <w:szCs w:val="22"/>
        </w:rPr>
        <w:t xml:space="preserve">Exercice écrit (30 min) : rédige une réflexion personnelle (1 à 2 pages) sur la question suivante :</w:t>
      </w:r>
    </w:p>
    <w:p>
      <w:pPr>
        <w:shd w:fill="F3F4F6" w:val="clear"/>
        <w:spacing w:after="120" w:before="120"/>
        <w:ind w:left="576" w:right="576"/>
      </w:pPr>
      <w:r>
        <w:rPr>
          <w:rFonts w:ascii="Times New Roman" w:cs="Times New Roman" w:eastAsia="Times New Roman" w:hAnsi="Times New Roman"/>
          <w:color w:val="1B3A6B"/>
          <w:sz w:val="22"/>
          <w:szCs w:val="22"/>
        </w:rPr>
        <w:t xml:space="preserve">"Comment tenir ensemble l'engagement profond du samaya et la lucidité critique nécessaire pour évaluer un maître humain, faillible, susceptible d'erreur ou d'abus de pouvoir ?"</w:t>
      </w:r>
    </w:p>
    <w:p>
      <w:pPr>
        <w:spacing w:after="80" w:before="80"/>
      </w:pPr>
      <w:r>
        <w:rPr>
          <w:rFonts w:ascii="Times New Roman" w:cs="Times New Roman" w:eastAsia="Times New Roman" w:hAnsi="Times New Roman"/>
          <w:color w:val="1F2937"/>
          <w:sz w:val="22"/>
          <w:szCs w:val="22"/>
        </w:rPr>
        <w:t xml:space="preserve">Pistes à explorer dans ta réflexion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tradition elle-même prescrit d'examiner le maître avant de s'engager — en quoi cela change-t-il l'image d'une dévotion aveugle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Quelle différence entre « voir le maître comme bouddha » (pratique de purification visuelle) et idéalisation naïve d'un être humain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Des cas réels d'abus dans les sanghas bouddhistes occidentaux ont été documentés (y compris autour de Sogyal Rinpoche, dont les oeuvres sont une référence du dzogchen en Occident). Comment intégrer cette réalité sans rejeter l'ensemble du cadre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samaya comme « engagement envers l'éveil » (et non comme obéissance à une personne) — cette lecture te semble-t-elle défendable ? Pourquoi ?</w:t>
      </w:r>
    </w:p>
    <w:p>
      <w:pPr>
        <w:shd w:fill="F3F4F6" w:val="clear"/>
        <w:spacing w:after="160" w:before="160"/>
        <w:ind w:left="431" w:right="431"/>
      </w:pPr>
      <w:r>
        <w:rPr>
          <w:rFonts w:ascii="Times New Roman" w:cs="Times New Roman" w:eastAsia="Times New Roman" w:hAnsi="Times New Roman"/>
          <w:color w:val="1F2937"/>
          <w:sz w:val="22"/>
          <w:szCs w:val="22"/>
        </w:rPr>
        <w:t xml:space="preserve">Ce challenge mobilise l'ensemble de la leçon : la définition du maître, la structure de la lignée,</w:t>
      </w:r>
      <w:r>
        <w:rPr>
          <w:rFonts w:ascii="Times New Roman" w:cs="Times New Roman" w:eastAsia="Times New Roman" w:hAnsi="Times New Roman"/>
          <w:color w:val="1F2937"/>
          <w:sz w:val="22"/>
          <w:szCs w:val="22"/>
        </w:rPr>
        <w:br/>
        <w:t xml:space="preserve">
la nature du samaya et ses limites. Il n'y a pas de réponse unique — l'objectif est de tenir</w:t>
      </w:r>
      <w:r>
        <w:rPr>
          <w:rFonts w:ascii="Times New Roman" w:cs="Times New Roman" w:eastAsia="Times New Roman" w:hAnsi="Times New Roman"/>
          <w:color w:val="1F2937"/>
          <w:sz w:val="22"/>
          <w:szCs w:val="22"/>
        </w:rPr>
        <w:br/>
        <w:t xml:space="preserve">
la tension entre engagement et discernement, qui est au cœur de la pratique avancée.</w:t>
      </w:r>
    </w:p>
    <w:p>
      <w:pPr>
        <w:spacing w:after="200" w:before="200"/>
      </w:pPr>
      <w:r>
        <w:rPr>
          <w:rFonts w:ascii="Times New Roman" w:cs="Times New Roman" w:eastAsia="Times New Roman" w:hAnsi="Times New Roman"/>
          <w:color w:val="CCCCCC"/>
          <w:sz w:val="18"/>
          <w:szCs w:val="18"/>
        </w:rPr>
        <w:t xml:space="preserve">─────────────────────────────────────────────────────────</w:t>
      </w:r>
    </w:p>
    <w:p>
      <w:pPr>
        <w:pStyle w:val="Heading2"/>
        <w:spacing w:after="120" w:before="360"/>
      </w:pPr>
      <w:r>
        <w:rPr>
          <w:rFonts w:ascii="Times New Roman" w:cs="Times New Roman" w:eastAsia="Times New Roman" w:hAnsi="Times New Roman"/>
          <w:b/>
          <w:bCs/>
          <w:color w:val="1B3A6B"/>
          <w:sz w:val="30"/>
          <w:szCs w:val="30"/>
        </w:rPr>
        <w:t xml:space="preserve">🌉 Pont pro (optionnel)</w:t>
      </w:r>
    </w:p>
    <w:p>
      <w:pPr>
        <w:spacing w:after="80" w:before="80"/>
      </w:pPr>
      <w:r>
        <w:rPr>
          <w:rFonts w:ascii="Times New Roman" w:cs="Times New Roman" w:eastAsia="Times New Roman" w:hAnsi="Times New Roman"/>
          <w:color w:val="1F2937"/>
          <w:sz w:val="22"/>
          <w:szCs w:val="22"/>
        </w:rPr>
        <w:t xml:space="preserve">La notion de samaya — engagement volontaire, profond et réciproque, contracté dans un contexte de confiance — n'est pas sans écho dans les dynamiques d'équipe en ESSMS. La relation d'encadrement repose elle aussi sur un lien implicite : le professionnel s'engage envers le projet de service, le cadre s'engage en retour à soutenir et reconnaître. Quand ce lien est rompu (trahison de confiance, manque de reconnaissance, injonctions contradictoires), les effets sur la dynamique d'équipe ressemblent à ce que la tradition décrit comme une violation de samaya : perte d'énergie, désengagement, rupture du collectif. La leçon n'est pas de sacraliser la hiérarchie, mais d'y prêter attention comme à un lien vivant.</w:t>
      </w:r>
    </w:p>
    <w:p>
      <w:pPr>
        <w:spacing w:after="200" w:before="200"/>
      </w:pPr>
      <w:r>
        <w:rPr>
          <w:rFonts w:ascii="Times New Roman" w:cs="Times New Roman" w:eastAsia="Times New Roman" w:hAnsi="Times New Roman"/>
          <w:color w:val="CCCCCC"/>
          <w:sz w:val="18"/>
          <w:szCs w:val="18"/>
        </w:rPr>
        <w:t xml:space="preserve">─────────────────────────────────────────────────────────</w:t>
      </w:r>
    </w:p>
    <w:p>
      <w:pPr>
        <w:pStyle w:val="Heading2"/>
        <w:spacing w:after="120" w:before="360"/>
      </w:pPr>
      <w:r>
        <w:rPr>
          <w:rFonts w:ascii="Times New Roman" w:cs="Times New Roman" w:eastAsia="Times New Roman" w:hAnsi="Times New Roman"/>
          <w:b/>
          <w:bCs/>
          <w:color w:val="1B3A6B"/>
          <w:sz w:val="30"/>
          <w:szCs w:val="30"/>
        </w:rPr>
        <w:t xml:space="preserve">📚 Ressources pour approfondir</w:t>
      </w:r>
    </w:p>
    <w:p>
      <w:pPr>
        <w:pStyle w:val="ListParagraph"/>
        <w:numPr>
          <w:ilvl w:val="0"/>
          <w:numId w:val="1"/>
        </w:numPr>
        <w:spacing w:after="60" w:before="60"/>
      </w:pPr>
      <w:hyperlink w:history="1" r:id="rIdcpwg9omfwk3qxxkrdc3wj">
        <w:r>
          <w:rPr>
            <w:rFonts w:ascii="Times New Roman" w:cs="Times New Roman" w:eastAsia="Times New Roman" w:hAnsi="Times New Roman"/>
            <w:color w:val="1155CC"/>
            <w:sz w:val="22"/>
            <w:szCs w:val="22"/>
            <w:u w:val="single"/>
          </w:rPr>
          <w:t xml:space="preserve">Samaya — Wikipedia (en)</w:t>
        </w:r>
      </w:hyperlink>
      <w:r>
        <w:rPr>
          <w:rFonts w:ascii="Times New Roman" w:cs="Times New Roman" w:eastAsia="Times New Roman" w:hAnsi="Times New Roman"/>
          <w:color w:val="1F2937"/>
          <w:sz w:val="22"/>
          <w:szCs w:val="22"/>
        </w:rPr>
        <w:t xml:space="preserve"> — Définition, catégories, violations et réparation du samaya — synthèse académique solide</w:t>
      </w:r>
    </w:p>
    <w:p>
      <w:pPr>
        <w:pStyle w:val="ListParagraph"/>
        <w:numPr>
          <w:ilvl w:val="0"/>
          <w:numId w:val="1"/>
        </w:numPr>
        <w:spacing w:after="60" w:before="60"/>
      </w:pPr>
      <w:hyperlink w:history="1" r:id="rIdn-dftpvzjptrtpzt6earb">
        <w:r>
          <w:rPr>
            <w:rFonts w:ascii="Times New Roman" w:cs="Times New Roman" w:eastAsia="Times New Roman" w:hAnsi="Times New Roman"/>
            <w:color w:val="1155CC"/>
            <w:sz w:val="22"/>
            <w:szCs w:val="22"/>
            <w:u w:val="single"/>
          </w:rPr>
          <w:t xml:space="preserve">Les principales facettes du Dzogchen — Study Buddhism (fr)</w:t>
        </w:r>
      </w:hyperlink>
      <w:r>
        <w:rPr>
          <w:rFonts w:ascii="Times New Roman" w:cs="Times New Roman" w:eastAsia="Times New Roman" w:hAnsi="Times New Roman"/>
          <w:color w:val="1F2937"/>
          <w:sz w:val="22"/>
          <w:szCs w:val="22"/>
        </w:rPr>
        <w:t xml:space="preserve"> — Le rôle du maître, la transmission et le maintien du samaya dans le dzogchen — Berzin Archives</w:t>
      </w:r>
    </w:p>
    <w:p>
      <w:pPr>
        <w:pStyle w:val="ListParagraph"/>
        <w:numPr>
          <w:ilvl w:val="0"/>
          <w:numId w:val="1"/>
        </w:numPr>
        <w:spacing w:after="60" w:before="60"/>
      </w:pPr>
      <w:hyperlink w:history="1" r:id="rId2sx35fowi2aopmkqihcig">
        <w:r>
          <w:rPr>
            <w:rFonts w:ascii="Times New Roman" w:cs="Times New Roman" w:eastAsia="Times New Roman" w:hAnsi="Times New Roman"/>
            <w:color w:val="1155CC"/>
            <w:sz w:val="22"/>
            <w:szCs w:val="22"/>
            <w:u w:val="single"/>
          </w:rPr>
          <w:t xml:space="preserve">What Is a Damtsig or Samaya? — Study Buddhism (en)</w:t>
        </w:r>
      </w:hyperlink>
      <w:r>
        <w:rPr>
          <w:rFonts w:ascii="Times New Roman" w:cs="Times New Roman" w:eastAsia="Times New Roman" w:hAnsi="Times New Roman"/>
          <w:color w:val="1F2937"/>
          <w:sz w:val="22"/>
          <w:szCs w:val="22"/>
        </w:rPr>
        <w:t xml:space="preserve"> — Explication détaillée du samaya dans le contexte vajrayana — définition, types, pratique</w:t>
      </w:r>
    </w:p>
    <w:p>
      <w:pPr>
        <w:pStyle w:val="ListParagraph"/>
        <w:numPr>
          <w:ilvl w:val="0"/>
          <w:numId w:val="1"/>
        </w:numPr>
        <w:spacing w:after="60" w:before="60"/>
      </w:pPr>
      <w:hyperlink w:history="1" r:id="rIdbcvqnctrxzskkz4fouemv">
        <w:r>
          <w:rPr>
            <w:rFonts w:ascii="Times New Roman" w:cs="Times New Roman" w:eastAsia="Times New Roman" w:hAnsi="Times New Roman"/>
            <w:color w:val="1155CC"/>
            <w:sz w:val="22"/>
            <w:szCs w:val="22"/>
            <w:u w:val="single"/>
          </w:rPr>
          <w:t xml:space="preserve">Samaya as Symbiotic Relationship — Lion's Roar</w:t>
        </w:r>
      </w:hyperlink>
      <w:r>
        <w:rPr>
          <w:rFonts w:ascii="Times New Roman" w:cs="Times New Roman" w:eastAsia="Times New Roman" w:hAnsi="Times New Roman"/>
          <w:color w:val="1F2937"/>
          <w:sz w:val="22"/>
          <w:szCs w:val="22"/>
        </w:rPr>
        <w:t xml:space="preserve"> — Le samaya comme lien symbiotique maître-disciple — lecture contemporaine accessible</w:t>
      </w:r>
    </w:p>
    <w:p>
      <w:pPr>
        <w:pStyle w:val="ListParagraph"/>
        <w:numPr>
          <w:ilvl w:val="0"/>
          <w:numId w:val="1"/>
        </w:numPr>
        <w:spacing w:after="60" w:before="60"/>
      </w:pPr>
      <w:hyperlink w:history="1" r:id="rIdzwltewjqnahlqrqeofa98">
        <w:r>
          <w:rPr>
            <w:rFonts w:ascii="Times New Roman" w:cs="Times New Roman" w:eastAsia="Times New Roman" w:hAnsi="Times New Roman"/>
            <w:color w:val="1155CC"/>
            <w:sz w:val="22"/>
            <w:szCs w:val="22"/>
            <w:u w:val="single"/>
          </w:rPr>
          <w:t xml:space="preserve">How Samaya Works — Tricycle (Ken McLeod)</w:t>
        </w:r>
      </w:hyperlink>
      <w:r>
        <w:rPr>
          <w:rFonts w:ascii="Times New Roman" w:cs="Times New Roman" w:eastAsia="Times New Roman" w:hAnsi="Times New Roman"/>
          <w:color w:val="1F2937"/>
          <w:sz w:val="22"/>
          <w:szCs w:val="22"/>
        </w:rPr>
        <w:t xml:space="preserve"> — Analyse de Ken McLeod sur le fonctionnement du samaya — regard critique et pratique</w:t>
      </w:r>
    </w:p>
    <w:p>
      <w:pPr>
        <w:pStyle w:val="ListParagraph"/>
        <w:numPr>
          <w:ilvl w:val="0"/>
          <w:numId w:val="1"/>
        </w:numPr>
        <w:spacing w:after="60" w:before="60"/>
      </w:pPr>
      <w:hyperlink w:history="1" r:id="rIdavfqzvegct9vrhcy5nvsh">
        <w:r>
          <w:rPr>
            <w:rFonts w:ascii="Times New Roman" w:cs="Times New Roman" w:eastAsia="Times New Roman" w:hAnsi="Times New Roman"/>
            <w:color w:val="1155CC"/>
            <w:sz w:val="22"/>
            <w:szCs w:val="22"/>
            <w:u w:val="single"/>
          </w:rPr>
          <w:t xml:space="preserve">Samaya Series — Lotsawa House</w:t>
        </w:r>
      </w:hyperlink>
      <w:r>
        <w:rPr>
          <w:rFonts w:ascii="Times New Roman" w:cs="Times New Roman" w:eastAsia="Times New Roman" w:hAnsi="Times New Roman"/>
          <w:color w:val="1F2937"/>
          <w:sz w:val="22"/>
          <w:szCs w:val="22"/>
        </w:rPr>
        <w:t xml:space="preserve"> — Textes tibétains traduits sur le samaya — sources primaires en accès libre</w:t>
      </w:r>
    </w:p>
    <w:p>
      <w:pPr>
        <w:pStyle w:val="ListParagraph"/>
        <w:numPr>
          <w:ilvl w:val="0"/>
          <w:numId w:val="1"/>
        </w:numPr>
        <w:spacing w:after="60" w:before="60"/>
      </w:pPr>
      <w:hyperlink w:history="1" r:id="rIdz3pqqiklzs4rwpyp-j9py">
        <w:r>
          <w:rPr>
            <w:rFonts w:ascii="Times New Roman" w:cs="Times New Roman" w:eastAsia="Times New Roman" w:hAnsi="Times New Roman"/>
            <w:color w:val="1155CC"/>
            <w:sz w:val="22"/>
            <w:szCs w:val="22"/>
            <w:u w:val="single"/>
          </w:rPr>
          <w:t xml:space="preserve">Lineage of Sogyal Rinpoche — Sogyal Rinpoche.org</w:t>
        </w:r>
      </w:hyperlink>
      <w:r>
        <w:rPr>
          <w:rFonts w:ascii="Times New Roman" w:cs="Times New Roman" w:eastAsia="Times New Roman" w:hAnsi="Times New Roman"/>
          <w:color w:val="1F2937"/>
          <w:sz w:val="22"/>
          <w:szCs w:val="22"/>
        </w:rPr>
        <w:t xml:space="preserve"> — Présentation de la lignée Longchen Nyingtik transmise par Dilgo Khyentse et Dudjom Rinpoche</w:t>
      </w:r>
    </w:p>
    <w:p>
      <w:pPr>
        <w:spacing w:after="200" w:before="200"/>
      </w:pPr>
      <w:r>
        <w:rPr>
          <w:rFonts w:ascii="Times New Roman" w:cs="Times New Roman" w:eastAsia="Times New Roman" w:hAnsi="Times New Roman"/>
          <w:color w:val="CCCCCC"/>
          <w:sz w:val="18"/>
          <w:szCs w:val="18"/>
        </w:rPr>
        <w:t xml:space="preserve">─────────────────────────────────────────────────────────</w:t>
      </w:r>
    </w:p>
    <w:p>
      <w:pPr>
        <w:pStyle w:val="Heading2"/>
        <w:spacing w:after="120" w:before="360"/>
      </w:pPr>
      <w:r>
        <w:rPr>
          <w:rFonts w:ascii="Times New Roman" w:cs="Times New Roman" w:eastAsia="Times New Roman" w:hAnsi="Times New Roman"/>
          <w:b/>
          <w:bCs/>
          <w:color w:val="1B3A6B"/>
          <w:sz w:val="30"/>
          <w:szCs w:val="30"/>
        </w:rPr>
        <w:t xml:space="preserve">🔜 Prochaine leçon — Leçon 11</w:t>
      </w:r>
    </w:p>
    <w:p>
      <w:pPr>
        <w:spacing w:after="80" w:before="80"/>
      </w:pPr>
      <w:r>
        <w:rPr>
          <w:rFonts w:ascii="Times New Roman" w:cs="Times New Roman" w:eastAsia="Times New Roman" w:hAnsi="Times New Roman"/>
          <w:color w:val="1F2937"/>
          <w:sz w:val="22"/>
          <w:szCs w:val="22"/>
        </w:rPr>
        <w:t xml:space="preserve">Thème : Rushen — séparer samsara et nirvana.</w:t>
      </w:r>
    </w:p>
    <w:p>
      <w:pPr>
        <w:spacing w:after="80" w:before="80"/>
      </w:pPr>
      <w:r>
        <w:rPr>
          <w:rFonts w:ascii="Times New Roman" w:cs="Times New Roman" w:eastAsia="Times New Roman" w:hAnsi="Times New Roman"/>
          <w:color w:val="1F2937"/>
          <w:sz w:val="22"/>
          <w:szCs w:val="22"/>
        </w:rPr>
        <w:t xml:space="preserve">Après avoir posé le cadre relationnel (maître, lignée, samaya), la prochaine leçon entre dans les pratiques préparatoires avancées du dzogchen. Le rushen (rus shen, littéralement « séparer les couches ») est une série d'exercices qui clarifient la distinction entre l'esprit ordinaire conditionné (samsara) et la nature de l'esprit (nirvana) — condition nécessaire avant d'entrer dans les pratiques principales de trekchö et tögal.</w:t>
      </w:r>
    </w:p>
    <w:p>
      <w:pPr>
        <w:spacing w:after="200" w:before="200"/>
      </w:pPr>
      <w:r>
        <w:rPr>
          <w:rFonts w:ascii="Times New Roman" w:cs="Times New Roman" w:eastAsia="Times New Roman" w:hAnsi="Times New Roman"/>
          <w:color w:val="CCCCCC"/>
          <w:sz w:val="18"/>
          <w:szCs w:val="18"/>
        </w:rPr>
        <w:t xml:space="preserve">─────────────────────────────────────────────────────────</w:t>
      </w:r>
    </w:p>
    <w:p>
      <w:pPr>
        <w:spacing w:after="100" w:before="100"/>
        <w:jc w:val="center"/>
      </w:pPr>
      <w:r>
        <w:rPr>
          <w:rFonts w:ascii="Times New Roman" w:cs="Times New Roman" w:eastAsia="Times New Roman" w:hAnsi="Times New Roman"/>
          <w:color w:val="888888"/>
          <w:sz w:val="20"/>
          <w:szCs w:val="20"/>
        </w:rPr>
        <w:t xml:space="preserve">Parcours Dzogchen — Leçon 10/20 · Usage personnel · 11 août 2026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wg9omfwk3qxxkrdc3wj" Type="http://schemas.openxmlformats.org/officeDocument/2006/relationships/hyperlink" Target="https://en.wikipedia.org/wiki/Samaya" TargetMode="External"/><Relationship Id="rIdn-dftpvzjptrtpzt6earb" Type="http://schemas.openxmlformats.org/officeDocument/2006/relationships/hyperlink" Target="https://studybuddhism.com/fr/etudes-avancees/le-vajrayana/dzogchen-niveau-avance/les-principales-facettes-du-dzogchen" TargetMode="External"/><Relationship Id="rId2sx35fowi2aopmkqihcig" Type="http://schemas.openxmlformats.org/officeDocument/2006/relationships/hyperlink" Target="https://studybuddhism.com/en/advanced-studies/prayers-rituals/vows/what-is-a-damtsig-or-samaya" TargetMode="External"/><Relationship Id="rIdbcvqnctrxzskkz4fouemv" Type="http://schemas.openxmlformats.org/officeDocument/2006/relationships/hyperlink" Target="https://www.lionsroar.com/samaya-as-symbiotic-relationship/" TargetMode="External"/><Relationship Id="rIdzwltewjqnahlqrqeofa98" Type="http://schemas.openxmlformats.org/officeDocument/2006/relationships/hyperlink" Target="https://tricycle.org/magazine/how-samaya-works/" TargetMode="External"/><Relationship Id="rIdavfqzvegct9vrhcy5nvsh" Type="http://schemas.openxmlformats.org/officeDocument/2006/relationships/hyperlink" Target="https://www.lotsawahouse.org/topics/samaya/" TargetMode="External"/><Relationship Id="rIdz3pqqiklzs4rwpyp-j9py" Type="http://schemas.openxmlformats.org/officeDocument/2006/relationships/hyperlink" Target="https://sogyalrinpoche.org/about-sogyal-rinpoche/lineage-2"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2026-08-11T06:07:26.101Z</dcterms:created>
  <dcterms:modified xsi:type="dcterms:W3CDTF">2026-08-11T06:07:26.122Z</dcterms:modified>
</cp:coreProperties>
</file>

<file path=docProps/custom.xml><?xml version="1.0" encoding="utf-8"?>
<Properties xmlns="http://schemas.openxmlformats.org/officeDocument/2006/custom-properties" xmlns:vt="http://schemas.openxmlformats.org/officeDocument/2006/docPropsVTypes"/>
</file>