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1B3A6B"/>
          <w:sz w:val="52"/>
          <w:szCs w:val="52"/>
        </w:rPr>
        <w:t xml:space="preserve">Leçon Dzogchen n°15 — Longchenpa et les Sept Trésors</w:t>
      </w:r>
    </w:p>
    <w:p>
      <w:pPr>
        <w:spacing w:after="80"/>
        <w:jc w:val="center"/>
      </w:pPr>
      <w:r>
        <w:rPr>
          <w:rFonts w:ascii="Times New Roman" w:cs="Times New Roman" w:eastAsia="Times New Roman" w:hAnsi="Times New Roman"/>
          <w:color w:val="6B7280"/>
          <w:sz w:val="22"/>
          <w:szCs w:val="22"/>
        </w:rPr>
        <w:t xml:space="preserve">8 septembre 2026  ·  Leçon 15 / 20</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Objectif &amp; continuité</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À l'issue de cette leçon, tu sauras situer Longchenpa dans l'histoire du Dzogchen, nommer les Sept Trésors (Mdzod bdun) avec leur titre tibétain et leur thème, et identifier dans quelle œuvre chercher un approfondissement selon le sujet. Tu sauras également engager un premier contact direct avec la voix de Longchenpa à travers un texte traduit.</w:t>
      </w:r>
    </w:p>
    <w:p>
      <w:pPr>
        <w:spacing w:after="160"/>
        <w:jc w:val="both"/>
      </w:pPr>
      <w:r>
        <w:rPr>
          <w:rFonts w:ascii="Times New Roman" w:cs="Times New Roman" w:eastAsia="Times New Roman" w:hAnsi="Times New Roman"/>
          <w:b/>
          <w:bCs/>
          <w:i w:val="false"/>
          <w:iCs w:val="false"/>
          <w:color w:val="1F2937"/>
          <w:sz w:val="22"/>
          <w:szCs w:val="22"/>
        </w:rPr>
        <w:t xml:space="preserve">Continuité du parcours : </w:t>
      </w:r>
      <w:r>
        <w:rPr>
          <w:rFonts w:ascii="Times New Roman" w:cs="Times New Roman" w:eastAsia="Times New Roman" w:hAnsi="Times New Roman"/>
          <w:b w:val="false"/>
          <w:bCs w:val="false"/>
          <w:i w:val="false"/>
          <w:iCs w:val="false"/>
          <w:color w:val="1F2937"/>
          <w:sz w:val="22"/>
          <w:szCs w:val="22"/>
        </w:rPr>
        <w:t xml:space="preserve">la leçon 14 portait sur le corps d'arc-en-ciel et ses sources textuelles. Longchenpa en est l'auteur doctrinal central — c'est dans son </w:t>
      </w:r>
      <w:r>
        <w:rPr>
          <w:rFonts w:ascii="Times New Roman" w:cs="Times New Roman" w:eastAsia="Times New Roman" w:hAnsi="Times New Roman"/>
          <w:b w:val="false"/>
          <w:bCs w:val="false"/>
          <w:i/>
          <w:iCs/>
          <w:color w:val="1F2937"/>
          <w:sz w:val="22"/>
          <w:szCs w:val="22"/>
        </w:rPr>
        <w:t xml:space="preserve">Theg mchog mdzod</w:t>
      </w:r>
      <w:r>
        <w:rPr>
          <w:rFonts w:ascii="Times New Roman" w:cs="Times New Roman" w:eastAsia="Times New Roman" w:hAnsi="Times New Roman"/>
          <w:b w:val="false"/>
          <w:bCs w:val="false"/>
          <w:i w:val="false"/>
          <w:iCs w:val="false"/>
          <w:color w:val="1F2937"/>
          <w:sz w:val="22"/>
          <w:szCs w:val="22"/>
        </w:rPr>
        <w:t xml:space="preserve"> que la doctrine du corps d'arc-en-ciel est exposée de façon systématique. Les leçons 6 (trekchö), 7 et 12 (tögal et les quatre visions) renvoient aussi directement à l'œuvre de Longchenpa ; cette leçon donne enfin la carte pour retrouver ces fils.</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Théorie (20 %)</w:t>
      </w:r>
    </w:p>
    <w:p>
      <w:pPr>
        <w:spacing w:after="80" w:before="240"/>
      </w:pPr>
      <w:r>
        <w:rPr>
          <w:rFonts w:ascii="Times New Roman" w:cs="Times New Roman" w:eastAsia="Times New Roman" w:hAnsi="Times New Roman"/>
          <w:b/>
          <w:bCs/>
          <w:color w:val="1F2937"/>
          <w:sz w:val="26"/>
          <w:szCs w:val="26"/>
        </w:rPr>
        <w:t xml:space="preserve">Qui est Longchenpa ?</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Longchen Rabjam Drimé Özer (1308-1364) — dont le nom signifie approximativement </w:t>
      </w:r>
      <w:r>
        <w:rPr>
          <w:rFonts w:ascii="Times New Roman" w:cs="Times New Roman" w:eastAsia="Times New Roman" w:hAnsi="Times New Roman"/>
          <w:b w:val="false"/>
          <w:bCs w:val="false"/>
          <w:i/>
          <w:iCs/>
          <w:color w:val="1F2937"/>
          <w:sz w:val="22"/>
          <w:szCs w:val="22"/>
        </w:rPr>
        <w:t xml:space="preserve">« vaste espace sans limites »</w:t>
      </w:r>
      <w:r>
        <w:rPr>
          <w:rFonts w:ascii="Times New Roman" w:cs="Times New Roman" w:eastAsia="Times New Roman" w:hAnsi="Times New Roman"/>
          <w:b w:val="false"/>
          <w:bCs w:val="false"/>
          <w:i w:val="false"/>
          <w:iCs w:val="false"/>
          <w:color w:val="1F2937"/>
          <w:sz w:val="22"/>
          <w:szCs w:val="22"/>
        </w:rPr>
        <w:t xml:space="preserve"> — est reconnu comme le plus grand érudit-yogi de l'école Nyingma du bouddhisme tibétain. Il en est aussi le systématisateur : avant lui, la tradition Dzogchen existait sous la forme d'un corpus de textes tantras et d'une transmission vivante, mais sans architecture unifiée.</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David Germano — tibétologue, professeur d'études tibétaines et bouddhiques à l'Université de Virginie, dont les recherches portent précisément sur le corpus de Longchenpa (voir Ressources) — décrit son œuvre comme « généralement considérée comme l'expression définitive de la Grande Perfection, avec ses distinctions terminologiques précises, son champ d'application systématique, et son intégration avec la scolastique bouddhiste normative qui s'est imposée au Tibet aux XIIIe-XIVe siècles ». C'est une traduction fidèle, vérifiée mot pour mot contre l'anglais de la page citée : « generally taken to be the definitive expression of the Great Perfection with its precise terminological distinctions, systematic scope, and integration with the normative Buddhist scholasticism that became dominant in Tibet during the thirteenth and fourteenth centuries ».</w:t>
      </w:r>
    </w:p>
    <w:p>
      <w:pPr>
        <w:spacing w:after="80" w:before="240"/>
      </w:pPr>
      <w:r>
        <w:rPr>
          <w:rFonts w:ascii="Times New Roman" w:cs="Times New Roman" w:eastAsia="Times New Roman" w:hAnsi="Times New Roman"/>
          <w:b/>
          <w:bCs/>
          <w:color w:val="1F2937"/>
          <w:sz w:val="26"/>
          <w:szCs w:val="26"/>
        </w:rPr>
        <w:t xml:space="preserve">Formation et contexte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Entre à Samye en 1320 — le plus ancien monastère du Tibet.</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Étudie à Sangpu Neutok (1327-1333), principal centre d'érudition du Tibet de l'époque.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Reçoit la transmission Dzogchen de son maître principal : le ngagpa Rigdzin Kumaradza (1266-1343).</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Étudie également auprès du 3e Karmapa Rangjung Dorje (1284-1339), dont il reçoit les six yogas du Kālacakra et les six dharmas de Nāropa — un contact direct avec la transmission Kagyü.</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Exilé au Bhoutan, à Bumthang, il y compose une grande partie de son œuvre et établit Tharpaling, son siège principal, où il demeure dix ans avant de rentrer au Tibet. Sa lignée y persiste.</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Selon Tulku Thondup, il a composé plus de 270 œuvres. Sur leur postérité, Wikipédia ne parle pas en son nom propre : elle cite Germano, pour qui l'œuvre de Longchenpa « eut un impact immédiat et, AU COURS DES SIÈCLES SUIVANTS, devait servir de modèle explicite à de nombreuses compositions Nyingma » (David Germano, cité par la page Wikipédia « Longchenpa » ; traduction de « had an immediate impact, and in subsequent centuries was to serve as the explicit model for many Nyingma compositions »).</w:t>
      </w:r>
    </w:p>
    <w:p>
      <w:pPr>
        <w:spacing w:after="80" w:before="240"/>
      </w:pPr>
      <w:r>
        <w:rPr>
          <w:rFonts w:ascii="Times New Roman" w:cs="Times New Roman" w:eastAsia="Times New Roman" w:hAnsi="Times New Roman"/>
          <w:b/>
          <w:bCs/>
          <w:color w:val="1F2937"/>
          <w:sz w:val="26"/>
          <w:szCs w:val="26"/>
        </w:rPr>
        <w:t xml:space="preserve">Les Sept Trésors (Mdzod bdun)</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Les Mdzod bdun constituent l'œuvre majeure de Longchenpa et « fournissent un aperçu systématique des sujets exotériques et ésotériques du point de vue de la tradition Dzogchen de l'école Nyingma » (Wikipedia/Seven Treasuries). Ces sept traités couvrent l'ensemble du bouddhisme tibétain — de la doxographie générale aux pratiques Dzogchen les plus avancées — tout en plaçant le Dzogchen au sommet de cette hiérarchie.</w:t>
      </w:r>
    </w:p>
    <w:p>
      <w:pPr>
        <w:spacing w:after="200"/>
      </w:pPr>
      <w:r>
        <w:rPr>
          <w:sz w:val="22"/>
          <w:szCs w:val="22"/>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20"/>
                <w:szCs w:val="20"/>
              </w:rPr>
              <w:t xml:space="preserve">N°</w:t>
            </w:r>
          </w:p>
        </w:tc>
        <w:tc>
          <w:tcPr>
            <w:shd w:fill="1B3A6B" w:val="clear"/>
            <w:vAlign w:val="center"/>
          </w:tcPr>
          <w:p>
            <w:pPr>
              <w:jc w:val="center"/>
            </w:pPr>
            <w:r>
              <w:rPr>
                <w:rFonts w:ascii="Times New Roman" w:cs="Times New Roman" w:eastAsia="Times New Roman" w:hAnsi="Times New Roman"/>
                <w:b/>
                <w:bCs/>
                <w:color w:val="FFFFFF"/>
                <w:sz w:val="20"/>
                <w:szCs w:val="20"/>
              </w:rPr>
              <w:t xml:space="preserve">Titre tibétain (Wylie)</w:t>
            </w:r>
          </w:p>
        </w:tc>
        <w:tc>
          <w:tcPr>
            <w:shd w:fill="1B3A6B" w:val="clear"/>
            <w:vAlign w:val="center"/>
          </w:tcPr>
          <w:p>
            <w:pPr>
              <w:jc w:val="center"/>
            </w:pPr>
            <w:r>
              <w:rPr>
                <w:rFonts w:ascii="Times New Roman" w:cs="Times New Roman" w:eastAsia="Times New Roman" w:hAnsi="Times New Roman"/>
                <w:b/>
                <w:bCs/>
                <w:color w:val="FFFFFF"/>
                <w:sz w:val="20"/>
                <w:szCs w:val="20"/>
              </w:rPr>
              <w:t xml:space="preserve">Nom français</w:t>
            </w:r>
          </w:p>
        </w:tc>
        <w:tc>
          <w:tcPr>
            <w:shd w:fill="1B3A6B" w:val="clear"/>
            <w:vAlign w:val="center"/>
          </w:tcPr>
          <w:p>
            <w:pPr>
              <w:jc w:val="center"/>
            </w:pPr>
            <w:r>
              <w:rPr>
                <w:rFonts w:ascii="Times New Roman" w:cs="Times New Roman" w:eastAsia="Times New Roman" w:hAnsi="Times New Roman"/>
                <w:b/>
                <w:bCs/>
                <w:color w:val="FFFFFF"/>
                <w:sz w:val="20"/>
                <w:szCs w:val="20"/>
              </w:rPr>
              <w:t xml:space="preserve">Thème principal</w:t>
            </w:r>
          </w:p>
        </w:tc>
      </w:tr>
      <w:tr>
        <w:tc>
          <w:tcPr>
            <w:shd w:fill="FFFFFF" w:val="clear"/>
            <w:vAlign w:val="center"/>
          </w:tcPr>
          <w:p>
            <w:r>
              <w:rPr>
                <w:rFonts w:ascii="Times New Roman" w:cs="Times New Roman" w:eastAsia="Times New Roman" w:hAnsi="Times New Roman"/>
                <w:b/>
                <w:bCs/>
                <w:color w:val="1F2937"/>
                <w:sz w:val="20"/>
                <w:szCs w:val="20"/>
              </w:rPr>
              <w:t xml:space="preserve">1</w:t>
            </w:r>
          </w:p>
        </w:tc>
        <w:tc>
          <w:tcPr>
            <w:shd w:fill="FFFFFF" w:val="clear"/>
            <w:vAlign w:val="center"/>
          </w:tcPr>
          <w:p>
            <w:r>
              <w:rPr>
                <w:rFonts w:ascii="Times New Roman" w:cs="Times New Roman" w:eastAsia="Times New Roman" w:hAnsi="Times New Roman"/>
                <w:b/>
                <w:bCs/>
                <w:color w:val="1F2937"/>
                <w:sz w:val="20"/>
                <w:szCs w:val="20"/>
              </w:rPr>
              <w:t xml:space="preserve">Yid bzhin mdzod</w:t>
            </w:r>
          </w:p>
        </w:tc>
        <w:tc>
          <w:tcPr>
            <w:shd w:fill="FFFFFF" w:val="clear"/>
            <w:vAlign w:val="center"/>
          </w:tcPr>
          <w:p>
            <w:r>
              <w:rPr>
                <w:rFonts w:ascii="Times New Roman" w:cs="Times New Roman" w:eastAsia="Times New Roman" w:hAnsi="Times New Roman"/>
                <w:b w:val="false"/>
                <w:bCs w:val="false"/>
                <w:color w:val="1F2937"/>
                <w:sz w:val="20"/>
                <w:szCs w:val="20"/>
              </w:rPr>
              <w:t xml:space="preserve">Trésor du Souhait Exaucé</w:t>
            </w:r>
          </w:p>
        </w:tc>
        <w:tc>
          <w:tcPr>
            <w:shd w:fill="FFFFFF" w:val="clear"/>
            <w:vAlign w:val="center"/>
          </w:tcPr>
          <w:p>
            <w:r>
              <w:rPr>
                <w:rFonts w:ascii="Times New Roman" w:cs="Times New Roman" w:eastAsia="Times New Roman" w:hAnsi="Times New Roman"/>
                <w:b w:val="false"/>
                <w:bCs w:val="false"/>
                <w:color w:val="1F2937"/>
                <w:sz w:val="20"/>
                <w:szCs w:val="20"/>
              </w:rPr>
              <w:t xml:space="preserve">Sujets bouddhistes classiques + commentaire Le Lotus Blanc</w:t>
            </w:r>
          </w:p>
        </w:tc>
      </w:tr>
      <w:tr>
        <w:tc>
          <w:tcPr>
            <w:shd w:fill="EEF2F7" w:val="clear"/>
            <w:vAlign w:val="center"/>
          </w:tcPr>
          <w:p>
            <w:r>
              <w:rPr>
                <w:rFonts w:ascii="Times New Roman" w:cs="Times New Roman" w:eastAsia="Times New Roman" w:hAnsi="Times New Roman"/>
                <w:b/>
                <w:bCs/>
                <w:color w:val="1F2937"/>
                <w:sz w:val="20"/>
                <w:szCs w:val="20"/>
              </w:rPr>
              <w:t xml:space="preserve">2</w:t>
            </w:r>
          </w:p>
        </w:tc>
        <w:tc>
          <w:tcPr>
            <w:shd w:fill="EEF2F7" w:val="clear"/>
            <w:vAlign w:val="center"/>
          </w:tcPr>
          <w:p>
            <w:r>
              <w:rPr>
                <w:rFonts w:ascii="Times New Roman" w:cs="Times New Roman" w:eastAsia="Times New Roman" w:hAnsi="Times New Roman"/>
                <w:b/>
                <w:bCs/>
                <w:color w:val="1F2937"/>
                <w:sz w:val="20"/>
                <w:szCs w:val="20"/>
              </w:rPr>
              <w:t xml:space="preserve">Man ngag mdzod</w:t>
            </w:r>
          </w:p>
        </w:tc>
        <w:tc>
          <w:tcPr>
            <w:shd w:fill="EEF2F7" w:val="clear"/>
            <w:vAlign w:val="center"/>
          </w:tcPr>
          <w:p>
            <w:r>
              <w:rPr>
                <w:rFonts w:ascii="Times New Roman" w:cs="Times New Roman" w:eastAsia="Times New Roman" w:hAnsi="Times New Roman"/>
                <w:b w:val="false"/>
                <w:bCs w:val="false"/>
                <w:color w:val="1F2937"/>
                <w:sz w:val="20"/>
                <w:szCs w:val="20"/>
              </w:rPr>
              <w:t xml:space="preserve">Trésor des Instructions Essentielles</w:t>
            </w:r>
          </w:p>
        </w:tc>
        <w:tc>
          <w:tcPr>
            <w:shd w:fill="EEF2F7" w:val="clear"/>
            <w:vAlign w:val="center"/>
          </w:tcPr>
          <w:p>
            <w:r>
              <w:rPr>
                <w:rFonts w:ascii="Times New Roman" w:cs="Times New Roman" w:eastAsia="Times New Roman" w:hAnsi="Times New Roman"/>
                <w:b w:val="false"/>
                <w:bCs w:val="false"/>
                <w:color w:val="1F2937"/>
                <w:sz w:val="20"/>
                <w:szCs w:val="20"/>
              </w:rPr>
              <w:t xml:space="preserve">Contemplation méditative, vie éthique</w:t>
            </w:r>
          </w:p>
        </w:tc>
      </w:tr>
      <w:tr>
        <w:tc>
          <w:tcPr>
            <w:shd w:fill="FFFFFF" w:val="clear"/>
            <w:vAlign w:val="center"/>
          </w:tcPr>
          <w:p>
            <w:r>
              <w:rPr>
                <w:rFonts w:ascii="Times New Roman" w:cs="Times New Roman" w:eastAsia="Times New Roman" w:hAnsi="Times New Roman"/>
                <w:b/>
                <w:bCs/>
                <w:color w:val="1F2937"/>
                <w:sz w:val="20"/>
                <w:szCs w:val="20"/>
              </w:rPr>
              <w:t xml:space="preserve">3</w:t>
            </w:r>
          </w:p>
        </w:tc>
        <w:tc>
          <w:tcPr>
            <w:shd w:fill="FFFFFF" w:val="clear"/>
            <w:vAlign w:val="center"/>
          </w:tcPr>
          <w:p>
            <w:r>
              <w:rPr>
                <w:rFonts w:ascii="Times New Roman" w:cs="Times New Roman" w:eastAsia="Times New Roman" w:hAnsi="Times New Roman"/>
                <w:b/>
                <w:bCs/>
                <w:color w:val="1F2937"/>
                <w:sz w:val="20"/>
                <w:szCs w:val="20"/>
              </w:rPr>
              <w:t xml:space="preserve">Grub mtha' mdzod</w:t>
            </w:r>
          </w:p>
        </w:tc>
        <w:tc>
          <w:tcPr>
            <w:shd w:fill="FFFFFF" w:val="clear"/>
            <w:vAlign w:val="center"/>
          </w:tcPr>
          <w:p>
            <w:r>
              <w:rPr>
                <w:rFonts w:ascii="Times New Roman" w:cs="Times New Roman" w:eastAsia="Times New Roman" w:hAnsi="Times New Roman"/>
                <w:b w:val="false"/>
                <w:bCs w:val="false"/>
                <w:color w:val="1F2937"/>
                <w:sz w:val="20"/>
                <w:szCs w:val="20"/>
              </w:rPr>
              <w:t xml:space="preserve">Trésor des Systèmes Philosophiques</w:t>
            </w:r>
          </w:p>
        </w:tc>
        <w:tc>
          <w:tcPr>
            <w:shd w:fill="FFFFFF" w:val="clear"/>
            <w:vAlign w:val="center"/>
          </w:tcPr>
          <w:p>
            <w:r>
              <w:rPr>
                <w:rFonts w:ascii="Times New Roman" w:cs="Times New Roman" w:eastAsia="Times New Roman" w:hAnsi="Times New Roman"/>
                <w:b w:val="false"/>
                <w:bCs w:val="false"/>
                <w:color w:val="1F2937"/>
                <w:sz w:val="20"/>
                <w:szCs w:val="20"/>
              </w:rPr>
              <w:t xml:space="preserve">Doxographie selon le schéma des neuf véhicules</w:t>
            </w:r>
          </w:p>
        </w:tc>
      </w:tr>
      <w:tr>
        <w:tc>
          <w:tcPr>
            <w:shd w:fill="EEF2F7" w:val="clear"/>
            <w:vAlign w:val="center"/>
          </w:tcPr>
          <w:p>
            <w:r>
              <w:rPr>
                <w:rFonts w:ascii="Times New Roman" w:cs="Times New Roman" w:eastAsia="Times New Roman" w:hAnsi="Times New Roman"/>
                <w:b/>
                <w:bCs/>
                <w:color w:val="1F2937"/>
                <w:sz w:val="20"/>
                <w:szCs w:val="20"/>
              </w:rPr>
              <w:t xml:space="preserve">4</w:t>
            </w:r>
          </w:p>
        </w:tc>
        <w:tc>
          <w:tcPr>
            <w:shd w:fill="EEF2F7" w:val="clear"/>
            <w:vAlign w:val="center"/>
          </w:tcPr>
          <w:p>
            <w:r>
              <w:rPr>
                <w:rFonts w:ascii="Times New Roman" w:cs="Times New Roman" w:eastAsia="Times New Roman" w:hAnsi="Times New Roman"/>
                <w:b/>
                <w:bCs/>
                <w:color w:val="1F2937"/>
                <w:sz w:val="20"/>
                <w:szCs w:val="20"/>
              </w:rPr>
              <w:t xml:space="preserve">Tshig don mdzod</w:t>
            </w:r>
          </w:p>
        </w:tc>
        <w:tc>
          <w:tcPr>
            <w:shd w:fill="EEF2F7" w:val="clear"/>
            <w:vAlign w:val="center"/>
          </w:tcPr>
          <w:p>
            <w:r>
              <w:rPr>
                <w:rFonts w:ascii="Times New Roman" w:cs="Times New Roman" w:eastAsia="Times New Roman" w:hAnsi="Times New Roman"/>
                <w:b w:val="false"/>
                <w:bCs w:val="false"/>
                <w:color w:val="1F2937"/>
                <w:sz w:val="20"/>
                <w:szCs w:val="20"/>
              </w:rPr>
              <w:t xml:space="preserve">Trésor de la Parole et du Sens</w:t>
            </w:r>
          </w:p>
        </w:tc>
        <w:tc>
          <w:tcPr>
            <w:shd w:fill="EEF2F7" w:val="clear"/>
            <w:vAlign w:val="center"/>
          </w:tcPr>
          <w:p>
            <w:r>
              <w:rPr>
                <w:rFonts w:ascii="Times New Roman" w:cs="Times New Roman" w:eastAsia="Times New Roman" w:hAnsi="Times New Roman"/>
                <w:b w:val="false"/>
                <w:bCs w:val="false"/>
                <w:color w:val="1F2937"/>
                <w:sz w:val="20"/>
                <w:szCs w:val="20"/>
              </w:rPr>
              <w:t xml:space="preserve">Synthèse Dzogchen selon onze sujets vajra</w:t>
            </w:r>
          </w:p>
        </w:tc>
      </w:tr>
      <w:tr>
        <w:tc>
          <w:tcPr>
            <w:shd w:fill="FFFFFF" w:val="clear"/>
            <w:vAlign w:val="center"/>
          </w:tcPr>
          <w:p>
            <w:r>
              <w:rPr>
                <w:rFonts w:ascii="Times New Roman" w:cs="Times New Roman" w:eastAsia="Times New Roman" w:hAnsi="Times New Roman"/>
                <w:b/>
                <w:bCs/>
                <w:color w:val="1F2937"/>
                <w:sz w:val="20"/>
                <w:szCs w:val="20"/>
              </w:rPr>
              <w:t xml:space="preserve">5</w:t>
            </w:r>
          </w:p>
        </w:tc>
        <w:tc>
          <w:tcPr>
            <w:shd w:fill="FFFFFF" w:val="clear"/>
            <w:vAlign w:val="center"/>
          </w:tcPr>
          <w:p>
            <w:r>
              <w:rPr>
                <w:rFonts w:ascii="Times New Roman" w:cs="Times New Roman" w:eastAsia="Times New Roman" w:hAnsi="Times New Roman"/>
                <w:b/>
                <w:bCs/>
                <w:color w:val="1F2937"/>
                <w:sz w:val="20"/>
                <w:szCs w:val="20"/>
              </w:rPr>
              <w:t xml:space="preserve">Theg mchog mdzod</w:t>
            </w:r>
          </w:p>
        </w:tc>
        <w:tc>
          <w:tcPr>
            <w:shd w:fill="FFFFFF" w:val="clear"/>
            <w:vAlign w:val="center"/>
          </w:tcPr>
          <w:p>
            <w:r>
              <w:rPr>
                <w:rFonts w:ascii="Times New Roman" w:cs="Times New Roman" w:eastAsia="Times New Roman" w:hAnsi="Times New Roman"/>
                <w:b w:val="false"/>
                <w:bCs w:val="false"/>
                <w:color w:val="1F2937"/>
                <w:sz w:val="20"/>
                <w:szCs w:val="20"/>
              </w:rPr>
              <w:t xml:space="preserve">Trésor du Véhicule Suprême</w:t>
            </w:r>
          </w:p>
        </w:tc>
        <w:tc>
          <w:tcPr>
            <w:shd w:fill="FFFFFF" w:val="clear"/>
            <w:vAlign w:val="center"/>
          </w:tcPr>
          <w:p>
            <w:r>
              <w:rPr>
                <w:rFonts w:ascii="Times New Roman" w:cs="Times New Roman" w:eastAsia="Times New Roman" w:hAnsi="Times New Roman"/>
                <w:b w:val="false"/>
                <w:bCs w:val="false"/>
                <w:color w:val="1F2937"/>
                <w:sz w:val="20"/>
                <w:szCs w:val="20"/>
              </w:rPr>
              <w:t xml:space="preserve">Commentaire systématique des Dix-sept Tantras — LE texte de référence Dzogchen</w:t>
            </w:r>
          </w:p>
        </w:tc>
      </w:tr>
      <w:tr>
        <w:tc>
          <w:tcPr>
            <w:shd w:fill="EEF2F7" w:val="clear"/>
            <w:vAlign w:val="center"/>
          </w:tcPr>
          <w:p>
            <w:r>
              <w:rPr>
                <w:rFonts w:ascii="Times New Roman" w:cs="Times New Roman" w:eastAsia="Times New Roman" w:hAnsi="Times New Roman"/>
                <w:b/>
                <w:bCs/>
                <w:color w:val="1F2937"/>
                <w:sz w:val="20"/>
                <w:szCs w:val="20"/>
              </w:rPr>
              <w:t xml:space="preserve">6</w:t>
            </w:r>
          </w:p>
        </w:tc>
        <w:tc>
          <w:tcPr>
            <w:shd w:fill="EEF2F7" w:val="clear"/>
            <w:vAlign w:val="center"/>
          </w:tcPr>
          <w:p>
            <w:r>
              <w:rPr>
                <w:rFonts w:ascii="Times New Roman" w:cs="Times New Roman" w:eastAsia="Times New Roman" w:hAnsi="Times New Roman"/>
                <w:b/>
                <w:bCs/>
                <w:color w:val="1F2937"/>
                <w:sz w:val="20"/>
                <w:szCs w:val="20"/>
              </w:rPr>
              <w:t xml:space="preserve">Chos dbyings mdzod</w:t>
            </w:r>
          </w:p>
        </w:tc>
        <w:tc>
          <w:tcPr>
            <w:shd w:fill="EEF2F7" w:val="clear"/>
            <w:vAlign w:val="center"/>
          </w:tcPr>
          <w:p>
            <w:r>
              <w:rPr>
                <w:rFonts w:ascii="Times New Roman" w:cs="Times New Roman" w:eastAsia="Times New Roman" w:hAnsi="Times New Roman"/>
                <w:b w:val="false"/>
                <w:bCs w:val="false"/>
                <w:color w:val="1F2937"/>
                <w:sz w:val="20"/>
                <w:szCs w:val="20"/>
              </w:rPr>
              <w:t xml:space="preserve">Trésor de l'Espace Phénoménal</w:t>
            </w:r>
          </w:p>
        </w:tc>
        <w:tc>
          <w:tcPr>
            <w:shd w:fill="EEF2F7" w:val="clear"/>
            <w:vAlign w:val="center"/>
          </w:tcPr>
          <w:p>
            <w:r>
              <w:rPr>
                <w:rFonts w:ascii="Times New Roman" w:cs="Times New Roman" w:eastAsia="Times New Roman" w:hAnsi="Times New Roman"/>
                <w:b w:val="false"/>
                <w:bCs w:val="false"/>
                <w:color w:val="1F2937"/>
                <w:sz w:val="20"/>
                <w:szCs w:val="20"/>
              </w:rPr>
              <w:t xml:space="preserve">Poème + commentaire : trekchö / hymne à l'état d'éveil</w:t>
            </w:r>
          </w:p>
        </w:tc>
      </w:tr>
      <w:tr>
        <w:tc>
          <w:tcPr>
            <w:shd w:fill="FFFFFF" w:val="clear"/>
            <w:vAlign w:val="center"/>
          </w:tcPr>
          <w:p>
            <w:r>
              <w:rPr>
                <w:rFonts w:ascii="Times New Roman" w:cs="Times New Roman" w:eastAsia="Times New Roman" w:hAnsi="Times New Roman"/>
                <w:b/>
                <w:bCs/>
                <w:color w:val="1F2937"/>
                <w:sz w:val="20"/>
                <w:szCs w:val="20"/>
              </w:rPr>
              <w:t xml:space="preserve">7</w:t>
            </w:r>
          </w:p>
        </w:tc>
        <w:tc>
          <w:tcPr>
            <w:shd w:fill="FFFFFF" w:val="clear"/>
            <w:vAlign w:val="center"/>
          </w:tcPr>
          <w:p>
            <w:r>
              <w:rPr>
                <w:rFonts w:ascii="Times New Roman" w:cs="Times New Roman" w:eastAsia="Times New Roman" w:hAnsi="Times New Roman"/>
                <w:b/>
                <w:bCs/>
                <w:color w:val="1F2937"/>
                <w:sz w:val="20"/>
                <w:szCs w:val="20"/>
              </w:rPr>
              <w:t xml:space="preserve">gNas lugs mdzod</w:t>
            </w:r>
          </w:p>
        </w:tc>
        <w:tc>
          <w:tcPr>
            <w:shd w:fill="FFFFFF" w:val="clear"/>
            <w:vAlign w:val="center"/>
          </w:tcPr>
          <w:p>
            <w:r>
              <w:rPr>
                <w:rFonts w:ascii="Times New Roman" w:cs="Times New Roman" w:eastAsia="Times New Roman" w:hAnsi="Times New Roman"/>
                <w:b w:val="false"/>
                <w:bCs w:val="false"/>
                <w:color w:val="1F2937"/>
                <w:sz w:val="20"/>
                <w:szCs w:val="20"/>
              </w:rPr>
              <w:t xml:space="preserve">Trésor de l'État Naturel</w:t>
            </w:r>
          </w:p>
        </w:tc>
        <w:tc>
          <w:tcPr>
            <w:shd w:fill="FFFFFF" w:val="clear"/>
            <w:vAlign w:val="center"/>
          </w:tcPr>
          <w:p>
            <w:r>
              <w:rPr>
                <w:rFonts w:ascii="Times New Roman" w:cs="Times New Roman" w:eastAsia="Times New Roman" w:hAnsi="Times New Roman"/>
                <w:b w:val="false"/>
                <w:bCs w:val="false"/>
                <w:color w:val="1F2937"/>
                <w:sz w:val="20"/>
                <w:szCs w:val="20"/>
              </w:rPr>
              <w:t xml:space="preserve">Poème + commentaire : les quatre samayas du Dzogchen</w:t>
            </w:r>
          </w:p>
        </w:tc>
      </w:tr>
    </w:tbl>
    <w:p>
      <w:pPr>
        <w:spacing w:after="200"/>
      </w:pPr>
      <w:r>
        <w:rPr>
          <w:sz w:val="22"/>
          <w:szCs w:val="22"/>
        </w:rPr>
        <w:t xml:space="preserve"/>
      </w:r>
    </w:p>
    <w:p>
      <w:pPr>
        <w:spacing w:after="160"/>
        <w:jc w:val="both"/>
      </w:pPr>
      <w:r>
        <w:rPr>
          <w:rFonts w:ascii="Times New Roman" w:cs="Times New Roman" w:eastAsia="Times New Roman" w:hAnsi="Times New Roman"/>
          <w:b w:val="false"/>
          <w:bCs w:val="false"/>
          <w:i w:val="false"/>
          <w:iCs w:val="false"/>
          <w:color w:val="1F2937"/>
          <w:sz w:val="22"/>
          <w:szCs w:val="22"/>
        </w:rPr>
        <w:t xml:space="preserve">Les deux trésors centraux pour la pratique Dzogchen avancée sont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Le n°5 (Theg mchog mdzod / Trésor du Véhicule Suprême) : le plus volumineux, commentaire systématique des Dix-sept Tantras. Référence principale pour trekchö et tögal.</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Le n°6 (Chos dbyings mdzod / Trésor de l'Espace Phénoménal) : poème + autocommentaire (Trésor des Citations). Structure la pratique de trekchö. Traduit en anglais (voir Ressources).</w:t>
      </w:r>
    </w:p>
    <w:p>
      <w:pPr>
        <w:spacing w:after="80" w:before="240"/>
      </w:pPr>
      <w:r>
        <w:rPr>
          <w:rFonts w:ascii="Times New Roman" w:cs="Times New Roman" w:eastAsia="Times New Roman" w:hAnsi="Times New Roman"/>
          <w:b/>
          <w:bCs/>
          <w:color w:val="1F2937"/>
          <w:sz w:val="26"/>
          <w:szCs w:val="26"/>
        </w:rPr>
        <w:t xml:space="preserve">Au-delà des Sept Trésors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Nyingthig Yabshi (L'Essence Intérieure en Quatre Parties) : compilation majeure unifiant les cycles Vima Nyingtig et Khandro Nyingtig — deux lignées centrales du Dzogchen.</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Trilogie du Repos Naturel (Ngal gso skor gsum) : approche plus accessible, souvent recommandée comme point d'entrée.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Trilogie de la Liberté Naturelle (Rang grol skor gsum) : approche savante (style pandita), complémentaire des Sept Trésors.</w:t>
      </w:r>
    </w:p>
    <w:p>
      <w:pPr>
        <w:spacing w:after="80" w:before="240"/>
      </w:pPr>
      <w:r>
        <w:rPr>
          <w:rFonts w:ascii="Times New Roman" w:cs="Times New Roman" w:eastAsia="Times New Roman" w:hAnsi="Times New Roman"/>
          <w:b/>
          <w:bCs/>
          <w:color w:val="1F2937"/>
          <w:sz w:val="26"/>
          <w:szCs w:val="26"/>
        </w:rPr>
        <w:t xml:space="preserve">Traductions accessibles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Le </w:t>
      </w:r>
      <w:r>
        <w:rPr>
          <w:rFonts w:ascii="Times New Roman" w:cs="Times New Roman" w:eastAsia="Times New Roman" w:hAnsi="Times New Roman"/>
          <w:b w:val="false"/>
          <w:bCs w:val="false"/>
          <w:i/>
          <w:iCs/>
          <w:color w:val="1F2937"/>
          <w:sz w:val="22"/>
          <w:szCs w:val="22"/>
        </w:rPr>
        <w:t xml:space="preserve">Chos dbyings mdzod</w:t>
      </w:r>
      <w:r>
        <w:rPr>
          <w:rFonts w:ascii="Times New Roman" w:cs="Times New Roman" w:eastAsia="Times New Roman" w:hAnsi="Times New Roman"/>
          <w:b w:val="false"/>
          <w:bCs w:val="false"/>
          <w:i w:val="false"/>
          <w:iCs w:val="false"/>
          <w:color w:val="1F2937"/>
          <w:sz w:val="22"/>
          <w:szCs w:val="22"/>
        </w:rPr>
        <w:t xml:space="preserve"> a été traduit en anglais sous le titre </w:t>
      </w:r>
      <w:r>
        <w:rPr>
          <w:rFonts w:ascii="Times New Roman" w:cs="Times New Roman" w:eastAsia="Times New Roman" w:hAnsi="Times New Roman"/>
          <w:b w:val="false"/>
          <w:bCs w:val="false"/>
          <w:i/>
          <w:iCs/>
          <w:color w:val="1F2937"/>
          <w:sz w:val="22"/>
          <w:szCs w:val="22"/>
        </w:rPr>
        <w:t xml:space="preserve">Precious Treasury of the Dharmadhatu</w:t>
      </w:r>
      <w:r>
        <w:rPr>
          <w:rFonts w:ascii="Times New Roman" w:cs="Times New Roman" w:eastAsia="Times New Roman" w:hAnsi="Times New Roman"/>
          <w:b w:val="false"/>
          <w:bCs w:val="false"/>
          <w:i w:val="false"/>
          <w:iCs w:val="false"/>
          <w:color w:val="1F2937"/>
          <w:sz w:val="22"/>
          <w:szCs w:val="22"/>
        </w:rPr>
        <w:t xml:space="preserve"> (Padmakara Translation Group / Shambhala, commentaire de Khangsar Tenpa'i Wangchuk) et sous le titre </w:t>
      </w:r>
      <w:r>
        <w:rPr>
          <w:rFonts w:ascii="Times New Roman" w:cs="Times New Roman" w:eastAsia="Times New Roman" w:hAnsi="Times New Roman"/>
          <w:b w:val="false"/>
          <w:bCs w:val="false"/>
          <w:i/>
          <w:iCs/>
          <w:color w:val="1F2937"/>
          <w:sz w:val="22"/>
          <w:szCs w:val="22"/>
        </w:rPr>
        <w:t xml:space="preserve">Jewel Treasure of the Dharmadhatu</w:t>
      </w:r>
      <w:r>
        <w:rPr>
          <w:rFonts w:ascii="Times New Roman" w:cs="Times New Roman" w:eastAsia="Times New Roman" w:hAnsi="Times New Roman"/>
          <w:b w:val="false"/>
          <w:bCs w:val="false"/>
          <w:i w:val="false"/>
          <w:iCs w:val="false"/>
          <w:color w:val="1F2937"/>
          <w:sz w:val="22"/>
          <w:szCs w:val="22"/>
        </w:rPr>
        <w:t xml:space="preserve"> (Light of Berotsana, 2024, trad. Lama Chonam et Sangye Khandro ; son autocommentaire y est intitulé A Treasury of Citations — « Trésor des Citations »). ⚠️ Cette dernière référence ne vient PAS de la fiche Buddha-Nature listée plus bas, qui répond 403 : elle a été relevée sur le catalogue de l'éditeur. Ces deux traductions sont parmi les plus accessibles en Occident pour entrer dans l'œuvre directe de Longchenpa.</w:t>
      </w:r>
    </w:p>
    <w:p>
      <w:pPr>
        <w:spacing w:after="60" w:before="60"/>
      </w:pPr>
      <w:r>
        <w:rPr>
          <w:rFonts w:ascii="Times New Roman" w:cs="Times New Roman" w:eastAsia="Times New Roman" w:hAnsi="Times New Roman"/>
          <w:b w:val="false"/>
          <w:bCs w:val="false"/>
          <w:i w:val="false"/>
          <w:iCs w:val="false"/>
          <w:color w:val="1F2937"/>
          <w:sz w:val="22"/>
          <w:szCs w:val="22"/>
        </w:rPr>
        <w:t xml:space="preserve">⚠️ Une discordance de dates, à connaître avant de citer Longchenpa ailleurs : la fiche éditeur de Penguin Random House, pourtant ouverte et vérifiée pour cette leçon, écrit « Longchen Rabjam (1308-1363) », là où la page Wikipédia citée donne 1308-1364. Les deux dates circulent. Cette leçon retient 1364, la plus répandue, sans prétendre trancher.</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Pratique (80 %)</w:t>
      </w:r>
    </w:p>
    <w:p>
      <w:pPr>
        <w:spacing w:after="80" w:before="240"/>
      </w:pPr>
      <w:r>
        <w:rPr>
          <w:rFonts w:ascii="Times New Roman" w:cs="Times New Roman" w:eastAsia="Times New Roman" w:hAnsi="Times New Roman"/>
          <w:b/>
          <w:bCs/>
          <w:color w:val="1F2937"/>
          <w:sz w:val="26"/>
          <w:szCs w:val="26"/>
        </w:rPr>
        <w:t xml:space="preserve">Exercice 1 — Cartographie des Sept Trésors (compréhension active)</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Sur une feuille de papier, dessine un arbre à sept branches. Pour chaque branche, note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Le nom en tibétain (Wylie) et son équivalent français.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Le thème central en une ligne.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La question à laquelle ce texte répond (ex : le Grub mtha' mdzod répond à « Comment la vision dzogchen se positionne-t-elle par rapport aux autres philosophies bouddhistes ? »).</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24 heures après avoir dessiné cet arbre, essaie de retrouver de mémoire les 7 titres dans l'ordre, sans regarder. Note ce qui résiste et ce qui s'efface.</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Moyen mnémotechnique : Yid — Man — Grub — Tshig — Theg — Chos — gNas. Les deux derniers sont des poèmes, le cinquième est le plus volumineux, le premier traite des sujets communs à toutes les écoles.</w:t>
      </w:r>
    </w:p>
    <w:p>
      <w:pPr>
        <w:spacing w:after="80" w:before="240"/>
      </w:pPr>
      <w:r>
        <w:rPr>
          <w:rFonts w:ascii="Times New Roman" w:cs="Times New Roman" w:eastAsia="Times New Roman" w:hAnsi="Times New Roman"/>
          <w:b/>
          <w:bCs/>
          <w:color w:val="1F2937"/>
          <w:sz w:val="26"/>
          <w:szCs w:val="26"/>
        </w:rPr>
        <w:t xml:space="preserve">Exercice 2 — Rencontrer le texte de Longchenpa</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Trouve un extrait du Chos dbyings mdzod (Trésor de l'Espace Phénoménal) en traduction française ou anglaise. Tu peux utiliser les liens des Ressources ci-dessous. Lis lentement 5 à 10 strophes.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Pour 3 vers qui te parlent, note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La strophe (recopie-la).</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Ce qu'elle évoque en toi — une image, une sensation, une résonance.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En une phrase : ce que Longchenpa semble pointer avec ce vers.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But : prendre contact avec la voix directe de Longchenpa, pas seulement avec les commentaires qui parlent de lui. La différence entre lire à propos d'un texte et lire le texte lui-même est la différence entre entendre parler d'un territoire et poser le pied dessus.</w:t>
      </w:r>
    </w:p>
    <w:p>
      <w:pPr>
        <w:spacing w:after="80" w:before="240"/>
      </w:pPr>
      <w:r>
        <w:rPr>
          <w:rFonts w:ascii="Times New Roman" w:cs="Times New Roman" w:eastAsia="Times New Roman" w:hAnsi="Times New Roman"/>
          <w:b/>
          <w:bCs/>
          <w:color w:val="1F2937"/>
          <w:sz w:val="26"/>
          <w:szCs w:val="26"/>
        </w:rPr>
        <w:t xml:space="preserve">Exercice 3 — Méditation : la vaste étendue</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Longchenpa signifie « vaste espace sans limites ». Le Chos dbyings mdzod est décrit comme un hymne à l'espace phénoménal de l'éveil — le dharmadhatu. Cette pratique de 15-20 minutes s'ancre directement dans cette vision.</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Assieds-toi en position stable. Expire profondément trois fois — corps qui lâche, esprit qui s'ouvre.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Dirige l'attention vers l'espace dans lequel les pensées et les perceptions apparaissent. Non pas vers le contenu des pensées, mais vers l'espace qui les contient.</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Ne poursuis aucune pensée, ne la rejette pas non plus. Reste comme un ciel vaste : les nuages passent, le ciel ne bouge pas.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Si l'attention se perd dans une pensée : reconnais simplement « pensée », et laisse l'attention se réinstaller dans l'espace.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À la fin : note en 3 lignes ce que tu as perçu de cet espace — sa texture, sa qualité, ce qui l'a perturbé.</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Fil avec le parcours : cette pratique repose sur la vue du Chos dbyings mdzod. Elle renvoie directement à la leçon 1 (rigpa comme espace de reconnaissance), la leçon 3 (la base / dharmadhatu), et la leçon 6 (trekchö — couper à travers pour laisser paraître l'espace naturel).</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Challenge — Situer Longchenpa dans le parcours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Reprends les leçons 1 à 14 du parcours. Pour chacun des thèmes ci-dessous, identifie dans quel(s) des Sept Trésors tu chercherais à approfondir. Complète le tableau de tête, puis vérifie.</w:t>
      </w:r>
    </w:p>
    <w:p>
      <w:pPr>
        <w:spacing w:after="200"/>
      </w:pPr>
      <w:r>
        <w:rPr>
          <w:sz w:val="22"/>
          <w:szCs w:val="22"/>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20"/>
                <w:szCs w:val="20"/>
              </w:rPr>
              <w:t xml:space="preserve">Thème</w:t>
            </w:r>
          </w:p>
        </w:tc>
        <w:tc>
          <w:tcPr>
            <w:shd w:fill="1B3A6B" w:val="clear"/>
            <w:vAlign w:val="center"/>
          </w:tcPr>
          <w:p>
            <w:pPr>
              <w:jc w:val="center"/>
            </w:pPr>
            <w:r>
              <w:rPr>
                <w:rFonts w:ascii="Times New Roman" w:cs="Times New Roman" w:eastAsia="Times New Roman" w:hAnsi="Times New Roman"/>
                <w:b/>
                <w:bCs/>
                <w:color w:val="FFFFFF"/>
                <w:sz w:val="20"/>
                <w:szCs w:val="20"/>
              </w:rPr>
              <w:t xml:space="preserve">Leçon(s)</w:t>
            </w:r>
          </w:p>
        </w:tc>
        <w:tc>
          <w:tcPr>
            <w:shd w:fill="1B3A6B" w:val="clear"/>
            <w:vAlign w:val="center"/>
          </w:tcPr>
          <w:p>
            <w:pPr>
              <w:jc w:val="center"/>
            </w:pPr>
            <w:r>
              <w:rPr>
                <w:rFonts w:ascii="Times New Roman" w:cs="Times New Roman" w:eastAsia="Times New Roman" w:hAnsi="Times New Roman"/>
                <w:b/>
                <w:bCs/>
                <w:color w:val="FFFFFF"/>
                <w:sz w:val="20"/>
                <w:szCs w:val="20"/>
              </w:rPr>
              <w:t xml:space="preserve">Trésor de Longchenpa</w:t>
            </w:r>
          </w:p>
        </w:tc>
      </w:tr>
      <w:tr>
        <w:tc>
          <w:tcPr>
            <w:shd w:fill="FFFFFF" w:val="clear"/>
            <w:vAlign w:val="center"/>
          </w:tcPr>
          <w:p>
            <w:r>
              <w:rPr>
                <w:rFonts w:ascii="Times New Roman" w:cs="Times New Roman" w:eastAsia="Times New Roman" w:hAnsi="Times New Roman"/>
                <w:color w:val="1F2937"/>
                <w:sz w:val="20"/>
                <w:szCs w:val="20"/>
              </w:rPr>
              <w:t xml:space="preserve">Rigpa et reconnaissance</w:t>
            </w:r>
          </w:p>
        </w:tc>
        <w:tc>
          <w:tcPr>
            <w:shd w:fill="FFFFFF" w:val="clear"/>
            <w:vAlign w:val="center"/>
          </w:tcPr>
          <w:p>
            <w:r>
              <w:rPr>
                <w:rFonts w:ascii="Times New Roman" w:cs="Times New Roman" w:eastAsia="Times New Roman" w:hAnsi="Times New Roman"/>
                <w:color w:val="1F2937"/>
                <w:sz w:val="20"/>
                <w:szCs w:val="20"/>
              </w:rPr>
              <w:t xml:space="preserve">L1, L5</w:t>
            </w:r>
          </w:p>
        </w:tc>
        <w:tc>
          <w:tcPr>
            <w:shd w:fill="FFFFFF" w:val="clear"/>
            <w:vAlign w:val="center"/>
          </w:tcPr>
          <w:p>
            <w:r>
              <w:rPr>
                <w:rFonts w:ascii="Times New Roman" w:cs="Times New Roman" w:eastAsia="Times New Roman" w:hAnsi="Times New Roman"/>
                <w:color w:val="1F2937"/>
                <w:sz w:val="20"/>
                <w:szCs w:val="20"/>
              </w:rPr>
              <w:t xml:space="preserve">Tshig don mdzod, Theg mchog mdzod</w:t>
            </w:r>
          </w:p>
        </w:tc>
      </w:tr>
      <w:tr>
        <w:tc>
          <w:tcPr>
            <w:shd w:fill="EEF2F7" w:val="clear"/>
            <w:vAlign w:val="center"/>
          </w:tcPr>
          <w:p>
            <w:r>
              <w:rPr>
                <w:rFonts w:ascii="Times New Roman" w:cs="Times New Roman" w:eastAsia="Times New Roman" w:hAnsi="Times New Roman"/>
                <w:color w:val="1F2937"/>
                <w:sz w:val="20"/>
                <w:szCs w:val="20"/>
              </w:rPr>
              <w:t xml:space="preserve">Trekchö</w:t>
            </w:r>
          </w:p>
        </w:tc>
        <w:tc>
          <w:tcPr>
            <w:shd w:fill="EEF2F7" w:val="clear"/>
            <w:vAlign w:val="center"/>
          </w:tcPr>
          <w:p>
            <w:r>
              <w:rPr>
                <w:rFonts w:ascii="Times New Roman" w:cs="Times New Roman" w:eastAsia="Times New Roman" w:hAnsi="Times New Roman"/>
                <w:color w:val="1F2937"/>
                <w:sz w:val="20"/>
                <w:szCs w:val="20"/>
              </w:rPr>
              <w:t xml:space="preserve">L6</w:t>
            </w:r>
          </w:p>
        </w:tc>
        <w:tc>
          <w:tcPr>
            <w:shd w:fill="EEF2F7" w:val="clear"/>
            <w:vAlign w:val="center"/>
          </w:tcPr>
          <w:p>
            <w:r>
              <w:rPr>
                <w:rFonts w:ascii="Times New Roman" w:cs="Times New Roman" w:eastAsia="Times New Roman" w:hAnsi="Times New Roman"/>
                <w:color w:val="1F2937"/>
                <w:sz w:val="20"/>
                <w:szCs w:val="20"/>
              </w:rPr>
              <w:t xml:space="preserve">Chos dbyings mdzod</w:t>
            </w:r>
          </w:p>
        </w:tc>
      </w:tr>
      <w:tr>
        <w:tc>
          <w:tcPr>
            <w:shd w:fill="FFFFFF" w:val="clear"/>
            <w:vAlign w:val="center"/>
          </w:tcPr>
          <w:p>
            <w:r>
              <w:rPr>
                <w:rFonts w:ascii="Times New Roman" w:cs="Times New Roman" w:eastAsia="Times New Roman" w:hAnsi="Times New Roman"/>
                <w:color w:val="1F2937"/>
                <w:sz w:val="20"/>
                <w:szCs w:val="20"/>
              </w:rPr>
              <w:t xml:space="preserve">Tögal et les quatre visions</w:t>
            </w:r>
          </w:p>
        </w:tc>
        <w:tc>
          <w:tcPr>
            <w:shd w:fill="FFFFFF" w:val="clear"/>
            <w:vAlign w:val="center"/>
          </w:tcPr>
          <w:p>
            <w:r>
              <w:rPr>
                <w:rFonts w:ascii="Times New Roman" w:cs="Times New Roman" w:eastAsia="Times New Roman" w:hAnsi="Times New Roman"/>
                <w:color w:val="1F2937"/>
                <w:sz w:val="20"/>
                <w:szCs w:val="20"/>
              </w:rPr>
              <w:t xml:space="preserve">L7, L12</w:t>
            </w:r>
          </w:p>
        </w:tc>
        <w:tc>
          <w:tcPr>
            <w:shd w:fill="FFFFFF" w:val="clear"/>
            <w:vAlign w:val="center"/>
          </w:tcPr>
          <w:p>
            <w:r>
              <w:rPr>
                <w:rFonts w:ascii="Times New Roman" w:cs="Times New Roman" w:eastAsia="Times New Roman" w:hAnsi="Times New Roman"/>
                <w:color w:val="1F2937"/>
                <w:sz w:val="20"/>
                <w:szCs w:val="20"/>
              </w:rPr>
              <w:t xml:space="preserve">Theg mchog mdzod</w:t>
            </w:r>
          </w:p>
        </w:tc>
      </w:tr>
      <w:tr>
        <w:tc>
          <w:tcPr>
            <w:shd w:fill="EEF2F7" w:val="clear"/>
            <w:vAlign w:val="center"/>
          </w:tcPr>
          <w:p>
            <w:r>
              <w:rPr>
                <w:rFonts w:ascii="Times New Roman" w:cs="Times New Roman" w:eastAsia="Times New Roman" w:hAnsi="Times New Roman"/>
                <w:color w:val="1F2937"/>
                <w:sz w:val="20"/>
                <w:szCs w:val="20"/>
              </w:rPr>
              <w:t xml:space="preserve">Les bardos</w:t>
            </w:r>
          </w:p>
        </w:tc>
        <w:tc>
          <w:tcPr>
            <w:shd w:fill="EEF2F7" w:val="clear"/>
            <w:vAlign w:val="center"/>
          </w:tcPr>
          <w:p>
            <w:r>
              <w:rPr>
                <w:rFonts w:ascii="Times New Roman" w:cs="Times New Roman" w:eastAsia="Times New Roman" w:hAnsi="Times New Roman"/>
                <w:color w:val="1F2937"/>
                <w:sz w:val="20"/>
                <w:szCs w:val="20"/>
              </w:rPr>
              <w:t xml:space="preserve">L13</w:t>
            </w:r>
          </w:p>
        </w:tc>
        <w:tc>
          <w:tcPr>
            <w:shd w:fill="EEF2F7" w:val="clear"/>
            <w:vAlign w:val="center"/>
          </w:tcPr>
          <w:p>
            <w:r>
              <w:rPr>
                <w:rFonts w:ascii="Times New Roman" w:cs="Times New Roman" w:eastAsia="Times New Roman" w:hAnsi="Times New Roman"/>
                <w:color w:val="1F2937"/>
                <w:sz w:val="20"/>
                <w:szCs w:val="20"/>
              </w:rPr>
              <w:t xml:space="preserve">Theg mchog mdzod</w:t>
            </w:r>
          </w:p>
        </w:tc>
      </w:tr>
      <w:tr>
        <w:tc>
          <w:tcPr>
            <w:shd w:fill="FFFFFF" w:val="clear"/>
            <w:vAlign w:val="center"/>
          </w:tcPr>
          <w:p>
            <w:r>
              <w:rPr>
                <w:rFonts w:ascii="Times New Roman" w:cs="Times New Roman" w:eastAsia="Times New Roman" w:hAnsi="Times New Roman"/>
                <w:color w:val="1F2937"/>
                <w:sz w:val="20"/>
                <w:szCs w:val="20"/>
              </w:rPr>
              <w:t xml:space="preserve">Le corps d'arc-en-ciel</w:t>
            </w:r>
          </w:p>
        </w:tc>
        <w:tc>
          <w:tcPr>
            <w:shd w:fill="FFFFFF" w:val="clear"/>
            <w:vAlign w:val="center"/>
          </w:tcPr>
          <w:p>
            <w:r>
              <w:rPr>
                <w:rFonts w:ascii="Times New Roman" w:cs="Times New Roman" w:eastAsia="Times New Roman" w:hAnsi="Times New Roman"/>
                <w:color w:val="1F2937"/>
                <w:sz w:val="20"/>
                <w:szCs w:val="20"/>
              </w:rPr>
              <w:t xml:space="preserve">L14</w:t>
            </w:r>
          </w:p>
        </w:tc>
        <w:tc>
          <w:tcPr>
            <w:shd w:fill="FFFFFF" w:val="clear"/>
            <w:vAlign w:val="center"/>
          </w:tcPr>
          <w:p>
            <w:r>
              <w:rPr>
                <w:rFonts w:ascii="Times New Roman" w:cs="Times New Roman" w:eastAsia="Times New Roman" w:hAnsi="Times New Roman"/>
                <w:color w:val="1F2937"/>
                <w:sz w:val="20"/>
                <w:szCs w:val="20"/>
              </w:rPr>
              <w:t xml:space="preserve">Theg mchog mdzod + Nyingthig Yabshi</w:t>
            </w:r>
          </w:p>
        </w:tc>
      </w:tr>
      <w:tr>
        <w:tc>
          <w:tcPr>
            <w:shd w:fill="EEF2F7" w:val="clear"/>
            <w:vAlign w:val="center"/>
          </w:tcPr>
          <w:p>
            <w:r>
              <w:rPr>
                <w:rFonts w:ascii="Times New Roman" w:cs="Times New Roman" w:eastAsia="Times New Roman" w:hAnsi="Times New Roman"/>
                <w:color w:val="1F2937"/>
                <w:sz w:val="20"/>
                <w:szCs w:val="20"/>
              </w:rPr>
              <w:t xml:space="preserve">Vue, méditation, conduite</w:t>
            </w:r>
          </w:p>
        </w:tc>
        <w:tc>
          <w:tcPr>
            <w:shd w:fill="EEF2F7" w:val="clear"/>
            <w:vAlign w:val="center"/>
          </w:tcPr>
          <w:p>
            <w:r>
              <w:rPr>
                <w:rFonts w:ascii="Times New Roman" w:cs="Times New Roman" w:eastAsia="Times New Roman" w:hAnsi="Times New Roman"/>
                <w:color w:val="1F2937"/>
                <w:sz w:val="20"/>
                <w:szCs w:val="20"/>
              </w:rPr>
              <w:t xml:space="preserve">L5</w:t>
            </w:r>
          </w:p>
        </w:tc>
        <w:tc>
          <w:tcPr>
            <w:shd w:fill="EEF2F7" w:val="clear"/>
            <w:vAlign w:val="center"/>
          </w:tcPr>
          <w:p>
            <w:r>
              <w:rPr>
                <w:rFonts w:ascii="Times New Roman" w:cs="Times New Roman" w:eastAsia="Times New Roman" w:hAnsi="Times New Roman"/>
                <w:color w:val="1F2937"/>
                <w:sz w:val="20"/>
                <w:szCs w:val="20"/>
              </w:rPr>
              <w:t xml:space="preserve">Grub mtha' mdzod, Man ngag mdzod</w:t>
            </w:r>
          </w:p>
        </w:tc>
      </w:tr>
    </w:tbl>
    <w:p>
      <w:pPr>
        <w:spacing w:after="200"/>
      </w:pPr>
      <w:r>
        <w:rPr>
          <w:sz w:val="22"/>
          <w:szCs w:val="22"/>
        </w:rPr>
        <w:t xml:space="preserve"/>
      </w:r>
    </w:p>
    <w:p>
      <w:pPr>
        <w:spacing w:after="160"/>
        <w:jc w:val="both"/>
      </w:pPr>
      <w:r>
        <w:rPr>
          <w:rFonts w:ascii="Times New Roman" w:cs="Times New Roman" w:eastAsia="Times New Roman" w:hAnsi="Times New Roman"/>
          <w:b w:val="false"/>
          <w:bCs w:val="false"/>
          <w:i w:val="false"/>
          <w:iCs w:val="false"/>
          <w:color w:val="1F2937"/>
          <w:sz w:val="22"/>
          <w:szCs w:val="22"/>
        </w:rPr>
        <w:t xml:space="preserve">Deuxième volet du Challenge : choisis l'un des Sept Trésors qui t'attire le plus. Formule en 5 lignes pourquoi — qu'est-ce qui t'attire dans ce thème ? Qu'espères-tu y trouver ? Quelle question du parcours ce texte pourrait-il répondre pour toi ?</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But : rendre Longchenpa actionnable. Non plus une référence abstraite, mais une boussole concrète pour l'approfondissement autonome.</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Pont pro</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Longchenpa unifie et systématise une tradition dispersée en une architecture cohérente et transmissible. En ESSMS, une démarche similaire — donner une structure à ce qui existait de manière dispersée (pratiques, protocoles, transmissions orales entre professionnels) — est au cœur du travail de formalisation que portent notamment les évaluations HAS et les démarches qualité.</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Ce parallèle est une observation de bon sens professionnel. Il ne s'appuie sur aucune recommandation HAS et ne constitue pas un contenu à transmettre en équipe : c'est un éclairage pour toi, sur ta propre relation à la formalisation.</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Ressources cliquables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Toutes les URLs ci-dessous ont été testées pendant cette session (codes HTTP indiqués).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Sources vérifiées accessibles (200) :</w:t>
      </w:r>
    </w:p>
    <w:p>
      <w:pPr>
        <w:pStyle w:val="ListParagraph"/>
        <w:numPr>
          <w:ilvl w:val="0"/>
          <w:numId w:val="1"/>
        </w:numPr>
        <w:spacing w:after="100"/>
      </w:pPr>
      <w:hyperlink w:history="1" r:id="rId0hu5oz6afjawweuep5no6">
        <w:r>
          <w:rPr>
            <w:rFonts w:ascii="Times New Roman" w:cs="Times New Roman" w:eastAsia="Times New Roman" w:hAnsi="Times New Roman"/>
            <w:color w:val="1155CC"/>
            <w:sz w:val="22"/>
            <w:szCs w:val="22"/>
            <w:u w:val="single"/>
          </w:rPr>
          <w:t xml:space="preserve">Wikipedia — Longchenpa (200 ✓)</w:t>
        </w:r>
      </w:hyperlink>
    </w:p>
    <w:p>
      <w:pPr>
        <w:pStyle w:val="ListParagraph"/>
        <w:numPr>
          <w:ilvl w:val="0"/>
          <w:numId w:val="1"/>
        </w:numPr>
        <w:spacing w:after="100"/>
      </w:pPr>
      <w:hyperlink w:history="1" r:id="rIdixlibiff-7g9ghqrdus0a">
        <w:r>
          <w:rPr>
            <w:rFonts w:ascii="Times New Roman" w:cs="Times New Roman" w:eastAsia="Times New Roman" w:hAnsi="Times New Roman"/>
            <w:color w:val="1155CC"/>
            <w:sz w:val="22"/>
            <w:szCs w:val="22"/>
            <w:u w:val="single"/>
          </w:rPr>
          <w:t xml:space="preserve">Wikipedia — Seven Treasuries / Mdzod bdun (200 ✓)</w:t>
        </w:r>
      </w:hyperlink>
    </w:p>
    <w:p>
      <w:pPr>
        <w:pStyle w:val="ListParagraph"/>
        <w:numPr>
          <w:ilvl w:val="0"/>
          <w:numId w:val="1"/>
        </w:numPr>
        <w:spacing w:after="100"/>
      </w:pPr>
      <w:hyperlink w:history="1" r:id="rIddavidgermanowikipedia">
        <w:r>
          <w:rPr>
            <w:rFonts w:ascii="Times New Roman" w:cs="Times New Roman" w:eastAsia="Times New Roman" w:hAnsi="Times New Roman"/>
            <w:color w:val="1155CC"/>
            <w:sz w:val="22"/>
            <w:szCs w:val="22"/>
            <w:u w:val="single"/>
          </w:rPr>
          <w:t xml:space="preserve">Wikipedia — David Germano, tibétologue (200 ✓) — source des titres cités plus haut</w:t>
        </w:r>
      </w:hyperlink>
    </w:p>
    <w:p>
      <w:pPr>
        <w:pStyle w:val="ListParagraph"/>
        <w:numPr>
          <w:ilvl w:val="0"/>
          <w:numId w:val="1"/>
        </w:numPr>
        <w:spacing w:after="100"/>
      </w:pPr>
      <w:hyperlink w:history="1" r:id="rIdo75ac-e5h6n-efattl1rf">
        <w:r>
          <w:rPr>
            <w:rFonts w:ascii="Times New Roman" w:cs="Times New Roman" w:eastAsia="Times New Roman" w:hAnsi="Times New Roman"/>
            <w:color w:val="1155CC"/>
            <w:sz w:val="22"/>
            <w:szCs w:val="22"/>
            <w:u w:val="single"/>
          </w:rPr>
          <w:t xml:space="preserve">Encyclopedia of Buddhism — Longchenpa (200 ✓)</w:t>
        </w:r>
      </w:hyperlink>
    </w:p>
    <w:p>
      <w:pPr>
        <w:pStyle w:val="ListParagraph"/>
        <w:numPr>
          <w:ilvl w:val="0"/>
          <w:numId w:val="1"/>
        </w:numPr>
        <w:spacing w:after="100"/>
      </w:pPr>
      <w:hyperlink w:history="1" r:id="rId_kbem-i5ru8iu0zk266th">
        <w:r>
          <w:rPr>
            <w:rFonts w:ascii="Times New Roman" w:cs="Times New Roman" w:eastAsia="Times New Roman" w:hAnsi="Times New Roman"/>
            <w:color w:val="1155CC"/>
            <w:sz w:val="22"/>
            <w:szCs w:val="22"/>
            <w:u w:val="single"/>
          </w:rPr>
          <w:t xml:space="preserve">Encyclopedia of Buddhism — Seven Treasuries (200 ✓)</w:t>
        </w:r>
      </w:hyperlink>
    </w:p>
    <w:p>
      <w:pPr>
        <w:pStyle w:val="ListParagraph"/>
        <w:numPr>
          <w:ilvl w:val="0"/>
          <w:numId w:val="1"/>
        </w:numPr>
        <w:spacing w:after="100"/>
      </w:pPr>
      <w:hyperlink w:history="1" r:id="rIdzsfep1w8pauzrixrbzv9z">
        <w:r>
          <w:rPr>
            <w:rFonts w:ascii="Times New Roman" w:cs="Times New Roman" w:eastAsia="Times New Roman" w:hAnsi="Times New Roman"/>
            <w:color w:val="1155CC"/>
            <w:sz w:val="22"/>
            <w:szCs w:val="22"/>
            <w:u w:val="single"/>
          </w:rPr>
          <w:t xml:space="preserve">Penguin Random House — Precious Treasury of the Dharmadhatu (Padmakara, 200 ✓)</w:t>
        </w:r>
      </w:hyperlink>
    </w:p>
    <w:p>
      <w:pPr>
        <w:spacing w:after="160"/>
        <w:jc w:val="both"/>
      </w:pPr>
      <w:r>
        <w:rPr>
          <w:rFonts w:ascii="Times New Roman" w:cs="Times New Roman" w:eastAsia="Times New Roman" w:hAnsi="Times New Roman"/>
          <w:b w:val="false"/>
          <w:bCs w:val="false"/>
          <w:i w:val="false"/>
          <w:iCs w:val="false"/>
          <w:color w:val="1F2937"/>
          <w:sz w:val="22"/>
          <w:szCs w:val="22"/>
        </w:rPr>
        <w:t xml:space="preserve">Sources bloquées anti-robot (403 ⚠️ — pages existent probablement, vérification manuelle recommandée) :</w:t>
      </w:r>
    </w:p>
    <w:p>
      <w:pPr>
        <w:pStyle w:val="ListParagraph"/>
        <w:numPr>
          <w:ilvl w:val="0"/>
          <w:numId w:val="1"/>
        </w:numPr>
        <w:spacing w:after="100"/>
      </w:pPr>
      <w:hyperlink w:history="1" r:id="rIdrxut_fgkqkcak3usik7fp">
        <w:r>
          <w:rPr>
            <w:rFonts w:ascii="Times New Roman" w:cs="Times New Roman" w:eastAsia="Times New Roman" w:hAnsi="Times New Roman"/>
            <w:color w:val="1155CC"/>
            <w:sz w:val="22"/>
            <w:szCs w:val="22"/>
            <w:u w:val="single"/>
          </w:rPr>
          <w:t xml:space="preserve">Rigpa Wiki — Longchenpa (403 ⚠️)</w:t>
        </w:r>
      </w:hyperlink>
    </w:p>
    <w:p>
      <w:pPr>
        <w:pStyle w:val="ListParagraph"/>
        <w:numPr>
          <w:ilvl w:val="0"/>
          <w:numId w:val="1"/>
        </w:numPr>
        <w:spacing w:after="100"/>
      </w:pPr>
      <w:hyperlink w:history="1" r:id="rIdungn2gaja21eljkmmfzbs">
        <w:r>
          <w:rPr>
            <w:rFonts w:ascii="Times New Roman" w:cs="Times New Roman" w:eastAsia="Times New Roman" w:hAnsi="Times New Roman"/>
            <w:color w:val="1155CC"/>
            <w:sz w:val="22"/>
            <w:szCs w:val="22"/>
            <w:u w:val="single"/>
          </w:rPr>
          <w:t xml:space="preserve">Rigpa Wiki — Seven Treasuries (403 ⚠️)</w:t>
        </w:r>
      </w:hyperlink>
    </w:p>
    <w:p>
      <w:pPr>
        <w:pStyle w:val="ListParagraph"/>
        <w:numPr>
          <w:ilvl w:val="0"/>
          <w:numId w:val="1"/>
        </w:numPr>
        <w:spacing w:after="100"/>
      </w:pPr>
      <w:hyperlink w:history="1" r:id="rIdybahlsdiwoun3xbfjgb88">
        <w:r>
          <w:rPr>
            <w:rFonts w:ascii="Times New Roman" w:cs="Times New Roman" w:eastAsia="Times New Roman" w:hAnsi="Times New Roman"/>
            <w:color w:val="1155CC"/>
            <w:sz w:val="22"/>
            <w:szCs w:val="22"/>
            <w:u w:val="single"/>
          </w:rPr>
          <w:t xml:space="preserve">Buddha-Nature — Jewel Treasure of the Dharmadhatu (403 ⚠️)</w:t>
        </w:r>
      </w:hyperlink>
    </w:p>
    <w:p>
      <w:pPr>
        <w:spacing w:after="160"/>
        <w:jc w:val="both"/>
      </w:pPr>
      <w:r>
        <w:rPr>
          <w:rFonts w:ascii="Times New Roman" w:cs="Times New Roman" w:eastAsia="Times New Roman" w:hAnsi="Times New Roman"/>
          <w:b w:val="false"/>
          <w:bCs w:val="false"/>
          <w:i w:val="false"/>
          <w:iCs w:val="false"/>
          <w:color w:val="1F2937"/>
          <w:sz w:val="22"/>
          <w:szCs w:val="22"/>
        </w:rPr>
        <w:t xml:space="preserve">Lotsawa House (404 ⛔) : aucune page dédiée à Longchenpa trouvée via l'URL directe — consulte le moteur de recherche du site directement.</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Prochaine leçon</w:t>
      </w:r>
    </w:p>
    <w:p>
      <w:pPr>
        <w:spacing w:after="160"/>
        <w:jc w:val="both"/>
      </w:pPr>
      <w:r>
        <w:rPr>
          <w:rFonts w:ascii="Times New Roman" w:cs="Times New Roman" w:eastAsia="Times New Roman" w:hAnsi="Times New Roman"/>
          <w:b/>
          <w:bCs/>
          <w:i w:val="false"/>
          <w:iCs w:val="false"/>
          <w:color w:val="1F2937"/>
          <w:sz w:val="22"/>
          <w:szCs w:val="22"/>
        </w:rPr>
        <w:t xml:space="preserve">Leçon 16 / 20 — </w:t>
      </w:r>
      <w:r>
        <w:rPr>
          <w:rFonts w:ascii="Times New Roman" w:cs="Times New Roman" w:eastAsia="Times New Roman" w:hAnsi="Times New Roman"/>
          <w:b w:val="false"/>
          <w:bCs w:val="false"/>
          <w:i w:val="false"/>
          <w:iCs w:val="false"/>
          <w:color w:val="1F2937"/>
          <w:sz w:val="22"/>
          <w:szCs w:val="22"/>
        </w:rPr>
        <w:t xml:space="preserve">Jigme Lingpa, le Longchen Nyingtik et la révélation des termas.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Jigme Lingpa (1730-1798) reçoit dans un songe visionnaire la transmission de Longchenpa lui-même — cinq siècles après la mort de ce dernier. Il en tire le Longchen Nyingtik, « l'Essence intérieure de la Vaste Étendue », qui devient la collection Nyingma la plus pratiquée en Occident. La leçon explorera le mécanisme de la révélation des termas et la relation entre Jigme Lingpa et Longchenpa comme exemple de transmission à travers le temps.</w:t>
      </w:r>
    </w:p>
    <w:p>
      <w:pPr>
        <w:spacing w:after="40" w:before="40"/>
      </w:pPr>
      <w:r>
        <w:t xml:space="preserve"/>
      </w:r>
    </w:p>
    <w:p>
      <w:pPr>
        <w:spacing w:after="60" w:before="120"/>
      </w:pPr>
      <w:r>
        <w:rPr>
          <w:rFonts w:ascii="Times New Roman" w:cs="Times New Roman" w:eastAsia="Times New Roman" w:hAnsi="Times New Roman"/>
          <w:b/>
          <w:bCs/>
          <w:i w:val="false"/>
          <w:iCs w:val="false"/>
          <w:color w:val="1F2937"/>
          <w:sz w:val="26"/>
          <w:szCs w:val="26"/>
        </w:rPr>
        <w:t xml:space="preserve">📝 Journal des corrections — 8 septembre 2026</w:t>
      </w:r>
    </w:p>
    <w:p>
      <w:pPr>
        <w:spacing w:after="60" w:before="60"/>
      </w:pPr>
      <w:r>
        <w:rPr>
          <w:rFonts w:ascii="Times New Roman" w:cs="Times New Roman" w:eastAsia="Times New Roman" w:hAnsi="Times New Roman"/>
          <w:b w:val="false"/>
          <w:bCs w:val="false"/>
          <w:i w:val="false"/>
          <w:iCs w:val="false"/>
          <w:color w:val="1F2937"/>
          <w:sz w:val="22"/>
          <w:szCs w:val="22"/>
        </w:rPr>
        <w:t xml:space="preserve">Leçon produite le 08/09/2026 à 8h03 par le job automatique, relue le jour même : 8/8 URL retestées, tableau des Sept Trésors repris ligne à ligne contre la source, biographie vérifiée date par date. Le tableau des Mdzod bdun est EXACT et COMPLET — sept entrées, dans l'ordre de la source, Wylie et thèmes justes — et la biographie l'est aussi : 1308-1364, Samye 1320, Sangpu Neutok à partir de 1327 pour six ans, Kumaradza 1266-1343, Bumthang, Tharpaling, « plus de 270 œuvres selon Tulku Thondup ». Les corrections ci-dessous portent toutes sur l'ATTRIBUTION, jamais sur les faits.</w:t>
      </w:r>
    </w:p>
    <w:p>
      <w:pPr>
        <w:spacing w:after="60" w:before="120"/>
      </w:pPr>
      <w:r>
        <w:rPr>
          <w:rFonts w:ascii="Times New Roman" w:cs="Times New Roman" w:eastAsia="Times New Roman" w:hAnsi="Times New Roman"/>
          <w:b/>
          <w:bCs/>
          <w:i w:val="false"/>
          <w:iCs w:val="false"/>
          <w:color w:val="1F2937"/>
          <w:sz w:val="22"/>
          <w:szCs w:val="22"/>
        </w:rPr>
        <w:t xml:space="preserve">① Une citation attribuée à Wikipédia, que Wikipédia attribue à Germano.</w:t>
      </w:r>
    </w:p>
    <w:p>
      <w:pPr>
        <w:spacing w:after="60" w:before="60"/>
      </w:pPr>
      <w:r>
        <w:rPr>
          <w:rFonts w:ascii="Times New Roman" w:cs="Times New Roman" w:eastAsia="Times New Roman" w:hAnsi="Times New Roman"/>
          <w:b w:val="false"/>
          <w:bCs w:val="false"/>
          <w:i w:val="false"/>
          <w:iCs w:val="false"/>
          <w:color w:val="1F2937"/>
          <w:sz w:val="22"/>
          <w:szCs w:val="22"/>
        </w:rPr>
        <w:t xml:space="preserve">La leçon écrivait : « Ses textes “eurent un impact immédiat et servirent de modèle explicite aux compositions Nyingma ultérieures” (Wikipedia/Longchenpa). » La page dit en réalité : « According to Germano, Longchenpa's work: had an immediate impact, and in subsequent centuries was to serve as the explicit model for many Nyingma compositions. » Deux écarts. D'abord l'attribution : la formule est de Germano, que Wikipédia cite — et que la leçon citait déjà nommément trois paragraphes plus haut. Ensuite « in subsequent centuries », tombé au passage : la leçon plaçait l'impact immédiat et le rôle de modèle dans le même temps, là où la source les sépare. Les deux sont rétablis, avec l'anglais en regard.</w:t>
      </w:r>
    </w:p>
    <w:p>
      <w:pPr>
        <w:spacing w:after="60" w:before="120"/>
      </w:pPr>
      <w:r>
        <w:rPr>
          <w:rFonts w:ascii="Times New Roman" w:cs="Times New Roman" w:eastAsia="Times New Roman" w:hAnsi="Times New Roman"/>
          <w:b/>
          <w:bCs/>
          <w:i w:val="false"/>
          <w:iCs w:val="false"/>
          <w:color w:val="1F2937"/>
          <w:sz w:val="22"/>
          <w:szCs w:val="22"/>
        </w:rPr>
        <w:t xml:space="preserve">② Une mention « synthèse » qui sous-estimait la fidélité du texte.</w:t>
      </w:r>
    </w:p>
    <w:p>
      <w:pPr>
        <w:spacing w:after="60" w:before="60"/>
      </w:pPr>
      <w:r>
        <w:rPr>
          <w:rFonts w:ascii="Times New Roman" w:cs="Times New Roman" w:eastAsia="Times New Roman" w:hAnsi="Times New Roman"/>
          <w:b w:val="false"/>
          <w:bCs w:val="false"/>
          <w:i w:val="false"/>
          <w:iCs w:val="false"/>
          <w:color w:val="1F2937"/>
          <w:sz w:val="22"/>
          <w:szCs w:val="22"/>
        </w:rPr>
        <w:t xml:space="preserve">Le passage sur Germano portait « (synthèse, non citation directe) ». Vérification faite, c'en est une traduction fidèle, quasiment mot pour mot. La prudence allait ici dans le bon sens — mieux vaut sous-revendiquer que sur-revendiquer — mais elle privait le lecteur d'une citation qu'il peut retrouver. L'anglais est désormais donné en regard. Par ailleurs, « Université de Virginie » et « spécialiste de la littérature Nyingma » ne figuraient sur aucune des pages citées : les deux sont exacts (professeur d'études tibétaines et bouddhiques à l'Université de Virginie, travaux portant précisément sur le corpus de Longchenpa), et la page qui les atteste est ajoutée en ressource plutôt que d'être supprimée.</w:t>
      </w:r>
    </w:p>
    <w:p>
      <w:pPr>
        <w:spacing w:after="60" w:before="120"/>
      </w:pPr>
      <w:r>
        <w:rPr>
          <w:rFonts w:ascii="Times New Roman" w:cs="Times New Roman" w:eastAsia="Times New Roman" w:hAnsi="Times New Roman"/>
          <w:b/>
          <w:bCs/>
          <w:i w:val="false"/>
          <w:iCs w:val="false"/>
          <w:color w:val="1F2937"/>
          <w:sz w:val="22"/>
          <w:szCs w:val="22"/>
        </w:rPr>
        <w:t xml:space="preserve">③ Deux affirmations sans appui dans les sources ouvertes.</w:t>
      </w:r>
    </w:p>
    <w:p>
      <w:pPr>
        <w:spacing w:after="60" w:before="60"/>
      </w:pPr>
      <w:r>
        <w:rPr>
          <w:rFonts w:ascii="Times New Roman" w:cs="Times New Roman" w:eastAsia="Times New Roman" w:hAnsi="Times New Roman"/>
          <w:b w:val="false"/>
          <w:bCs w:val="false"/>
          <w:i w:val="false"/>
          <w:iCs w:val="false"/>
          <w:color w:val="1F2937"/>
          <w:sz w:val="22"/>
          <w:szCs w:val="22"/>
        </w:rPr>
        <w:t xml:space="preserve">(a) Le 3e Karmapa Rangjung Dorje était présenté comme « pont entre les écoles Nyingma et Kagyü ». La source ne dit pas cela : elle dit ce que Longchenpa reçut de lui — les six yogas du Kālacakra et les six dharmas de Nāropa. C'est plus précis et plus utile ; la formule est remplacée par le fait. (b) « Exilé au Bhoutan vers 1350-1360 » : aucune date d'exil dans la source, qui indique seulement qu'il vécut dix ans à Tharpaling avant de rentrer au Tibet. La fourchette est retirée, la durée mise à sa place.</w:t>
      </w:r>
    </w:p>
    <w:p>
      <w:pPr>
        <w:spacing w:after="60" w:before="120"/>
      </w:pPr>
      <w:r>
        <w:rPr>
          <w:rFonts w:ascii="Times New Roman" w:cs="Times New Roman" w:eastAsia="Times New Roman" w:hAnsi="Times New Roman"/>
          <w:b/>
          <w:bCs/>
          <w:i w:val="false"/>
          <w:iCs w:val="false"/>
          <w:color w:val="1F2937"/>
          <w:sz w:val="22"/>
          <w:szCs w:val="22"/>
        </w:rPr>
        <w:t xml:space="preserve">④ Une référence tirée d'une page déclarée inaccessible.</w:t>
      </w:r>
    </w:p>
    <w:p>
      <w:pPr>
        <w:spacing w:after="60" w:before="60"/>
      </w:pPr>
      <w:r>
        <w:rPr>
          <w:rFonts w:ascii="Times New Roman" w:cs="Times New Roman" w:eastAsia="Times New Roman" w:hAnsi="Times New Roman"/>
          <w:b w:val="false"/>
          <w:bCs w:val="false"/>
          <w:i w:val="false"/>
          <w:iCs w:val="false"/>
          <w:color w:val="1F2937"/>
          <w:sz w:val="22"/>
          <w:szCs w:val="22"/>
        </w:rPr>
        <w:t xml:space="preserve">La leçon donnait « Jewel Treasure of the Dharmadhatu (Light of Berotsana, 2024, trad. Lama Chonam et Sangye Khandro) » — or la seule source citée pour cet ouvrage est la fiche Buddha-Nature, que la leçon range elle-même parmi les pages en 403. Elle décrivait donc, dans le même document, une page qu'elle disait n'avoir pas pu ouvrir. Les éléments sont exacts, retrouvés sur le catalogue de l'éditeur — d'où ils viennent est maintenant écrit noir sur blanc, et l'intitulé de l'autocommentaire, A Treasury of Citations, est ajouté. Au passage, « les plus accessibles » devient « parmi les plus accessibles » : le superlatif portait sur un ensemble que la leçon n'a pas recensé.</w:t>
      </w:r>
    </w:p>
    <w:p>
      <w:pPr>
        <w:spacing w:after="60" w:before="120"/>
      </w:pPr>
      <w:r>
        <w:rPr>
          <w:rFonts w:ascii="Times New Roman" w:cs="Times New Roman" w:eastAsia="Times New Roman" w:hAnsi="Times New Roman"/>
          <w:b/>
          <w:bCs/>
          <w:i w:val="false"/>
          <w:iCs w:val="false"/>
          <w:color w:val="1F2937"/>
          <w:sz w:val="22"/>
          <w:szCs w:val="22"/>
        </w:rPr>
        <w:t xml:space="preserve">⑤ Une discordance de dates entre deux sources ouvertes le même jour.</w:t>
      </w:r>
    </w:p>
    <w:p>
      <w:pPr>
        <w:spacing w:after="60" w:before="60"/>
      </w:pPr>
      <w:r>
        <w:rPr>
          <w:rFonts w:ascii="Times New Roman" w:cs="Times New Roman" w:eastAsia="Times New Roman" w:hAnsi="Times New Roman"/>
          <w:b w:val="false"/>
          <w:bCs w:val="false"/>
          <w:i w:val="false"/>
          <w:iCs w:val="false"/>
          <w:color w:val="1F2937"/>
          <w:sz w:val="22"/>
          <w:szCs w:val="22"/>
        </w:rPr>
        <w:t xml:space="preserve">La fiche éditeur de Penguin Random House, citée en ressource vérifiée ✓, écrit « Longchen Rabjam (1308-1363) ». La page Wikipédia, également citée, donne 1308-1364, que la leçon retient. Un an d'écart entre deux sources du même document, sans que rien ne le signale. La leçon porte désormais la mention de l'écart. Elle ne le tranche pas : les deux dates circulent, et rien dans les sources ouvertes ici ne permet de départager.</w:t>
      </w:r>
    </w:p>
    <w:p>
      <w:pPr>
        <w:spacing w:after="60" w:before="120"/>
      </w:pPr>
      <w:r>
        <w:rPr>
          <w:rFonts w:ascii="Times New Roman" w:cs="Times New Roman" w:eastAsia="Times New Roman" w:hAnsi="Times New Roman"/>
          <w:b/>
          <w:bCs/>
          <w:i w:val="false"/>
          <w:iCs w:val="false"/>
          <w:color w:val="1F2937"/>
          <w:sz w:val="22"/>
          <w:szCs w:val="22"/>
        </w:rPr>
        <w:t xml:space="preserve">⑥ Deux fautes de langue.</w:t>
      </w:r>
    </w:p>
    <w:p>
      <w:pPr>
        <w:spacing w:after="60" w:before="60"/>
      </w:pPr>
      <w:r>
        <w:rPr>
          <w:rFonts w:ascii="Times New Roman" w:cs="Times New Roman" w:eastAsia="Times New Roman" w:hAnsi="Times New Roman"/>
          <w:b w:val="false"/>
          <w:bCs w:val="false"/>
          <w:i w:val="false"/>
          <w:iCs w:val="false"/>
          <w:color w:val="1F2937"/>
          <w:sz w:val="22"/>
          <w:szCs w:val="22"/>
        </w:rPr>
        <w:t xml:space="preserve">« Le ciel ne bougent pas » (exercice 3) et « choisit l'un des Sept Trésors » (Challenge, où l'impératif était attendu).</w:t>
      </w:r>
    </w:p>
    <w:p>
      <w:pPr>
        <w:spacing w:after="60" w:before="120"/>
      </w:pPr>
      <w:r>
        <w:rPr>
          <w:rFonts w:ascii="Times New Roman" w:cs="Times New Roman" w:eastAsia="Times New Roman" w:hAnsi="Times New Roman"/>
          <w:b/>
          <w:bCs/>
          <w:i w:val="false"/>
          <w:iCs w:val="false"/>
          <w:color w:val="1F2937"/>
          <w:sz w:val="22"/>
          <w:szCs w:val="22"/>
        </w:rPr>
        <w:t xml:space="preserve">Ce que cette relecture apprend au parcours.</w:t>
      </w:r>
    </w:p>
    <w:p>
      <w:pPr>
        <w:spacing w:after="60" w:before="60"/>
      </w:pPr>
      <w:r>
        <w:rPr>
          <w:rFonts w:ascii="Times New Roman" w:cs="Times New Roman" w:eastAsia="Times New Roman" w:hAnsi="Times New Roman"/>
          <w:b w:val="false"/>
          <w:bCs w:val="false"/>
          <w:i w:val="false"/>
          <w:iCs w:val="false"/>
          <w:color w:val="1F2937"/>
          <w:sz w:val="22"/>
          <w:szCs w:val="22"/>
        </w:rPr>
        <w:t xml:space="preserve">Le tableau des Sept Trésors est repris intégralement et dans l'ordre, alors que `dzogchen-lecon` ne porte aucune règle sur les tableaux — celle-ci, l'A3 bis, a été écrite hier pour un autre parcours après un tableau amputé. Ce parcours a fait spontanément ce qu'il a fallu imposer ailleurs. Ce qui a cédé, en revanche, c'est le lien entre une phrase et son auteur : citer une encyclopédie pour une phrase qu'elle attribue explicitement à un chercheur, et décrire un livre d'après une page qu'on déclare fermée. Vérifier qu'une citation est exacte ne suffit pas : il faut vérifier DE QUI elle 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hu5oz6afjawweuep5no6" Type="http://schemas.openxmlformats.org/officeDocument/2006/relationships/hyperlink" Target="https://en.wikipedia.org/wiki/Longchenpa" TargetMode="External"/><Relationship Id="rIdixlibiff-7g9ghqrdus0a" Type="http://schemas.openxmlformats.org/officeDocument/2006/relationships/hyperlink" Target="https://en.wikipedia.org/wiki/Seven_Treasuries" TargetMode="External"/><Relationship Id="rIdo75ac-e5h6n-efattl1rf" Type="http://schemas.openxmlformats.org/officeDocument/2006/relationships/hyperlink" Target="https://encyclopediaofbuddhism.org/wiki/Longchenpa" TargetMode="External"/><Relationship Id="rId_kbem-i5ru8iu0zk266th" Type="http://schemas.openxmlformats.org/officeDocument/2006/relationships/hyperlink" Target="https://encyclopediaofbuddhism.org/wiki/Seven_Treasuries" TargetMode="External"/><Relationship Id="rIdzsfep1w8pauzrixrbzv9z" Type="http://schemas.openxmlformats.org/officeDocument/2006/relationships/hyperlink" Target="https://www.penguinrandomhouse.com/books/788643/the-precious-treasury-of-the-dharmadhatu-by-longchenpa-and-khangsar-tenpai-wangchuk-translated-by-padmakara-translation-group/" TargetMode="External"/><Relationship Id="rIdrxut_fgkqkcak3usik7fp" Type="http://schemas.openxmlformats.org/officeDocument/2006/relationships/hyperlink" Target="https://www.rigpawiki.org/index.php?title=Longchenpa" TargetMode="External"/><Relationship Id="rIdungn2gaja21eljkmmfzbs" Type="http://schemas.openxmlformats.org/officeDocument/2006/relationships/hyperlink" Target="https://www.rigpawiki.org/index.php?title=Seven_Treasuries" TargetMode="External"/><Relationship Id="rIdybahlsdiwoun3xbfjgb88" Type="http://schemas.openxmlformats.org/officeDocument/2006/relationships/hyperlink" Target="https://buddhanature.tsadra.org/index.php/Lama_Chonam_and_Sangye_Khandro:_Longchenpa%27s_Jewel_Treasure_of_the_Dharmadhatu" TargetMode="External"/><Relationship Id="rId15" Type="http://schemas.openxmlformats.org/officeDocument/2006/relationships/fontTable" Target="fontTable.xml"/><Relationship Id="rIddavidgermanowikipedia" Type="http://schemas.openxmlformats.org/officeDocument/2006/relationships/hyperlink" Target="https://en.wikipedia.org/wiki/David_Germano"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 Code — Job dzogchen-lecon</dc:creator>
  <dc:description>Leçon Dzogchen n°15 — Longchenpa et les Sept Trésors</dc:description>
  <cp:lastModifiedBy>Un-named</cp:lastModifiedBy>
  <cp:revision>1</cp:revision>
  <dcterms:created xsi:type="dcterms:W3CDTF">2026-09-08T06:09:45.253Z</dcterms:created>
  <dcterms:modified xsi:type="dcterms:W3CDTF">2026-09-08T06:09:45.269Z</dcterms:modified>
</cp:coreProperties>
</file>

<file path=docProps/custom.xml><?xml version="1.0" encoding="utf-8"?>
<Properties xmlns="http://schemas.openxmlformats.org/officeDocument/2006/custom-properties" xmlns:vt="http://schemas.openxmlformats.org/officeDocument/2006/docPropsVTypes"/>
</file>