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jc w:val="center"/>
      </w:pPr>
      <w:r>
        <w:rPr>
          <w:rFonts w:ascii="Times New Roman" w:cs="Times New Roman" w:eastAsia="Times New Roman" w:hAnsi="Times New Roman"/>
          <w:b/>
          <w:bCs/>
          <w:color w:val="1B3A6B"/>
          <w:sz w:val="52"/>
          <w:szCs w:val="52"/>
        </w:rPr>
        <w:t xml:space="preserve">Leçon Ennéagramme n°08 — Type 6 : Le Loyaliste</w:t>
      </w:r>
    </w:p>
    <w:p>
      <w:pPr>
        <w:spacing w:after="80" w:before="60"/>
        <w:jc w:val="center"/>
      </w:pPr>
      <w:r>
        <w:rPr>
          <w:rFonts w:ascii="Times New Roman" w:cs="Times New Roman" w:eastAsia="Times New Roman" w:hAnsi="Times New Roman"/>
          <w:i/>
          <w:iCs/>
          <w:color w:val="6B7280"/>
          <w:sz w:val="20"/>
          <w:szCs w:val="20"/>
        </w:rPr>
        <w:t xml:space="preserve">22 juillet 2026  ·  Module Fondamental — Types de personnalité  ·  Leçon 08/16</w:t>
      </w:r>
    </w:p>
    <w:p>
      <w:pPr>
        <w:spacing w:after="120" w:before="120"/>
      </w:pPr>
      <w:r>
        <w:rPr>
          <w:rFonts w:ascii="Times New Roman" w:cs="Times New Roman" w:eastAsia="Times New Roman" w:hAnsi="Times New Roman"/>
          <w:color w:val="CCCCCC"/>
          <w:sz w:val="18"/>
          <w:szCs w:val="18"/>
        </w:rPr>
        <w:t xml:space="preserve">─────────────────────────────────────────────────────────</w:t>
      </w:r>
    </w:p>
    <w:p>
      <w:pPr>
        <w:pStyle w:val="Heading2"/>
        <w:spacing w:after="120" w:before="280"/>
      </w:pPr>
      <w:r>
        <w:rPr>
          <w:rFonts w:ascii="Times New Roman" w:cs="Times New Roman" w:eastAsia="Times New Roman" w:hAnsi="Times New Roman"/>
          <w:b/>
          <w:bCs/>
          <w:color w:val="1B3A6B"/>
          <w:sz w:val="30"/>
          <w:szCs w:val="30"/>
        </w:rPr>
        <w:t xml:space="preserve">🎯 Objectif &amp; continuité</w:t>
      </w:r>
    </w:p>
    <w:p>
      <w:pPr>
        <w:spacing w:after="60" w:before="60"/>
      </w:pPr>
      <w:r>
        <w:rPr>
          <w:rFonts w:ascii="Times New Roman" w:cs="Times New Roman" w:eastAsia="Times New Roman" w:hAnsi="Times New Roman"/>
          <w:b w:val="false"/>
          <w:bCs w:val="false"/>
          <w:i w:val="false"/>
          <w:iCs w:val="false"/>
          <w:color w:val="1F2937"/>
          <w:sz w:val="22"/>
          <w:szCs w:val="22"/>
        </w:rPr>
        <w:t xml:space="preserve">À la fin de cette leçon, tu seras capable de :</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Identifier les motivations profondes, la peur fondamentale et la passion du Type 6 (Le Loyaliste) ;</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Distinguer les deux expressions du type : phobique (évitement) et contre-phobique (confrontation) ;</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Comprendre comment le doute fonctionne comme moteur de comportement et d'où naît la ressource du courage.</w:t>
      </w:r>
    </w:p>
    <w:p>
      <w:r>
        <w:t xml:space="preserve"/>
      </w:r>
    </w:p>
    <w:p>
      <w:pPr>
        <w:spacing w:after="60" w:before="60"/>
      </w:pPr>
      <w:r>
        <w:rPr>
          <w:rFonts w:ascii="Times New Roman" w:cs="Times New Roman" w:eastAsia="Times New Roman" w:hAnsi="Times New Roman"/>
          <w:b w:val="false"/>
          <w:bCs w:val="false"/>
          <w:i/>
          <w:iCs/>
          <w:color w:val="1F2937"/>
          <w:sz w:val="22"/>
          <w:szCs w:val="22"/>
        </w:rPr>
        <w:t xml:space="preserve">Continuité avec la leçon précédente : après avoir exploré le Type 5 (l'Investigateur), qui retire son énergie pour observer et analyser depuis une position de retrait, nous rencontrons ici le Type 6, dont la dynamique est fondamentalement relationnelle et orientée vers la sécurité. Là où le 5 cherche la connaissance pour s'affranchir de la dépendance, le 6 cherche la loyauté et le soutien pour traverser un monde perçu comme menaçant.</w:t>
      </w:r>
    </w:p>
    <w:p>
      <w:pPr>
        <w:spacing w:after="120" w:before="120"/>
      </w:pPr>
      <w:r>
        <w:rPr>
          <w:rFonts w:ascii="Times New Roman" w:cs="Times New Roman" w:eastAsia="Times New Roman" w:hAnsi="Times New Roman"/>
          <w:color w:val="CCCCCC"/>
          <w:sz w:val="18"/>
          <w:szCs w:val="18"/>
        </w:rPr>
        <w:t xml:space="preserve">─────────────────────────────────────────────────────────</w:t>
      </w:r>
    </w:p>
    <w:p>
      <w:pPr>
        <w:pStyle w:val="Heading2"/>
        <w:spacing w:after="120" w:before="280"/>
      </w:pPr>
      <w:r>
        <w:rPr>
          <w:rFonts w:ascii="Times New Roman" w:cs="Times New Roman" w:eastAsia="Times New Roman" w:hAnsi="Times New Roman"/>
          <w:b/>
          <w:bCs/>
          <w:color w:val="1B3A6B"/>
          <w:sz w:val="30"/>
          <w:szCs w:val="30"/>
        </w:rPr>
        <w:t xml:space="preserve">🔬 Théorie (20 %) — Qui est le Type 6 ?</w:t>
      </w:r>
    </w:p>
    <w:p>
      <w:pPr>
        <w:pStyle w:val="Heading3"/>
        <w:spacing w:after="80" w:before="200"/>
      </w:pPr>
      <w:r>
        <w:rPr>
          <w:rFonts w:ascii="Times New Roman" w:cs="Times New Roman" w:eastAsia="Times New Roman" w:hAnsi="Times New Roman"/>
          <w:b/>
          <w:bCs/>
          <w:color w:val="1F2937"/>
          <w:sz w:val="26"/>
          <w:szCs w:val="26"/>
        </w:rPr>
        <w:t xml:space="preserve">La structure fondamentale</w:t>
      </w:r>
    </w:p>
    <w:p>
      <w:pPr>
        <w:spacing w:after="60" w:before="60"/>
      </w:pPr>
      <w:r>
        <w:rPr>
          <w:rFonts w:ascii="Times New Roman" w:cs="Times New Roman" w:eastAsia="Times New Roman" w:hAnsi="Times New Roman"/>
          <w:b w:val="false"/>
          <w:bCs w:val="false"/>
          <w:i w:val="false"/>
          <w:iCs w:val="false"/>
          <w:color w:val="1F2937"/>
          <w:sz w:val="22"/>
          <w:szCs w:val="22"/>
        </w:rPr>
        <w:t xml:space="preserve">Le Type 6 est souvent appelé « Le Loyaliste » ou « Le Sceptique fidèle ». Sa structure de personnalité s'organise autour d'une croyance centrale : le monde est un endroit imprévisible et menaçant, et la sécurité doit être activement cherchée et maintenue.</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shd w:fill="1B3A6B" w:val="clear"/>
          </w:tcPr>
          <w:p>
            <w:pPr>
              <w:spacing w:after="60" w:before="60"/>
            </w:pPr>
            <w:r>
              <w:rPr>
                <w:rFonts w:ascii="Times New Roman" w:cs="Times New Roman" w:eastAsia="Times New Roman" w:hAnsi="Times New Roman"/>
                <w:b/>
                <w:bCs/>
                <w:color w:val="FFFFFF"/>
                <w:sz w:val="20"/>
                <w:szCs w:val="20"/>
              </w:rPr>
              <w:t xml:space="preserve">Élément</w:t>
            </w:r>
          </w:p>
        </w:tc>
        <w:tc>
          <w:tcPr>
            <w:shd w:fill="1B3A6B" w:val="clear"/>
          </w:tcPr>
          <w:p>
            <w:pPr>
              <w:spacing w:after="60" w:before="60"/>
            </w:pPr>
            <w:r>
              <w:rPr>
                <w:rFonts w:ascii="Times New Roman" w:cs="Times New Roman" w:eastAsia="Times New Roman" w:hAnsi="Times New Roman"/>
                <w:b w:val="false"/>
                <w:bCs w:val="false"/>
                <w:color w:val="FFFFFF"/>
                <w:sz w:val="20"/>
                <w:szCs w:val="20"/>
              </w:rPr>
              <w:t xml:space="preserve">Contenu</w:t>
            </w:r>
          </w:p>
        </w:tc>
      </w:tr>
      <w:tr>
        <w:tc>
          <w:tcPr>
            <w:shd w:fill="FFFFFF" w:val="clear"/>
          </w:tcPr>
          <w:p>
            <w:pPr>
              <w:spacing w:after="60" w:before="60"/>
            </w:pPr>
            <w:r>
              <w:rPr>
                <w:rFonts w:ascii="Times New Roman" w:cs="Times New Roman" w:eastAsia="Times New Roman" w:hAnsi="Times New Roman"/>
                <w:b/>
                <w:bCs/>
                <w:color w:val="1F2937"/>
                <w:sz w:val="20"/>
                <w:szCs w:val="20"/>
              </w:rPr>
              <w:t xml:space="preserve">Peur fondamentale</w:t>
            </w:r>
          </w:p>
        </w:tc>
        <w:tc>
          <w:tcPr>
            <w:shd w:fill="FFFFFF" w:val="clear"/>
          </w:tcPr>
          <w:p>
            <w:pPr>
              <w:spacing w:after="60" w:before="60"/>
            </w:pPr>
            <w:r>
              <w:rPr>
                <w:rFonts w:ascii="Times New Roman" w:cs="Times New Roman" w:eastAsia="Times New Roman" w:hAnsi="Times New Roman"/>
                <w:b w:val="false"/>
                <w:bCs w:val="false"/>
                <w:color w:val="1F2937"/>
                <w:sz w:val="20"/>
                <w:szCs w:val="20"/>
              </w:rPr>
              <w:t xml:space="preserve">Être sans soutien dans un monde menaçant et imprévisible</w:t>
            </w:r>
          </w:p>
        </w:tc>
      </w:tr>
      <w:tr>
        <w:tc>
          <w:tcPr>
            <w:shd w:fill="EEF2F7" w:val="clear"/>
          </w:tcPr>
          <w:p>
            <w:pPr>
              <w:spacing w:after="60" w:before="60"/>
            </w:pPr>
            <w:r>
              <w:rPr>
                <w:rFonts w:ascii="Times New Roman" w:cs="Times New Roman" w:eastAsia="Times New Roman" w:hAnsi="Times New Roman"/>
                <w:b/>
                <w:bCs/>
                <w:color w:val="1F2937"/>
                <w:sz w:val="20"/>
                <w:szCs w:val="20"/>
              </w:rPr>
              <w:t xml:space="preserve">Désir fondamental</w:t>
            </w:r>
          </w:p>
        </w:tc>
        <w:tc>
          <w:tcPr>
            <w:shd w:fill="EEF2F7" w:val="clear"/>
          </w:tcPr>
          <w:p>
            <w:pPr>
              <w:spacing w:after="60" w:before="60"/>
            </w:pPr>
            <w:r>
              <w:rPr>
                <w:rFonts w:ascii="Times New Roman" w:cs="Times New Roman" w:eastAsia="Times New Roman" w:hAnsi="Times New Roman"/>
                <w:b w:val="false"/>
                <w:bCs w:val="false"/>
                <w:color w:val="1F2937"/>
                <w:sz w:val="20"/>
                <w:szCs w:val="20"/>
              </w:rPr>
              <w:t xml:space="preserve">Avoir sécurité, guidance et soutien fiable</w:t>
            </w:r>
          </w:p>
        </w:tc>
      </w:tr>
      <w:tr>
        <w:tc>
          <w:tcPr>
            <w:shd w:fill="FFFFFF" w:val="clear"/>
          </w:tcPr>
          <w:p>
            <w:pPr>
              <w:spacing w:after="60" w:before="60"/>
            </w:pPr>
            <w:r>
              <w:rPr>
                <w:rFonts w:ascii="Times New Roman" w:cs="Times New Roman" w:eastAsia="Times New Roman" w:hAnsi="Times New Roman"/>
                <w:b/>
                <w:bCs/>
                <w:color w:val="1F2937"/>
                <w:sz w:val="20"/>
                <w:szCs w:val="20"/>
              </w:rPr>
              <w:t xml:space="preserve">Passion / Vice</w:t>
            </w:r>
          </w:p>
        </w:tc>
        <w:tc>
          <w:tcPr>
            <w:shd w:fill="FFFFFF" w:val="clear"/>
          </w:tcPr>
          <w:p>
            <w:pPr>
              <w:spacing w:after="60" w:before="60"/>
            </w:pPr>
            <w:r>
              <w:rPr>
                <w:rFonts w:ascii="Times New Roman" w:cs="Times New Roman" w:eastAsia="Times New Roman" w:hAnsi="Times New Roman"/>
                <w:b w:val="false"/>
                <w:bCs w:val="false"/>
                <w:color w:val="1F2937"/>
                <w:sz w:val="20"/>
                <w:szCs w:val="20"/>
              </w:rPr>
              <w:t xml:space="preserve">Le doute et la peur (anxiété chronique, hypervigilance)</w:t>
            </w:r>
          </w:p>
        </w:tc>
      </w:tr>
      <w:tr>
        <w:tc>
          <w:tcPr>
            <w:shd w:fill="EEF2F7" w:val="clear"/>
          </w:tcPr>
          <w:p>
            <w:pPr>
              <w:spacing w:after="60" w:before="60"/>
            </w:pPr>
            <w:r>
              <w:rPr>
                <w:rFonts w:ascii="Times New Roman" w:cs="Times New Roman" w:eastAsia="Times New Roman" w:hAnsi="Times New Roman"/>
                <w:b/>
                <w:bCs/>
                <w:color w:val="1F2937"/>
                <w:sz w:val="20"/>
                <w:szCs w:val="20"/>
              </w:rPr>
              <w:t xml:space="preserve">Fixation mentale</w:t>
            </w:r>
          </w:p>
        </w:tc>
        <w:tc>
          <w:tcPr>
            <w:shd w:fill="EEF2F7" w:val="clear"/>
          </w:tcPr>
          <w:p>
            <w:pPr>
              <w:spacing w:after="60" w:before="60"/>
            </w:pPr>
            <w:r>
              <w:rPr>
                <w:rFonts w:ascii="Times New Roman" w:cs="Times New Roman" w:eastAsia="Times New Roman" w:hAnsi="Times New Roman"/>
                <w:b w:val="false"/>
                <w:bCs w:val="false"/>
                <w:color w:val="1F2937"/>
                <w:sz w:val="20"/>
                <w:szCs w:val="20"/>
              </w:rPr>
              <w:t xml:space="preserve">La lâcheté (cowardice) — difficulté à mobiliser son propre jugement</w:t>
            </w:r>
          </w:p>
        </w:tc>
      </w:tr>
      <w:tr>
        <w:tc>
          <w:tcPr>
            <w:shd w:fill="FFFFFF" w:val="clear"/>
          </w:tcPr>
          <w:p>
            <w:pPr>
              <w:spacing w:after="60" w:before="60"/>
            </w:pPr>
            <w:r>
              <w:rPr>
                <w:rFonts w:ascii="Times New Roman" w:cs="Times New Roman" w:eastAsia="Times New Roman" w:hAnsi="Times New Roman"/>
                <w:b/>
                <w:bCs/>
                <w:color w:val="1F2937"/>
                <w:sz w:val="20"/>
                <w:szCs w:val="20"/>
              </w:rPr>
              <w:t xml:space="preserve">Vertu</w:t>
            </w:r>
          </w:p>
        </w:tc>
        <w:tc>
          <w:tcPr>
            <w:shd w:fill="FFFFFF" w:val="clear"/>
          </w:tcPr>
          <w:p>
            <w:pPr>
              <w:spacing w:after="60" w:before="60"/>
            </w:pPr>
            <w:r>
              <w:rPr>
                <w:rFonts w:ascii="Times New Roman" w:cs="Times New Roman" w:eastAsia="Times New Roman" w:hAnsi="Times New Roman"/>
                <w:b w:val="false"/>
                <w:bCs w:val="false"/>
                <w:color w:val="1F2937"/>
                <w:sz w:val="20"/>
                <w:szCs w:val="20"/>
              </w:rPr>
              <w:t xml:space="preserve">Le courage — agir avec résolution face à un danger réel</w:t>
            </w:r>
          </w:p>
        </w:tc>
      </w:tr>
      <w:tr>
        <w:tc>
          <w:tcPr>
            <w:shd w:fill="EEF2F7" w:val="clear"/>
          </w:tcPr>
          <w:p>
            <w:pPr>
              <w:spacing w:after="60" w:before="60"/>
            </w:pPr>
            <w:r>
              <w:rPr>
                <w:rFonts w:ascii="Times New Roman" w:cs="Times New Roman" w:eastAsia="Times New Roman" w:hAnsi="Times New Roman"/>
                <w:b/>
                <w:bCs/>
                <w:color w:val="1F2937"/>
                <w:sz w:val="20"/>
                <w:szCs w:val="20"/>
              </w:rPr>
              <w:t xml:space="preserve">Idée sacrée</w:t>
            </w:r>
          </w:p>
        </w:tc>
        <w:tc>
          <w:tcPr>
            <w:shd w:fill="EEF2F7" w:val="clear"/>
          </w:tcPr>
          <w:p>
            <w:pPr>
              <w:spacing w:after="60" w:before="60"/>
            </w:pPr>
            <w:r>
              <w:rPr>
                <w:rFonts w:ascii="Times New Roman" w:cs="Times New Roman" w:eastAsia="Times New Roman" w:hAnsi="Times New Roman"/>
                <w:b w:val="false"/>
                <w:bCs w:val="false"/>
                <w:color w:val="1F2937"/>
                <w:sz w:val="20"/>
                <w:szCs w:val="20"/>
              </w:rPr>
              <w:t xml:space="preserve">La foi — accepter le réel sans le filtrer par le doute</w:t>
            </w:r>
          </w:p>
        </w:tc>
      </w:tr>
      <w:tr>
        <w:tc>
          <w:tcPr>
            <w:shd w:fill="FFFFFF" w:val="clear"/>
          </w:tcPr>
          <w:p>
            <w:pPr>
              <w:spacing w:after="60" w:before="60"/>
            </w:pPr>
            <w:r>
              <w:rPr>
                <w:rFonts w:ascii="Times New Roman" w:cs="Times New Roman" w:eastAsia="Times New Roman" w:hAnsi="Times New Roman"/>
                <w:b/>
                <w:bCs/>
                <w:color w:val="1F2937"/>
                <w:sz w:val="20"/>
                <w:szCs w:val="20"/>
              </w:rPr>
              <w:t xml:space="preserve">Piège</w:t>
            </w:r>
          </w:p>
        </w:tc>
        <w:tc>
          <w:tcPr>
            <w:shd w:fill="FFFFFF" w:val="clear"/>
          </w:tcPr>
          <w:p>
            <w:pPr>
              <w:spacing w:after="60" w:before="60"/>
            </w:pPr>
            <w:r>
              <w:rPr>
                <w:rFonts w:ascii="Times New Roman" w:cs="Times New Roman" w:eastAsia="Times New Roman" w:hAnsi="Times New Roman"/>
                <w:b w:val="false"/>
                <w:bCs w:val="false"/>
                <w:color w:val="1F2937"/>
                <w:sz w:val="20"/>
                <w:szCs w:val="20"/>
              </w:rPr>
              <w:t xml:space="preserve">La sécurité — la chercher à l'extérieur plutôt qu'en soi</w:t>
            </w:r>
          </w:p>
        </w:tc>
      </w:tr>
      <w:tr>
        <w:tc>
          <w:tcPr>
            <w:shd w:fill="EEF2F7" w:val="clear"/>
          </w:tcPr>
          <w:p>
            <w:pPr>
              <w:spacing w:after="60" w:before="60"/>
            </w:pPr>
            <w:r>
              <w:rPr>
                <w:rFonts w:ascii="Times New Roman" w:cs="Times New Roman" w:eastAsia="Times New Roman" w:hAnsi="Times New Roman"/>
                <w:b/>
                <w:bCs/>
                <w:color w:val="1F2937"/>
                <w:sz w:val="20"/>
                <w:szCs w:val="20"/>
              </w:rPr>
              <w:t xml:space="preserve">Mécanisme de défense</w:t>
            </w:r>
          </w:p>
        </w:tc>
        <w:tc>
          <w:tcPr>
            <w:shd w:fill="EEF2F7" w:val="clear"/>
          </w:tcPr>
          <w:p>
            <w:pPr>
              <w:spacing w:after="60" w:before="60"/>
            </w:pPr>
            <w:r>
              <w:rPr>
                <w:rFonts w:ascii="Times New Roman" w:cs="Times New Roman" w:eastAsia="Times New Roman" w:hAnsi="Times New Roman"/>
                <w:b w:val="false"/>
                <w:bCs w:val="false"/>
                <w:color w:val="1F2937"/>
                <w:sz w:val="20"/>
                <w:szCs w:val="20"/>
              </w:rPr>
              <w:t xml:space="preserve">Projection et introjection : attribuer la menace à l'extérieur</w:t>
            </w:r>
          </w:p>
        </w:tc>
      </w:tr>
      <w:tr>
        <w:tc>
          <w:tcPr>
            <w:shd w:fill="FFFFFF" w:val="clear"/>
          </w:tcPr>
          <w:p>
            <w:pPr>
              <w:spacing w:after="60" w:before="60"/>
            </w:pPr>
            <w:r>
              <w:rPr>
                <w:rFonts w:ascii="Times New Roman" w:cs="Times New Roman" w:eastAsia="Times New Roman" w:hAnsi="Times New Roman"/>
                <w:b/>
                <w:bCs/>
                <w:color w:val="1F2937"/>
                <w:sz w:val="20"/>
                <w:szCs w:val="20"/>
              </w:rPr>
              <w:t xml:space="preserve">Ailes</w:t>
            </w:r>
          </w:p>
        </w:tc>
        <w:tc>
          <w:tcPr>
            <w:shd w:fill="FFFFFF" w:val="clear"/>
          </w:tcPr>
          <w:p>
            <w:pPr>
              <w:spacing w:after="60" w:before="60"/>
            </w:pPr>
            <w:r>
              <w:rPr>
                <w:rFonts w:ascii="Times New Roman" w:cs="Times New Roman" w:eastAsia="Times New Roman" w:hAnsi="Times New Roman"/>
                <w:b w:val="false"/>
                <w:bCs w:val="false"/>
                <w:color w:val="1F2937"/>
                <w:sz w:val="20"/>
                <w:szCs w:val="20"/>
              </w:rPr>
              <w:t xml:space="preserve">6w5 (Investigateur) · 6w7 (Compagnon enthousiaste)</w:t>
            </w:r>
          </w:p>
        </w:tc>
      </w:tr>
      <w:tr>
        <w:tc>
          <w:tcPr>
            <w:shd w:fill="EEF2F7" w:val="clear"/>
          </w:tcPr>
          <w:p>
            <w:pPr>
              <w:spacing w:after="60" w:before="60"/>
            </w:pPr>
            <w:r>
              <w:rPr>
                <w:rFonts w:ascii="Times New Roman" w:cs="Times New Roman" w:eastAsia="Times New Roman" w:hAnsi="Times New Roman"/>
                <w:b/>
                <w:bCs/>
                <w:color w:val="1F2937"/>
                <w:sz w:val="20"/>
                <w:szCs w:val="20"/>
              </w:rPr>
              <w:t xml:space="preserve">Flèche de stress → 3</w:t>
            </w:r>
          </w:p>
        </w:tc>
        <w:tc>
          <w:tcPr>
            <w:shd w:fill="EEF2F7" w:val="clear"/>
          </w:tcPr>
          <w:p>
            <w:pPr>
              <w:spacing w:after="60" w:before="60"/>
            </w:pPr>
            <w:r>
              <w:rPr>
                <w:rFonts w:ascii="Times New Roman" w:cs="Times New Roman" w:eastAsia="Times New Roman" w:hAnsi="Times New Roman"/>
                <w:b w:val="false"/>
                <w:bCs w:val="false"/>
                <w:color w:val="1F2937"/>
                <w:sz w:val="20"/>
                <w:szCs w:val="20"/>
              </w:rPr>
              <w:t xml:space="preserve">Compétitif, focalisé sur l'image, agitation</w:t>
            </w:r>
          </w:p>
        </w:tc>
      </w:tr>
      <w:tr>
        <w:tc>
          <w:tcPr>
            <w:shd w:fill="FFFFFF" w:val="clear"/>
          </w:tcPr>
          <w:p>
            <w:pPr>
              <w:spacing w:after="60" w:before="60"/>
            </w:pPr>
            <w:r>
              <w:rPr>
                <w:rFonts w:ascii="Times New Roman" w:cs="Times New Roman" w:eastAsia="Times New Roman" w:hAnsi="Times New Roman"/>
                <w:b/>
                <w:bCs/>
                <w:color w:val="1F2937"/>
                <w:sz w:val="20"/>
                <w:szCs w:val="20"/>
              </w:rPr>
              <w:t xml:space="preserve">Flèche d'intégration → 9</w:t>
            </w:r>
          </w:p>
        </w:tc>
        <w:tc>
          <w:tcPr>
            <w:shd w:fill="FFFFFF" w:val="clear"/>
          </w:tcPr>
          <w:p>
            <w:pPr>
              <w:spacing w:after="60" w:before="60"/>
            </w:pPr>
            <w:r>
              <w:rPr>
                <w:rFonts w:ascii="Times New Roman" w:cs="Times New Roman" w:eastAsia="Times New Roman" w:hAnsi="Times New Roman"/>
                <w:b w:val="false"/>
                <w:bCs w:val="false"/>
                <w:color w:val="1F2937"/>
                <w:sz w:val="20"/>
                <w:szCs w:val="20"/>
              </w:rPr>
              <w:t xml:space="preserve">Paix intérieure, confiance, lâcher-prise</w:t>
            </w:r>
          </w:p>
        </w:tc>
      </w:tr>
    </w:tbl>
    <w:p>
      <w:r>
        <w:t xml:space="preserve"/>
      </w:r>
    </w:p>
    <w:p>
      <w:pPr>
        <w:pStyle w:val="Heading3"/>
        <w:spacing w:after="80" w:before="200"/>
      </w:pPr>
      <w:r>
        <w:rPr>
          <w:rFonts w:ascii="Times New Roman" w:cs="Times New Roman" w:eastAsia="Times New Roman" w:hAnsi="Times New Roman"/>
          <w:b/>
          <w:bCs/>
          <w:color w:val="1F2937"/>
          <w:sz w:val="26"/>
          <w:szCs w:val="26"/>
        </w:rPr>
        <w:t xml:space="preserve">Le centre d'intelligence : la Tête (mental)</w:t>
      </w:r>
    </w:p>
    <w:p>
      <w:pPr>
        <w:spacing w:after="60" w:before="60"/>
      </w:pPr>
      <w:r>
        <w:rPr>
          <w:rFonts w:ascii="Times New Roman" w:cs="Times New Roman" w:eastAsia="Times New Roman" w:hAnsi="Times New Roman"/>
          <w:b w:val="false"/>
          <w:bCs w:val="false"/>
          <w:i w:val="false"/>
          <w:iCs w:val="false"/>
          <w:color w:val="1F2937"/>
          <w:sz w:val="22"/>
          <w:szCs w:val="22"/>
        </w:rPr>
        <w:t xml:space="preserve">Le Type 6 appartient au centre mental (avec les Types 5 et 7), ce qui signifie que la pensée est à la fois son outil principal et la source de ses difficultés. La passion du doute se manifeste par une vigilance quasi-permanente : le 6 anticipe les problèmes, analyse les intentions des autres, questionne les autorités, teste la fiabilité de ses alliances.</w:t>
      </w:r>
    </w:p>
    <w:p>
      <w:pPr>
        <w:spacing w:after="60" w:before="60"/>
      </w:pPr>
      <w:r>
        <w:rPr>
          <w:rFonts w:ascii="Times New Roman" w:cs="Times New Roman" w:eastAsia="Times New Roman" w:hAnsi="Times New Roman"/>
          <w:b w:val="false"/>
          <w:bCs w:val="false"/>
          <w:i w:val="false"/>
          <w:iCs w:val="false"/>
          <w:color w:val="1F2937"/>
          <w:sz w:val="22"/>
          <w:szCs w:val="22"/>
        </w:rPr>
        <w:t xml:space="preserve">Cette hypervigilance mentale a une origine protectrice : si je pense à tout ce qui peut mal tourner, je serai préparé. Mais elle crée paradoxalement une insécurité chronique, car le travail de l'inquiétude ne finit jamais.</w:t>
      </w:r>
    </w:p>
    <w:p>
      <w:pPr>
        <w:pStyle w:val="Heading3"/>
        <w:spacing w:after="80" w:before="200"/>
      </w:pPr>
      <w:r>
        <w:rPr>
          <w:rFonts w:ascii="Times New Roman" w:cs="Times New Roman" w:eastAsia="Times New Roman" w:hAnsi="Times New Roman"/>
          <w:b/>
          <w:bCs/>
          <w:color w:val="1F2937"/>
          <w:sz w:val="26"/>
          <w:szCs w:val="26"/>
        </w:rPr>
        <w:t xml:space="preserve">Phobique vs. contre-phobique : deux visages du même type</w:t>
      </w:r>
    </w:p>
    <w:p>
      <w:pPr>
        <w:spacing w:after="60" w:before="60"/>
      </w:pPr>
      <w:r>
        <w:rPr>
          <w:rFonts w:ascii="Times New Roman" w:cs="Times New Roman" w:eastAsia="Times New Roman" w:hAnsi="Times New Roman"/>
          <w:b w:val="false"/>
          <w:bCs w:val="false"/>
          <w:i w:val="false"/>
          <w:iCs w:val="false"/>
          <w:color w:val="1F2937"/>
          <w:sz w:val="22"/>
          <w:szCs w:val="22"/>
        </w:rPr>
        <w:t xml:space="preserve">Le Type 6 se manifeste selon deux polarités, souvent confondues et même présentes chez la même personne selon les contextes :</w:t>
      </w:r>
    </w:p>
    <w:p>
      <w:r>
        <w:t xml:space="preserve"/>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Pattern phobique : le 6 évite, hésite, cherche des garanties, suit les règles et les autorités pour se sentir protégé. Il peut sembler anxieux, prudent, voire dépendant.</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Pattern contre-phobique : le 6 fonce vers ce qu'il craint, adopte une posture d'indépendance ou de provocation pour prouver (à lui-même) qu'il n'a pas peur. Il peut être confondu avec un Type 8.</w:t>
      </w:r>
    </w:p>
    <w:p>
      <w: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La clé de lecture : les deux patterns sont des réponses à la même peur fondamentale. Le contre-phobique ne surmonte pas la peur — il la combat frontalement, ce qui en révèle l'emprise.</w:t>
      </w:r>
    </w:p>
    <w:p>
      <w:pPr>
        <w:pStyle w:val="Heading3"/>
        <w:spacing w:after="80" w:before="200"/>
      </w:pPr>
      <w:r>
        <w:rPr>
          <w:rFonts w:ascii="Times New Roman" w:cs="Times New Roman" w:eastAsia="Times New Roman" w:hAnsi="Times New Roman"/>
          <w:b/>
          <w:bCs/>
          <w:color w:val="1F2937"/>
          <w:sz w:val="26"/>
          <w:szCs w:val="26"/>
        </w:rPr>
        <w:t xml:space="preserve">Les trois sous-types instinctuels</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Conservation (SP) : chaleur, construction d'alliances proches, besoin de se sentir en « clan » protecteur.</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Tête-à-tête / Sexuel (SX) : souvent contre-phobique, audacieux, parfois intimidant — le plus déroutant à identifier comme 6.</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Social (SO) : orienté devoir, respect des règles et des structures, idéaliste et loyal envers les valeurs du groupe.</w:t>
      </w:r>
    </w:p>
    <w:p>
      <w:r>
        <w:t xml:space="preserve"/>
      </w:r>
    </w:p>
    <w:p>
      <w:pPr>
        <w:spacing w:after="60" w:before="60"/>
      </w:pPr>
      <w:r>
        <w:rPr>
          <w:rFonts w:ascii="Times New Roman" w:cs="Times New Roman" w:eastAsia="Times New Roman" w:hAnsi="Times New Roman"/>
          <w:b w:val="false"/>
          <w:bCs w:val="false"/>
          <w:i/>
          <w:iCs/>
          <w:color w:val="1F2937"/>
          <w:sz w:val="22"/>
          <w:szCs w:val="22"/>
        </w:rPr>
        <w:t xml:space="preserve">Selon le modèle d'Integrative Enneagram Solutions (integrative9.com), la majorité des 6 oscille entre les deux patterns (phobique/contre-phobique) selon les circonstances.</w:t>
      </w:r>
    </w:p>
    <w:p>
      <w:pPr>
        <w:pStyle w:val="Heading3"/>
        <w:spacing w:after="80" w:before="200"/>
      </w:pPr>
      <w:r>
        <w:rPr>
          <w:rFonts w:ascii="Times New Roman" w:cs="Times New Roman" w:eastAsia="Times New Roman" w:hAnsi="Times New Roman"/>
          <w:b/>
          <w:bCs/>
          <w:color w:val="1F2937"/>
          <w:sz w:val="26"/>
          <w:szCs w:val="26"/>
        </w:rPr>
        <w:t xml:space="preserve">Le chemin de croissance : du doute au courage</w:t>
      </w:r>
    </w:p>
    <w:p>
      <w:pPr>
        <w:spacing w:after="60" w:before="60"/>
      </w:pPr>
      <w:r>
        <w:rPr>
          <w:rFonts w:ascii="Times New Roman" w:cs="Times New Roman" w:eastAsia="Times New Roman" w:hAnsi="Times New Roman"/>
          <w:b w:val="false"/>
          <w:bCs w:val="false"/>
          <w:i w:val="false"/>
          <w:iCs w:val="false"/>
          <w:color w:val="1F2937"/>
          <w:sz w:val="22"/>
          <w:szCs w:val="22"/>
        </w:rPr>
        <w:t xml:space="preserve">L'idée sacrée du Type 6 est la foi — non pas au sens religieux, mais comme une confiance fondamentale en sa propre capacité à faire face au réel. La vertu du courage n'est pas l'absence de peur : c'est la capacité à agir avec résolution malgré elle. Selon David Daniels (drdaviddaniels.com, Narrative Enneagram), le 6 doit « reconnaître qu'il est déjà un bon vivant, qu'il n'a pas besoin de se prouver continuellement qu'il est capable de faire face ».</w:t>
      </w:r>
    </w:p>
    <w:p>
      <w:pPr>
        <w:spacing w:after="120" w:before="120"/>
      </w:pPr>
      <w:r>
        <w:rPr>
          <w:rFonts w:ascii="Times New Roman" w:cs="Times New Roman" w:eastAsia="Times New Roman" w:hAnsi="Times New Roman"/>
          <w:color w:val="CCCCCC"/>
          <w:sz w:val="18"/>
          <w:szCs w:val="18"/>
        </w:rPr>
        <w:t xml:space="preserve">─────────────────────────────────────────────────────────</w:t>
      </w:r>
    </w:p>
    <w:p>
      <w:pPr>
        <w:pStyle w:val="Heading2"/>
        <w:spacing w:after="120" w:before="280"/>
      </w:pPr>
      <w:r>
        <w:rPr>
          <w:rFonts w:ascii="Times New Roman" w:cs="Times New Roman" w:eastAsia="Times New Roman" w:hAnsi="Times New Roman"/>
          <w:b/>
          <w:bCs/>
          <w:color w:val="1B3A6B"/>
          <w:sz w:val="30"/>
          <w:szCs w:val="30"/>
        </w:rPr>
        <w:t xml:space="preserve">🛠️ Pratique (80 %) — Exercices d'apprentissage actif</w:t>
      </w:r>
    </w:p>
    <w:p>
      <w:pPr>
        <w:pStyle w:val="Heading3"/>
        <w:spacing w:after="80" w:before="200"/>
      </w:pPr>
      <w:r>
        <w:rPr>
          <w:rFonts w:ascii="Times New Roman" w:cs="Times New Roman" w:eastAsia="Times New Roman" w:hAnsi="Times New Roman"/>
          <w:b/>
          <w:bCs/>
          <w:color w:val="1F2937"/>
          <w:sz w:val="26"/>
          <w:szCs w:val="26"/>
        </w:rPr>
        <w:t xml:space="preserve">Exercice 1 — Cartographie des stratégies de sécurité (compréhension active)</w:t>
      </w:r>
    </w:p>
    <w:p>
      <w:pPr>
        <w:spacing w:after="60" w:before="60"/>
      </w:pPr>
      <w:r>
        <w:rPr>
          <w:rFonts w:ascii="Times New Roman" w:cs="Times New Roman" w:eastAsia="Times New Roman" w:hAnsi="Times New Roman"/>
          <w:b w:val="false"/>
          <w:bCs w:val="false"/>
          <w:i w:val="false"/>
          <w:iCs w:val="false"/>
          <w:color w:val="1F2937"/>
          <w:sz w:val="22"/>
          <w:szCs w:val="22"/>
        </w:rPr>
        <w:t xml:space="preserve">Durée : 20 minutes. Matériel : feuille ou carnet.</w:t>
      </w:r>
    </w:p>
    <w:p>
      <w:pPr>
        <w:spacing w:after="60" w:before="60"/>
      </w:pPr>
      <w:r>
        <w:rPr>
          <w:rFonts w:ascii="Times New Roman" w:cs="Times New Roman" w:eastAsia="Times New Roman" w:hAnsi="Times New Roman"/>
          <w:b w:val="false"/>
          <w:bCs w:val="false"/>
          <w:i w:val="false"/>
          <w:iCs w:val="false"/>
          <w:color w:val="1F2937"/>
          <w:sz w:val="22"/>
          <w:szCs w:val="22"/>
        </w:rPr>
        <w:t xml:space="preserve">But : mettre en évidence les stratégies (conscientes ou non) que tu emploies pour te sentir en sécurité — et observer laquelle relève de la confiance intérieure, laquelle relève de l'appui extérieur.</w:t>
      </w:r>
    </w:p>
    <w:p>
      <w:r>
        <w:t xml:space="preserve"/>
      </w:r>
    </w:p>
    <w:p>
      <w:pPr>
        <w:spacing w:after="60" w:before="60"/>
      </w:pPr>
      <w:r>
        <w:rPr>
          <w:rFonts w:ascii="Times New Roman" w:cs="Times New Roman" w:eastAsia="Times New Roman" w:hAnsi="Times New Roman"/>
          <w:b/>
          <w:bCs/>
          <w:i w:val="false"/>
          <w:iCs w:val="false"/>
          <w:color w:val="1F2937"/>
          <w:sz w:val="22"/>
          <w:szCs w:val="22"/>
        </w:rPr>
        <w:t xml:space="preserve">Protocole :</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Trace deux colonnes : « Sécurité externe » / « Sécurité interne ».</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Dans la colonne « externe », liste les ressources sur lesquelles tu t'appuies quand tu te sens anxieux : personnes, règles, procédures, listes, vérifications, consensus…</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Dans la colonne « interne », liste les moments où tu as agi depuis ta propre conviction, sans chercher de validation extérieure préalable.</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Pour chaque item de la colonne « externe », pose-toi la question : « Qu'est-ce que je crois qu'il arriverait si ce soutien disparaissait ? »</w:t>
      </w:r>
    </w:p>
    <w:p>
      <w:r>
        <w:t xml:space="preserve"/>
      </w:r>
    </w:p>
    <w:p>
      <w:pPr>
        <w:spacing w:after="60" w:before="60"/>
      </w:pPr>
      <w:r>
        <w:rPr>
          <w:rFonts w:ascii="Times New Roman" w:cs="Times New Roman" w:eastAsia="Times New Roman" w:hAnsi="Times New Roman"/>
          <w:b/>
          <w:bCs/>
          <w:i w:val="false"/>
          <w:iCs w:val="false"/>
          <w:color w:val="1F2937"/>
          <w:sz w:val="22"/>
          <w:szCs w:val="22"/>
        </w:rPr>
        <w:t xml:space="preserve">Corrigé / points de vigilance :</w:t>
      </w:r>
    </w:p>
    <w:p>
      <w:pPr>
        <w:spacing w:after="60" w:before="60"/>
      </w:pPr>
      <w:r>
        <w:rPr>
          <w:rFonts w:ascii="Times New Roman" w:cs="Times New Roman" w:eastAsia="Times New Roman" w:hAnsi="Times New Roman"/>
          <w:b w:val="false"/>
          <w:bCs w:val="false"/>
          <w:i w:val="false"/>
          <w:iCs w:val="false"/>
          <w:color w:val="1F2937"/>
          <w:sz w:val="22"/>
          <w:szCs w:val="22"/>
        </w:rPr>
        <w:t xml:space="preserve">Si la colonne « externe » est nettement plus riche que l'interne, cela reflète la dynamique centrale du Type 6 : la recherche de sécurité à l'extérieur de soi. Ce n'est pas un défaut — c'est un mécanisme protecteur. L'intérêt de l'exercice est de rendre visible ce qui fonctionne en arrière-plan pour pouvoir, progressivement, élargir la colonne interne. Note : si ta colonne externe est quasi-vide et que tu te sens toujours prêt à tout affronter seul, explore si tu ne serais pas dans un pattern contre-phobique.</w:t>
      </w:r>
    </w:p>
    <w:p>
      <w:pPr>
        <w:pStyle w:val="Heading3"/>
        <w:spacing w:after="80" w:before="200"/>
      </w:pPr>
      <w:r>
        <w:rPr>
          <w:rFonts w:ascii="Times New Roman" w:cs="Times New Roman" w:eastAsia="Times New Roman" w:hAnsi="Times New Roman"/>
          <w:b/>
          <w:bCs/>
          <w:color w:val="1F2937"/>
          <w:sz w:val="26"/>
          <w:szCs w:val="26"/>
        </w:rPr>
        <w:t xml:space="preserve">Exercice 2 — Le journal du doute (ancrage et auto-observation)</w:t>
      </w:r>
    </w:p>
    <w:p>
      <w:pPr>
        <w:spacing w:after="60" w:before="60"/>
      </w:pPr>
      <w:r>
        <w:rPr>
          <w:rFonts w:ascii="Times New Roman" w:cs="Times New Roman" w:eastAsia="Times New Roman" w:hAnsi="Times New Roman"/>
          <w:b w:val="false"/>
          <w:bCs w:val="false"/>
          <w:i w:val="false"/>
          <w:iCs w:val="false"/>
          <w:color w:val="1F2937"/>
          <w:sz w:val="22"/>
          <w:szCs w:val="22"/>
        </w:rPr>
        <w:t xml:space="preserve">Durée : 5-10 minutes par jour, pendant une semaine. Matériel : carnet dédié.</w:t>
      </w:r>
    </w:p>
    <w:p>
      <w:pPr>
        <w:spacing w:after="60" w:before="60"/>
      </w:pPr>
      <w:r>
        <w:rPr>
          <w:rFonts w:ascii="Times New Roman" w:cs="Times New Roman" w:eastAsia="Times New Roman" w:hAnsi="Times New Roman"/>
          <w:b w:val="false"/>
          <w:bCs w:val="false"/>
          <w:i w:val="false"/>
          <w:iCs w:val="false"/>
          <w:color w:val="1F2937"/>
          <w:sz w:val="22"/>
          <w:szCs w:val="22"/>
        </w:rPr>
        <w:t xml:space="preserve">But : observer en temps réel comment le doute opère, ses déclencheurs, ses effets sur les décisions.</w:t>
      </w:r>
    </w:p>
    <w:p>
      <w:r>
        <w:t xml:space="preserve"/>
      </w:r>
    </w:p>
    <w:p>
      <w:pPr>
        <w:spacing w:after="60" w:before="60"/>
      </w:pPr>
      <w:r>
        <w:rPr>
          <w:rFonts w:ascii="Times New Roman" w:cs="Times New Roman" w:eastAsia="Times New Roman" w:hAnsi="Times New Roman"/>
          <w:b/>
          <w:bCs/>
          <w:i w:val="false"/>
          <w:iCs w:val="false"/>
          <w:color w:val="1F2937"/>
          <w:sz w:val="22"/>
          <w:szCs w:val="22"/>
        </w:rPr>
        <w:t xml:space="preserve">Protocole :</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Chaque soir, note 1 à 3 moments de la journée où tu as ressenti de l'hésitation, de l'inquiétude ou du doute.</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Pour chaque moment, réponds à trois questions : (a) Quelle était la peur sous-jacente ? (b) Quelle stratégie as-tu utilisée pour y répondre ? (c) Cette stratégie a-t-elle réduit l'anxiété ou l'a-t-elle déplacée ?</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En fin de semaine, repère les schémas récurrents : quels types de situations déclenchent le doute ? Quelle est ta stratégie préférentielle (évitement / confrontation / recherche de validation) ?</w:t>
      </w:r>
    </w:p>
    <w:p>
      <w:r>
        <w:t xml:space="preserve"/>
      </w:r>
    </w:p>
    <w:p>
      <w:pPr>
        <w:spacing w:after="60" w:before="60"/>
      </w:pPr>
      <w:r>
        <w:rPr>
          <w:rFonts w:ascii="Times New Roman" w:cs="Times New Roman" w:eastAsia="Times New Roman" w:hAnsi="Times New Roman"/>
          <w:b/>
          <w:bCs/>
          <w:i w:val="false"/>
          <w:iCs w:val="false"/>
          <w:color w:val="1F2937"/>
          <w:sz w:val="22"/>
          <w:szCs w:val="22"/>
        </w:rPr>
        <w:t xml:space="preserve">Corrigé / points de vigilance :</w:t>
      </w:r>
    </w:p>
    <w:p>
      <w:pPr>
        <w:spacing w:after="60" w:before="60"/>
      </w:pPr>
      <w:r>
        <w:rPr>
          <w:rFonts w:ascii="Times New Roman" w:cs="Times New Roman" w:eastAsia="Times New Roman" w:hAnsi="Times New Roman"/>
          <w:b w:val="false"/>
          <w:bCs w:val="false"/>
          <w:i w:val="false"/>
          <w:iCs w:val="false"/>
          <w:color w:val="1F2937"/>
          <w:sz w:val="22"/>
          <w:szCs w:val="22"/>
        </w:rPr>
        <w:t xml:space="preserve">La valeur de cet exercice est dans l'observation sans jugement. Le doute n'est pas une faiblesse : c'est un signal d'alarme qui s'est peut-être réglé trop sensible. En le rendant visible et nommé, tu crées une distance entre toi et la pensée anxieuse — ce que les approches de type pleine conscience appellent « décentration cognitive ». Si tu remarques que le journal lui-même devient un outil d'inquiétude supplémentaire (« est-ce que je le fais assez bien ? »), c'est une observation précieuse en elle-même.</w:t>
      </w:r>
    </w:p>
    <w:p>
      <w:pPr>
        <w:pStyle w:val="Heading3"/>
        <w:spacing w:after="80" w:before="200"/>
      </w:pPr>
      <w:r>
        <w:rPr>
          <w:rFonts w:ascii="Times New Roman" w:cs="Times New Roman" w:eastAsia="Times New Roman" w:hAnsi="Times New Roman"/>
          <w:b/>
          <w:bCs/>
          <w:color w:val="1F2937"/>
          <w:sz w:val="26"/>
          <w:szCs w:val="26"/>
        </w:rPr>
        <w:t xml:space="preserve">Exercice 3 — Repérer phobique et contre-phobique dans les films/séries (repérage des mécanismes)</w:t>
      </w:r>
    </w:p>
    <w:p>
      <w:pPr>
        <w:spacing w:after="60" w:before="60"/>
      </w:pPr>
      <w:r>
        <w:rPr>
          <w:rFonts w:ascii="Times New Roman" w:cs="Times New Roman" w:eastAsia="Times New Roman" w:hAnsi="Times New Roman"/>
          <w:b w:val="false"/>
          <w:bCs w:val="false"/>
          <w:i w:val="false"/>
          <w:iCs w:val="false"/>
          <w:color w:val="1F2937"/>
          <w:sz w:val="22"/>
          <w:szCs w:val="22"/>
        </w:rPr>
        <w:t xml:space="preserve">Durée : 30 à 45 minutes. Matériel : une scène ou un personnage de fiction que tu connais bien.</w:t>
      </w:r>
    </w:p>
    <w:p>
      <w:pPr>
        <w:spacing w:after="60" w:before="60"/>
      </w:pPr>
      <w:r>
        <w:rPr>
          <w:rFonts w:ascii="Times New Roman" w:cs="Times New Roman" w:eastAsia="Times New Roman" w:hAnsi="Times New Roman"/>
          <w:b w:val="false"/>
          <w:bCs w:val="false"/>
          <w:i w:val="false"/>
          <w:iCs w:val="false"/>
          <w:color w:val="1F2937"/>
          <w:sz w:val="22"/>
          <w:szCs w:val="22"/>
        </w:rPr>
        <w:t xml:space="preserve">But : ancrer la distinction phobique / contre-phobique sur des exemples concrets et extérieurs à soi, ce qui facilite ensuite le repérage chez soi.</w:t>
      </w:r>
    </w:p>
    <w:p>
      <w:r>
        <w:t xml:space="preserve"/>
      </w:r>
    </w:p>
    <w:p>
      <w:pPr>
        <w:spacing w:after="60" w:before="60"/>
      </w:pPr>
      <w:r>
        <w:rPr>
          <w:rFonts w:ascii="Times New Roman" w:cs="Times New Roman" w:eastAsia="Times New Roman" w:hAnsi="Times New Roman"/>
          <w:b/>
          <w:bCs/>
          <w:i w:val="false"/>
          <w:iCs w:val="false"/>
          <w:color w:val="1F2937"/>
          <w:sz w:val="22"/>
          <w:szCs w:val="22"/>
        </w:rPr>
        <w:t xml:space="preserve">Protocole :</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Choisis 2 personnages fictifs (films, séries, romans) qui t'évoquent une forte loyauté, une anxiété de fond, ou une posture de défi et de méfiance.</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Pour chacun, cherche : (a) Quelle est leur peur centrale ? (b) Comment réagissent-ils face à la menace : repli ou confrontation ? (c) Comment gèrent-ils leur relation à l'autorité (obéissance, rébellion, ambivalence) ?</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Tente de les classer : phobique, contre-phobique, ou oscillant entre les deux.</w:t>
      </w:r>
    </w:p>
    <w:p>
      <w:pPr>
        <w:pStyle w:val="ListParagraph"/>
        <w:numPr>
          <w:ilvl w:val="0"/>
          <w:numId w:val="1"/>
        </w:numPr>
        <w:spacing w:after="40" w:before="40"/>
      </w:pPr>
      <w:r>
        <w:rPr>
          <w:rFonts w:ascii="Times New Roman" w:cs="Times New Roman" w:eastAsia="Times New Roman" w:hAnsi="Times New Roman"/>
          <w:b w:val="false"/>
          <w:bCs w:val="false"/>
          <w:color w:val="1F2937"/>
          <w:sz w:val="22"/>
          <w:szCs w:val="22"/>
        </w:rPr>
        <w:t xml:space="preserve">Demande-toi : avec lequel de ces personnages t'identifies-tu le plus ? Dans quelles situations ?</w:t>
      </w:r>
    </w:p>
    <w:p>
      <w:r>
        <w:t xml:space="preserve"/>
      </w:r>
    </w:p>
    <w:p>
      <w:pPr>
        <w:spacing w:after="60" w:before="60"/>
      </w:pPr>
      <w:r>
        <w:rPr>
          <w:rFonts w:ascii="Times New Roman" w:cs="Times New Roman" w:eastAsia="Times New Roman" w:hAnsi="Times New Roman"/>
          <w:b/>
          <w:bCs/>
          <w:i w:val="false"/>
          <w:iCs w:val="false"/>
          <w:color w:val="1F2937"/>
          <w:sz w:val="22"/>
          <w:szCs w:val="22"/>
        </w:rPr>
        <w:t xml:space="preserve">Corrigé / points de vigilance :</w:t>
      </w:r>
    </w:p>
    <w:p>
      <w:pPr>
        <w:spacing w:after="60" w:before="60"/>
      </w:pPr>
      <w:r>
        <w:rPr>
          <w:rFonts w:ascii="Times New Roman" w:cs="Times New Roman" w:eastAsia="Times New Roman" w:hAnsi="Times New Roman"/>
          <w:b w:val="false"/>
          <w:bCs w:val="false"/>
          <w:i w:val="false"/>
          <w:iCs w:val="false"/>
          <w:color w:val="1F2937"/>
          <w:sz w:val="22"/>
          <w:szCs w:val="22"/>
        </w:rPr>
        <w:t xml:space="preserve">Exemples courants évoqués dans la littérature sur l'Ennéagramme pour le Type 6 : personnages qui portent à la fois loyauté indéfectible et méfiance instinctive, qui questionnent les intentions de leurs alliés tout en leur restant fidèles, ou qui adoptent des postures de bravade masquant une anxiété profonde. (Remarque : attribuer un type Ennéagramme à un personnage de fiction reste un exercice interprétatif, non une vérité absolue — l'intérêt est dans le questionnement, pas dans l'étiquette.)</w:t>
      </w:r>
    </w:p>
    <w:p>
      <w:pPr>
        <w:spacing w:after="120" w:before="120"/>
      </w:pPr>
      <w:r>
        <w:rPr>
          <w:rFonts w:ascii="Times New Roman" w:cs="Times New Roman" w:eastAsia="Times New Roman" w:hAnsi="Times New Roman"/>
          <w:color w:val="CCCCCC"/>
          <w:sz w:val="18"/>
          <w:szCs w:val="18"/>
        </w:rPr>
        <w:t xml:space="preserve">─────────────────────────────────────────────────────────</w:t>
      </w:r>
    </w:p>
    <w:p>
      <w:pPr>
        <w:pStyle w:val="Heading2"/>
        <w:spacing w:after="120" w:before="280"/>
      </w:pPr>
      <w:r>
        <w:rPr>
          <w:rFonts w:ascii="Times New Roman" w:cs="Times New Roman" w:eastAsia="Times New Roman" w:hAnsi="Times New Roman"/>
          <w:b/>
          <w:bCs/>
          <w:color w:val="1B3A6B"/>
          <w:sz w:val="30"/>
          <w:szCs w:val="30"/>
        </w:rPr>
        <w:t xml:space="preserve">🎯 Challenge — La décision sans filet</w:t>
      </w:r>
    </w:p>
    <w:p>
      <w:pPr>
        <w:spacing w:after="60" w:before="60"/>
      </w:pPr>
      <w:r>
        <w:rPr>
          <w:rFonts w:ascii="Times New Roman" w:cs="Times New Roman" w:eastAsia="Times New Roman" w:hAnsi="Times New Roman"/>
          <w:b w:val="false"/>
          <w:bCs w:val="false"/>
          <w:i w:val="false"/>
          <w:iCs w:val="false"/>
          <w:color w:val="1F2937"/>
          <w:sz w:val="22"/>
          <w:szCs w:val="22"/>
        </w:rPr>
        <w:t xml:space="preserve">Durée : à répartir sur 3 jours. Niveau : mobilise toute la leçon.</w:t>
      </w:r>
    </w:p>
    <w:p>
      <w: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Identifie une décision modérément importante que tu as différée depuis plusieurs jours ou semaines, en attente d'une garantie, d'un consensus, ou d'une information supplémentaire.</w:t>
      </w:r>
    </w:p>
    <w:p>
      <w:r>
        <w:t xml:space="preserve"/>
      </w:r>
    </w:p>
    <w:p>
      <w:pPr>
        <w:spacing w:after="60" w:before="60"/>
      </w:pPr>
      <w:r>
        <w:rPr>
          <w:rFonts w:ascii="Times New Roman" w:cs="Times New Roman" w:eastAsia="Times New Roman" w:hAnsi="Times New Roman"/>
          <w:b/>
          <w:bCs/>
          <w:i w:val="false"/>
          <w:iCs w:val="false"/>
          <w:color w:val="1F2937"/>
          <w:sz w:val="22"/>
          <w:szCs w:val="22"/>
        </w:rPr>
        <w:t xml:space="preserve">Étape 1 (jour 1) :</w:t>
      </w:r>
    </w:p>
    <w:p>
      <w:pPr>
        <w:spacing w:after="60" w:before="60"/>
      </w:pPr>
      <w:r>
        <w:rPr>
          <w:rFonts w:ascii="Times New Roman" w:cs="Times New Roman" w:eastAsia="Times New Roman" w:hAnsi="Times New Roman"/>
          <w:b w:val="false"/>
          <w:bCs w:val="false"/>
          <w:i w:val="false"/>
          <w:iCs w:val="false"/>
          <w:color w:val="1F2937"/>
          <w:sz w:val="22"/>
          <w:szCs w:val="22"/>
        </w:rPr>
        <w:t xml:space="preserve">Écris en 10 minutes tout ce que tu sais déjà pour prendre cette décision. Puis écris ce que tu « attends encore » pour décider — et interroge honnêtement : est-ce une vraie information manquante, ou une garantie que personne ne peut te donner ?</w:t>
      </w:r>
    </w:p>
    <w:p>
      <w:r>
        <w:t xml:space="preserve"/>
      </w:r>
    </w:p>
    <w:p>
      <w:pPr>
        <w:spacing w:after="60" w:before="60"/>
      </w:pPr>
      <w:r>
        <w:rPr>
          <w:rFonts w:ascii="Times New Roman" w:cs="Times New Roman" w:eastAsia="Times New Roman" w:hAnsi="Times New Roman"/>
          <w:b/>
          <w:bCs/>
          <w:i w:val="false"/>
          <w:iCs w:val="false"/>
          <w:color w:val="1F2937"/>
          <w:sz w:val="22"/>
          <w:szCs w:val="22"/>
        </w:rPr>
        <w:t xml:space="preserve">Étape 2 (jour 2) :</w:t>
      </w:r>
    </w:p>
    <w:p>
      <w:pPr>
        <w:spacing w:after="60" w:before="60"/>
      </w:pPr>
      <w:r>
        <w:rPr>
          <w:rFonts w:ascii="Times New Roman" w:cs="Times New Roman" w:eastAsia="Times New Roman" w:hAnsi="Times New Roman"/>
          <w:b w:val="false"/>
          <w:bCs w:val="false"/>
          <w:i w:val="false"/>
          <w:iCs w:val="false"/>
          <w:color w:val="1F2937"/>
          <w:sz w:val="22"/>
          <w:szCs w:val="22"/>
        </w:rPr>
        <w:t xml:space="preserve">Formule ta décision en une phrase claire, sans condition (« Je vais faire X »), en acceptant l'incertitude résiduelle. Écris également : quelle est la pire chose réaliste qui pourrait se passer ? Et, si cela arrivait, en serais-tu capable de faire face ?</w:t>
      </w:r>
    </w:p>
    <w:p>
      <w:r>
        <w:t xml:space="preserve"/>
      </w:r>
    </w:p>
    <w:p>
      <w:pPr>
        <w:spacing w:after="60" w:before="60"/>
      </w:pPr>
      <w:r>
        <w:rPr>
          <w:rFonts w:ascii="Times New Roman" w:cs="Times New Roman" w:eastAsia="Times New Roman" w:hAnsi="Times New Roman"/>
          <w:b/>
          <w:bCs/>
          <w:i w:val="false"/>
          <w:iCs w:val="false"/>
          <w:color w:val="1F2937"/>
          <w:sz w:val="22"/>
          <w:szCs w:val="22"/>
        </w:rPr>
        <w:t xml:space="preserve">Étape 3 (jour 3) :</w:t>
      </w:r>
    </w:p>
    <w:p>
      <w:pPr>
        <w:spacing w:after="60" w:before="60"/>
      </w:pPr>
      <w:r>
        <w:rPr>
          <w:rFonts w:ascii="Times New Roman" w:cs="Times New Roman" w:eastAsia="Times New Roman" w:hAnsi="Times New Roman"/>
          <w:b w:val="false"/>
          <w:bCs w:val="false"/>
          <w:i w:val="false"/>
          <w:iCs w:val="false"/>
          <w:color w:val="1F2937"/>
          <w:sz w:val="22"/>
          <w:szCs w:val="22"/>
        </w:rPr>
        <w:t xml:space="preserve">Mets ta décision en acte. Observe ce qui se passe en toi : le doute disparaît-il ? Se déplace-t-il sur autre chose ? Qu'est-ce que l'action (et non l'attente) a produit comme expérience ?</w:t>
      </w:r>
    </w:p>
    <w:p>
      <w: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Ce challenge est un entraînement au courage — non pas l'absence d'anxiété, mais la capacité à agir depuis soi-même malgré le doute résiduel. C'est précisément la vertu du Type 6 selon les auteurs de référence (Riso-Hudson, Daniels).</w:t>
      </w:r>
    </w:p>
    <w:p>
      <w:pPr>
        <w:spacing w:after="120" w:before="120"/>
      </w:pPr>
      <w:r>
        <w:rPr>
          <w:rFonts w:ascii="Times New Roman" w:cs="Times New Roman" w:eastAsia="Times New Roman" w:hAnsi="Times New Roman"/>
          <w:color w:val="CCCCCC"/>
          <w:sz w:val="18"/>
          <w:szCs w:val="18"/>
        </w:rPr>
        <w:t xml:space="preserve">─────────────────────────────────────────────────────────</w:t>
      </w:r>
    </w:p>
    <w:p>
      <w:pPr>
        <w:pStyle w:val="Heading2"/>
        <w:spacing w:after="120" w:before="280"/>
      </w:pPr>
      <w:r>
        <w:rPr>
          <w:rFonts w:ascii="Times New Roman" w:cs="Times New Roman" w:eastAsia="Times New Roman" w:hAnsi="Times New Roman"/>
          <w:b/>
          <w:bCs/>
          <w:color w:val="1B3A6B"/>
          <w:sz w:val="30"/>
          <w:szCs w:val="30"/>
        </w:rPr>
        <w:t xml:space="preserve">🌉 Pont pro (court)</w:t>
      </w:r>
    </w:p>
    <w:p>
      <w:pPr>
        <w:spacing w:after="60" w:before="60"/>
      </w:pPr>
      <w:r>
        <w:rPr>
          <w:rFonts w:ascii="Times New Roman" w:cs="Times New Roman" w:eastAsia="Times New Roman" w:hAnsi="Times New Roman"/>
          <w:b w:val="false"/>
          <w:bCs w:val="false"/>
          <w:i w:val="false"/>
          <w:iCs w:val="false"/>
          <w:color w:val="1F2937"/>
          <w:sz w:val="22"/>
          <w:szCs w:val="22"/>
        </w:rPr>
        <w:t xml:space="preserve">En tant que chef de service en ESSMS, comprendre le Type 6 peut éclairer deux dynamiques fréquentes en équipe : (a) un professionnel phobique qui recherche systématiquement ta validation avant d'agir — non par manque de compétence, mais par besoin de sécurité relationnelle ; (b) un professionnel contre-phobique qui questionne les procédures, teste les décisions institutionnelles, peut sembler « difficile » mais est en réalité profondément loyal aux valeurs qu'il perçoit comme justes. Dans les deux cas, la réponse managériale clé n'est pas la rassurance permanente, mais la construction d'un cadre prévisible et cohérent, et la valorisation du courage quand il s'exprime.</w:t>
      </w:r>
    </w:p>
    <w:p>
      <w:pPr>
        <w:spacing w:after="120" w:before="120"/>
      </w:pPr>
      <w:r>
        <w:rPr>
          <w:rFonts w:ascii="Times New Roman" w:cs="Times New Roman" w:eastAsia="Times New Roman" w:hAnsi="Times New Roman"/>
          <w:color w:val="CCCCCC"/>
          <w:sz w:val="18"/>
          <w:szCs w:val="18"/>
        </w:rPr>
        <w:t xml:space="preserve">─────────────────────────────────────────────────────────</w:t>
      </w:r>
    </w:p>
    <w:p>
      <w:pPr>
        <w:pStyle w:val="Heading2"/>
        <w:spacing w:after="120" w:before="280"/>
      </w:pPr>
      <w:r>
        <w:rPr>
          <w:rFonts w:ascii="Times New Roman" w:cs="Times New Roman" w:eastAsia="Times New Roman" w:hAnsi="Times New Roman"/>
          <w:b/>
          <w:bCs/>
          <w:color w:val="1B3A6B"/>
          <w:sz w:val="30"/>
          <w:szCs w:val="30"/>
        </w:rPr>
        <w:t xml:space="preserve">📚 Ressources cliquables — Approfondir le Type 6</w:t>
      </w:r>
    </w:p>
    <w:p>
      <w:pPr>
        <w:pStyle w:val="ListParagraph"/>
        <w:numPr>
          <w:ilvl w:val="0"/>
          <w:numId w:val="1"/>
        </w:numPr>
        <w:spacing w:after="60" w:before="60"/>
      </w:pPr>
      <w:hyperlink w:history="1" r:id="rId2wa81zqch-rb7waixhbm3">
        <w:r>
          <w:rPr>
            <w:rFonts w:ascii="Times New Roman" w:cs="Times New Roman" w:eastAsia="Times New Roman" w:hAnsi="Times New Roman"/>
            <w:color w:val="1155CC"/>
            <w:sz w:val="22"/>
            <w:szCs w:val="22"/>
            <w:u w:val="single"/>
          </w:rPr>
          <w:t xml:space="preserve">Enneagram Institute — Type 6 : The Loyalist</w:t>
        </w:r>
      </w:hyperlink>
      <w:r>
        <w:rPr>
          <w:rFonts w:ascii="Times New Roman" w:cs="Times New Roman" w:eastAsia="Times New Roman" w:hAnsi="Times New Roman"/>
          <w:color w:val="1F2937"/>
          <w:sz w:val="22"/>
          <w:szCs w:val="22"/>
        </w:rPr>
        <w:t xml:space="preserve"> — description de référence Riso-Hudson, niveaux de développement, peur/désir/passion</w:t>
      </w:r>
    </w:p>
    <w:p>
      <w:pPr>
        <w:pStyle w:val="ListParagraph"/>
        <w:numPr>
          <w:ilvl w:val="0"/>
          <w:numId w:val="1"/>
        </w:numPr>
        <w:spacing w:after="60" w:before="60"/>
      </w:pPr>
      <w:hyperlink w:history="1" r:id="rIdtkocbqddhtfnbtosrepgi">
        <w:r>
          <w:rPr>
            <w:rFonts w:ascii="Times New Roman" w:cs="Times New Roman" w:eastAsia="Times New Roman" w:hAnsi="Times New Roman"/>
            <w:color w:val="1155CC"/>
            <w:sz w:val="22"/>
            <w:szCs w:val="22"/>
            <w:u w:val="single"/>
          </w:rPr>
          <w:t xml:space="preserve">Integrative Enneagram Solutions — Type 6</w:t>
        </w:r>
      </w:hyperlink>
      <w:r>
        <w:rPr>
          <w:rFonts w:ascii="Times New Roman" w:cs="Times New Roman" w:eastAsia="Times New Roman" w:hAnsi="Times New Roman"/>
          <w:color w:val="1F2937"/>
          <w:sz w:val="22"/>
          <w:szCs w:val="22"/>
        </w:rPr>
        <w:t xml:space="preserve"> — patterns phobique/contre-phobique, sous-types instinctuels, ailes et flèches</w:t>
      </w:r>
    </w:p>
    <w:p>
      <w:pPr>
        <w:pStyle w:val="ListParagraph"/>
        <w:numPr>
          <w:ilvl w:val="0"/>
          <w:numId w:val="1"/>
        </w:numPr>
        <w:spacing w:after="60" w:before="60"/>
      </w:pPr>
      <w:hyperlink w:history="1" r:id="rIdyx4j6c3it-gxolyjmiwka">
        <w:r>
          <w:rPr>
            <w:rFonts w:ascii="Times New Roman" w:cs="Times New Roman" w:eastAsia="Times New Roman" w:hAnsi="Times New Roman"/>
            <w:color w:val="1155CC"/>
            <w:sz w:val="22"/>
            <w:szCs w:val="22"/>
            <w:u w:val="single"/>
          </w:rPr>
          <w:t xml:space="preserve">Dr. David Daniels — The Loyal Skeptic (Narrative Enneagram)</w:t>
        </w:r>
      </w:hyperlink>
      <w:r>
        <w:rPr>
          <w:rFonts w:ascii="Times New Roman" w:cs="Times New Roman" w:eastAsia="Times New Roman" w:hAnsi="Times New Roman"/>
          <w:color w:val="1F2937"/>
          <w:sz w:val="22"/>
          <w:szCs w:val="22"/>
        </w:rPr>
        <w:t xml:space="preserve"> — approche narrative, chemin de développement, foi et courage</w:t>
      </w:r>
    </w:p>
    <w:p>
      <w:pPr>
        <w:pStyle w:val="ListParagraph"/>
        <w:numPr>
          <w:ilvl w:val="0"/>
          <w:numId w:val="1"/>
        </w:numPr>
        <w:spacing w:after="60" w:before="60"/>
      </w:pPr>
      <w:hyperlink w:history="1" r:id="rIdgidusqoue6tpbr2lu8-9p">
        <w:r>
          <w:rPr>
            <w:rFonts w:ascii="Times New Roman" w:cs="Times New Roman" w:eastAsia="Times New Roman" w:hAnsi="Times New Roman"/>
            <w:color w:val="1155CC"/>
            <w:sz w:val="22"/>
            <w:szCs w:val="22"/>
            <w:u w:val="single"/>
          </w:rPr>
          <w:t xml:space="preserve">Wikipedia — Enneagram of Personality (Type 6)</w:t>
        </w:r>
      </w:hyperlink>
      <w:r>
        <w:rPr>
          <w:rFonts w:ascii="Times New Roman" w:cs="Times New Roman" w:eastAsia="Times New Roman" w:hAnsi="Times New Roman"/>
          <w:color w:val="1F2937"/>
          <w:sz w:val="22"/>
          <w:szCs w:val="22"/>
        </w:rPr>
        <w:t xml:space="preserve"> — structure générale, auteurs de référence (Ichazo, Riso-Hudson), fixation/idée sacrée</w:t>
      </w:r>
    </w:p>
    <w:p>
      <w:pPr>
        <w:pStyle w:val="ListParagraph"/>
        <w:numPr>
          <w:ilvl w:val="0"/>
          <w:numId w:val="1"/>
        </w:numPr>
        <w:spacing w:after="60" w:before="60"/>
      </w:pPr>
      <w:hyperlink w:history="1" r:id="rIdkkmn-8dro9dimqevdsbqd">
        <w:r>
          <w:rPr>
            <w:rFonts w:ascii="Times New Roman" w:cs="Times New Roman" w:eastAsia="Times New Roman" w:hAnsi="Times New Roman"/>
            <w:color w:val="1155CC"/>
            <w:sz w:val="22"/>
            <w:szCs w:val="22"/>
            <w:u w:val="single"/>
          </w:rPr>
          <w:t xml:space="preserve">Truity — Enneagram Type 6 : The Skeptic</w:t>
        </w:r>
      </w:hyperlink>
      <w:r>
        <w:rPr>
          <w:rFonts w:ascii="Times New Roman" w:cs="Times New Roman" w:eastAsia="Times New Roman" w:hAnsi="Times New Roman"/>
          <w:color w:val="1F2937"/>
          <w:sz w:val="22"/>
          <w:szCs w:val="22"/>
        </w:rPr>
        <w:t xml:space="preserve"> — synthèse accessible, comportements au travail et en relation, deux sous-types</w:t>
      </w:r>
    </w:p>
    <w:p>
      <w:pPr>
        <w:spacing w:after="120" w:before="120"/>
      </w:pPr>
      <w:r>
        <w:rPr>
          <w:rFonts w:ascii="Times New Roman" w:cs="Times New Roman" w:eastAsia="Times New Roman" w:hAnsi="Times New Roman"/>
          <w:color w:val="CCCCCC"/>
          <w:sz w:val="18"/>
          <w:szCs w:val="18"/>
        </w:rPr>
        <w:t xml:space="preserve">─────────────────────────────────────────────────────────</w:t>
      </w:r>
    </w:p>
    <w:p>
      <w:pPr>
        <w:pStyle w:val="Heading2"/>
        <w:spacing w:after="120" w:before="280"/>
      </w:pPr>
      <w:r>
        <w:rPr>
          <w:rFonts w:ascii="Times New Roman" w:cs="Times New Roman" w:eastAsia="Times New Roman" w:hAnsi="Times New Roman"/>
          <w:b/>
          <w:bCs/>
          <w:color w:val="1B3A6B"/>
          <w:sz w:val="30"/>
          <w:szCs w:val="30"/>
        </w:rPr>
        <w:t xml:space="preserve">🔜 Prochaine leçon</w:t>
      </w:r>
    </w:p>
    <w:p>
      <w:pPr>
        <w:spacing w:after="60" w:before="60"/>
      </w:pPr>
      <w:r>
        <w:rPr>
          <w:rFonts w:ascii="Times New Roman" w:cs="Times New Roman" w:eastAsia="Times New Roman" w:hAnsi="Times New Roman"/>
          <w:b w:val="false"/>
          <w:bCs w:val="false"/>
          <w:i w:val="false"/>
          <w:iCs w:val="false"/>
          <w:color w:val="1F2937"/>
          <w:sz w:val="22"/>
          <w:szCs w:val="22"/>
        </w:rPr>
        <w:t xml:space="preserve">Leçon n°09 — Type 7 : L'Épicurien / L'Enthousiaste</w:t>
      </w:r>
    </w:p>
    <w:p>
      <w:pPr>
        <w:spacing w:after="60" w:before="60"/>
      </w:pPr>
      <w:r>
        <w:rPr>
          <w:rFonts w:ascii="Times New Roman" w:cs="Times New Roman" w:eastAsia="Times New Roman" w:hAnsi="Times New Roman"/>
          <w:b w:val="false"/>
          <w:bCs w:val="false"/>
          <w:i/>
          <w:iCs/>
          <w:color w:val="1F2937"/>
          <w:sz w:val="22"/>
          <w:szCs w:val="22"/>
        </w:rPr>
        <w:t xml:space="preserve">Désir fondamental : avoir ses besoins satisfaits · Peur fondamentale : être piégé dans la douleur ou la privation · Passion : la gourmandise (gluttony). Le Type 7, comme le 6, appartient au centre mental — mais sa réponse à l'anxiété est radicalement opposée : fuir vers les possibles, multiplier les projets, maintenir une tonalité émotionnelle haute. Après le doute du 6, nous explorerons l'optimisme structurel du 7 et ses limites.</w:t>
      </w:r>
    </w:p>
    <w:p>
      <w:r>
        <w:t xml:space="preserve"/>
      </w:r>
    </w:p>
    <w:p>
      <w:pPr>
        <w:spacing w:before="240"/>
        <w:jc w:val="center"/>
      </w:pPr>
      <w:r>
        <w:rPr>
          <w:rFonts w:ascii="Times New Roman" w:cs="Times New Roman" w:eastAsia="Times New Roman" w:hAnsi="Times New Roman"/>
          <w:i/>
          <w:iCs/>
          <w:color w:val="9CA3AF"/>
          <w:sz w:val="18"/>
          <w:szCs w:val="18"/>
        </w:rPr>
        <w:t xml:space="preserve">Leçon Ennéagramme n°08 — Parcours personnel · 2026-07-22 · Claude_Travail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wa81zqch-rb7waixhbm3" Type="http://schemas.openxmlformats.org/officeDocument/2006/relationships/hyperlink" Target="https://www.enneagraminstitute.com/type-6" TargetMode="External"/><Relationship Id="rIdtkocbqddhtfnbtosrepgi" Type="http://schemas.openxmlformats.org/officeDocument/2006/relationships/hyperlink" Target="https://www.integrative9.com/enneagram/introduction/type-6" TargetMode="External"/><Relationship Id="rIdyx4j6c3it-gxolyjmiwka" Type="http://schemas.openxmlformats.org/officeDocument/2006/relationships/hyperlink" Target="https://drdaviddaniels.com/type-6/" TargetMode="External"/><Relationship Id="rIdgidusqoue6tpbr2lu8-9p" Type="http://schemas.openxmlformats.org/officeDocument/2006/relationships/hyperlink" Target="https://en.wikipedia.org/wiki/Enneagram_of_Personality" TargetMode="External"/><Relationship Id="rIdkkmn-8dro9dimqevdsbqd" Type="http://schemas.openxmlformats.org/officeDocument/2006/relationships/hyperlink" Target="https://www.truity.com/enneagram/personality-type-6-loyalist"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2026-07-22T07:07:04.457Z</dcterms:created>
  <dcterms:modified xsi:type="dcterms:W3CDTF">2026-07-22T07:07:04.458Z</dcterms:modified>
</cp:coreProperties>
</file>

<file path=docProps/custom.xml><?xml version="1.0" encoding="utf-8"?>
<Properties xmlns="http://schemas.openxmlformats.org/officeDocument/2006/custom-properties" xmlns:vt="http://schemas.openxmlformats.org/officeDocument/2006/docPropsVTypes"/>
</file>