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Ennéagramme n°17 — L'ennéagramme dans la relation : couple, famille, conflits</w:t>
      </w:r>
    </w:p>
    <w:p>
      <w:pPr>
        <w:spacing w:after="80" w:before="80"/>
      </w:pPr>
      <w:r>
        <w:rPr>
          <w:rFonts w:ascii="Times New Roman" w:cs="Times New Roman" w:eastAsia="Times New Roman" w:hAnsi="Times New Roman"/>
          <w:b/>
          <w:bCs/>
          <w:i w:val="false"/>
          <w:iCs w:val="false"/>
          <w:color w:val="1B3A6B"/>
          <w:sz w:val="22"/>
          <w:szCs w:val="22"/>
        </w:rPr>
        <w:t xml:space="preserve">Date : 23 septembre 2026   |   Leçon 17 / 20</w:t>
      </w:r>
    </w:p>
    <w:p>
      <w:pPr>
        <w:pBdr>
          <w:bottom w:val="single" w:color="1B3A6B" w:sz="6"/>
        </w:pBdr>
        <w:spacing w:after="100" w:before="100"/>
      </w:pPr>
    </w:p>
    <w:p>
      <w:pPr>
        <w:pStyle w:val="Heading2"/>
        <w:spacing w:after="100" w:before="30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b w:val="false"/>
          <w:bCs w:val="false"/>
          <w:i w:val="false"/>
          <w:iCs w:val="false"/>
          <w:color w:val="1F2937"/>
          <w:sz w:val="22"/>
          <w:szCs w:val="22"/>
        </w:rPr>
        <w:t xml:space="preserve">À la fin de cette leçon, tu seras capable 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décrire les mécanismes par lesquels les types ennéagramme génèrent des dynamiques relationnelles prévisibles (synergies, tensions, cercles de conflit)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identifier ton propre réflexe défensif en relation et la peur sous-jacente qui l'alimente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appliquer un protocole de réparation structuré à une relation concrète.</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iCs/>
          <w:color w:val="1F2937"/>
          <w:sz w:val="22"/>
          <w:szCs w:val="22"/>
        </w:rPr>
        <w:t xml:space="preserve">Continuité avec la leçon précédente : la leçon 16 a exploré les triades hornéviennes (types conformistes, retraités, assertifs) et harmoniques (types positifs, compétents, réactifs). Ces triades décrivent précisément comment chaque type gère l'adversité et les émotions difficiles — ce qui constitue le socle de cette leçon sur les dynamiques relationnelles.</w:t>
      </w:r>
    </w:p>
    <w:p>
      <w:pPr>
        <w:pBdr>
          <w:bottom w:val="single" w:color="1B3A6B" w:sz="6"/>
        </w:pBdr>
        <w:spacing w:after="100" w:before="100"/>
      </w:pPr>
    </w:p>
    <w:p>
      <w:pPr>
        <w:pStyle w:val="Heading2"/>
        <w:spacing w:after="10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Un principe fondateur : aucune combinaison n'est condamnée</w:t>
      </w:r>
    </w:p>
    <w:p>
      <w:pPr>
        <w:spacing w:after="80" w:before="80"/>
      </w:pPr>
      <w:r>
        <w:rPr>
          <w:rFonts w:ascii="Times New Roman" w:cs="Times New Roman" w:eastAsia="Times New Roman" w:hAnsi="Times New Roman"/>
          <w:b w:val="false"/>
          <w:bCs w:val="false"/>
          <w:i w:val="false"/>
          <w:iCs w:val="false"/>
          <w:color w:val="1F2937"/>
          <w:sz w:val="22"/>
          <w:szCs w:val="22"/>
        </w:rPr>
        <w:t xml:space="preserve">L'Enneagram Institute formule ainsi la position de référence sur la compatibilité entre types : selon la page consacrée aux combinaisons de types, aucune paire n'est particulièrement favorisée, et aucune n'est particulièrement vouée à l'échec. Ce qui détermine la qualité d'une relation, ce sont trois facteurs interdépendants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niveau de santé psychologique de chaque personne (cf. leçon 14 sur les niveaux de développement Riso-Hudson)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type ennéagramme de chacun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schémas instinctuels en jeu (conservation, social, sexuel — cf. leçon 15 sur les 27 sous-types).</w:t>
      </w:r>
    </w:p>
    <w:p>
      <w:pPr>
        <w:spacing w:after="80" w:before="80"/>
      </w:pPr>
      <w:r>
        <w:rPr>
          <w:rFonts w:ascii="Times New Roman" w:cs="Times New Roman" w:eastAsia="Times New Roman" w:hAnsi="Times New Roman"/>
          <w:b w:val="false"/>
          <w:bCs w:val="false"/>
          <w:i w:val="false"/>
          <w:iCs w:val="false"/>
          <w:color w:val="1F2937"/>
          <w:sz w:val="22"/>
          <w:szCs w:val="22"/>
        </w:rPr>
        <w:t xml:space="preserve">Ce cadre résiste à l'usage populaire qui consiste à chercher la « meilleure combinaison ». La compatibilité n'est pas une propriété des types — c'est le fruit du développement personnel et de la capacité de réparation.</w:t>
      </w:r>
    </w:p>
    <w:p>
      <w:pPr>
        <w:pStyle w:val="Heading3"/>
        <w:spacing w:after="80" w:before="200"/>
      </w:pPr>
      <w:r>
        <w:rPr>
          <w:rFonts w:ascii="Times New Roman" w:cs="Times New Roman" w:eastAsia="Times New Roman" w:hAnsi="Times New Roman"/>
          <w:b/>
          <w:bCs/>
          <w:color w:val="1F2937"/>
          <w:sz w:val="26"/>
          <w:szCs w:val="26"/>
        </w:rPr>
        <w:t xml:space="preserve">2. Les 45 combinaisons et leurs trois dimensions (approche Daniels)</w:t>
      </w:r>
    </w:p>
    <w:p>
      <w:pPr>
        <w:spacing w:after="80" w:before="80"/>
      </w:pPr>
      <w:r>
        <w:rPr>
          <w:rFonts w:ascii="Times New Roman" w:cs="Times New Roman" w:eastAsia="Times New Roman" w:hAnsi="Times New Roman"/>
          <w:b w:val="false"/>
          <w:bCs w:val="false"/>
          <w:i w:val="false"/>
          <w:iCs w:val="false"/>
          <w:color w:val="1F2937"/>
          <w:sz w:val="22"/>
          <w:szCs w:val="22"/>
        </w:rPr>
        <w:t xml:space="preserve">Le Dr David Daniels (médecin et professeur à Stanford, co-fondateur de l'Enneagram Worldwide) décrit 45 combinaisons possibles — chaque paire de types parmi les neuf. Pour chaque paire, son modèle distingue trois dimensions d'exploration :</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c>
          <w:tcPr>
            <w:tcW w:type="dxa" w:w="3000"/>
            <w:shd w:fill="1B3A6B" w:val="clear"/>
          </w:tcPr>
          <w:p>
            <w:pPr>
              <w:jc w:val="center"/>
            </w:pPr>
            <w:r>
              <w:rPr>
                <w:rFonts w:ascii="Times New Roman" w:cs="Times New Roman" w:eastAsia="Times New Roman" w:hAnsi="Times New Roman"/>
                <w:b/>
                <w:bCs/>
                <w:color w:val="FFFFFF"/>
                <w:sz w:val="20"/>
                <w:szCs w:val="20"/>
              </w:rPr>
              <w:t xml:space="preserve">Dimension</w:t>
            </w:r>
          </w:p>
        </w:tc>
        <w:tc>
          <w:tcPr>
            <w:tcW w:type="dxa" w:w="3000"/>
            <w:shd w:fill="1B3A6B" w:val="clear"/>
          </w:tcPr>
          <w:p>
            <w:pPr>
              <w:jc w:val="center"/>
            </w:pPr>
            <w:r>
              <w:rPr>
                <w:rFonts w:ascii="Times New Roman" w:cs="Times New Roman" w:eastAsia="Times New Roman" w:hAnsi="Times New Roman"/>
                <w:b/>
                <w:bCs/>
                <w:color w:val="FFFFFF"/>
                <w:sz w:val="20"/>
                <w:szCs w:val="20"/>
              </w:rPr>
              <w:t xml:space="preserve">Question centrale</w:t>
            </w:r>
          </w:p>
        </w:tc>
        <w:tc>
          <w:tcPr>
            <w:tcW w:type="dxa" w:w="3000"/>
            <w:shd w:fill="1B3A6B" w:val="clear"/>
          </w:tcPr>
          <w:p>
            <w:pPr>
              <w:jc w:val="center"/>
            </w:pPr>
            <w:r>
              <w:rPr>
                <w:rFonts w:ascii="Times New Roman" w:cs="Times New Roman" w:eastAsia="Times New Roman" w:hAnsi="Times New Roman"/>
                <w:b/>
                <w:bCs/>
                <w:color w:val="FFFFFF"/>
                <w:sz w:val="20"/>
                <w:szCs w:val="20"/>
              </w:rPr>
              <w:t xml:space="preserve">Ce que cela produit</w:t>
            </w:r>
          </w:p>
        </w:tc>
      </w:tr>
      <w:tr>
        <w:tc>
          <w:tcPr>
            <w:tcW w:type="dxa" w:w="3000"/>
            <w:shd w:fill="FFFFFF" w:val="clear"/>
          </w:tcPr>
          <w:p>
            <w:r>
              <w:rPr>
                <w:rFonts w:ascii="Times New Roman" w:cs="Times New Roman" w:eastAsia="Times New Roman" w:hAnsi="Times New Roman"/>
                <w:color w:val="1F2937"/>
                <w:sz w:val="20"/>
                <w:szCs w:val="20"/>
              </w:rPr>
              <w:t xml:space="preserve">Ce que je dois reconnaître</w:t>
            </w:r>
          </w:p>
        </w:tc>
        <w:tc>
          <w:tcPr>
            <w:tcW w:type="dxa" w:w="3000"/>
            <w:shd w:fill="FFFFFF" w:val="clear"/>
          </w:tcPr>
          <w:p>
            <w:r>
              <w:rPr>
                <w:rFonts w:ascii="Times New Roman" w:cs="Times New Roman" w:eastAsia="Times New Roman" w:hAnsi="Times New Roman"/>
                <w:color w:val="1F2937"/>
                <w:sz w:val="20"/>
                <w:szCs w:val="20"/>
              </w:rPr>
              <w:t xml:space="preserve">Quelle est ma part dans les difficultés de cette relation ?</w:t>
            </w:r>
          </w:p>
        </w:tc>
        <w:tc>
          <w:tcPr>
            <w:tcW w:type="dxa" w:w="3000"/>
            <w:shd w:fill="FFFFFF" w:val="clear"/>
          </w:tcPr>
          <w:p>
            <w:r>
              <w:rPr>
                <w:rFonts w:ascii="Times New Roman" w:cs="Times New Roman" w:eastAsia="Times New Roman" w:hAnsi="Times New Roman"/>
                <w:color w:val="1F2937"/>
                <w:sz w:val="20"/>
                <w:szCs w:val="20"/>
              </w:rPr>
              <w:t xml:space="preserve">Responsabilité personnelle, sortie du blâme</w:t>
            </w:r>
          </w:p>
        </w:tc>
      </w:tr>
      <w:tr>
        <w:tc>
          <w:tcPr>
            <w:tcW w:type="dxa" w:w="3000"/>
            <w:shd w:fill="EEF2F7" w:val="clear"/>
          </w:tcPr>
          <w:p>
            <w:r>
              <w:rPr>
                <w:rFonts w:ascii="Times New Roman" w:cs="Times New Roman" w:eastAsia="Times New Roman" w:hAnsi="Times New Roman"/>
                <w:color w:val="1F2937"/>
                <w:sz w:val="20"/>
                <w:szCs w:val="20"/>
              </w:rPr>
              <w:t xml:space="preserve">Ce que je peux apprécier</w:t>
            </w:r>
          </w:p>
        </w:tc>
        <w:tc>
          <w:tcPr>
            <w:tcW w:type="dxa" w:w="3000"/>
            <w:shd w:fill="EEF2F7" w:val="clear"/>
          </w:tcPr>
          <w:p>
            <w:r>
              <w:rPr>
                <w:rFonts w:ascii="Times New Roman" w:cs="Times New Roman" w:eastAsia="Times New Roman" w:hAnsi="Times New Roman"/>
                <w:color w:val="1F2937"/>
                <w:sz w:val="20"/>
                <w:szCs w:val="20"/>
              </w:rPr>
              <w:t xml:space="preserve">Quelles qualités l'autre apporte-t-il que je tends à négliger ?</w:t>
            </w:r>
          </w:p>
        </w:tc>
        <w:tc>
          <w:tcPr>
            <w:tcW w:type="dxa" w:w="3000"/>
            <w:shd w:fill="EEF2F7" w:val="clear"/>
          </w:tcPr>
          <w:p>
            <w:r>
              <w:rPr>
                <w:rFonts w:ascii="Times New Roman" w:cs="Times New Roman" w:eastAsia="Times New Roman" w:hAnsi="Times New Roman"/>
                <w:color w:val="1F2937"/>
                <w:sz w:val="20"/>
                <w:szCs w:val="20"/>
              </w:rPr>
              <w:t xml:space="preserve">Gratitude, réduction des projections</w:t>
            </w:r>
          </w:p>
        </w:tc>
      </w:tr>
      <w:tr>
        <w:tc>
          <w:tcPr>
            <w:tcW w:type="dxa" w:w="3000"/>
            <w:shd w:fill="FFFFFF" w:val="clear"/>
          </w:tcPr>
          <w:p>
            <w:r>
              <w:rPr>
                <w:rFonts w:ascii="Times New Roman" w:cs="Times New Roman" w:eastAsia="Times New Roman" w:hAnsi="Times New Roman"/>
                <w:color w:val="1F2937"/>
                <w:sz w:val="20"/>
                <w:szCs w:val="20"/>
              </w:rPr>
              <w:t xml:space="preserve">La tâche clé</w:t>
            </w:r>
          </w:p>
        </w:tc>
        <w:tc>
          <w:tcPr>
            <w:tcW w:type="dxa" w:w="3000"/>
            <w:shd w:fill="FFFFFF" w:val="clear"/>
          </w:tcPr>
          <w:p>
            <w:r>
              <w:rPr>
                <w:rFonts w:ascii="Times New Roman" w:cs="Times New Roman" w:eastAsia="Times New Roman" w:hAnsi="Times New Roman"/>
                <w:color w:val="1F2937"/>
                <w:sz w:val="20"/>
                <w:szCs w:val="20"/>
              </w:rPr>
              <w:t xml:space="preserve">Quelle évolution concrète cette relation me demande-t-elle ?</w:t>
            </w:r>
          </w:p>
        </w:tc>
        <w:tc>
          <w:tcPr>
            <w:tcW w:type="dxa" w:w="3000"/>
            <w:shd w:fill="FFFFFF" w:val="clear"/>
          </w:tcPr>
          <w:p>
            <w:r>
              <w:rPr>
                <w:rFonts w:ascii="Times New Roman" w:cs="Times New Roman" w:eastAsia="Times New Roman" w:hAnsi="Times New Roman"/>
                <w:color w:val="1F2937"/>
                <w:sz w:val="20"/>
                <w:szCs w:val="20"/>
              </w:rPr>
              <w:t xml:space="preserve">Direction de croissance partagée</w:t>
            </w:r>
          </w:p>
        </w:tc>
      </w:tr>
    </w:tbl>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iCs/>
          <w:color w:val="1F2937"/>
          <w:sz w:val="22"/>
          <w:szCs w:val="22"/>
        </w:rPr>
        <w:t xml:space="preserve">Note : Daniels précise qu'une variation importante existe à l'intérieur de chaque patron typique, selon le développement personnel, le contexte culturel, le genre, l'influence des ailes et l'histoire de vie. Les 45 combinaisons sont des boussoles, pas des verdicts.</w:t>
      </w:r>
    </w:p>
    <w:p>
      <w:pPr>
        <w:pStyle w:val="Heading3"/>
        <w:spacing w:after="80" w:before="200"/>
      </w:pPr>
      <w:r>
        <w:rPr>
          <w:rFonts w:ascii="Times New Roman" w:cs="Times New Roman" w:eastAsia="Times New Roman" w:hAnsi="Times New Roman"/>
          <w:b/>
          <w:bCs/>
          <w:color w:val="1F2937"/>
          <w:sz w:val="26"/>
          <w:szCs w:val="26"/>
        </w:rPr>
        <w:t xml:space="preserve">3. Le mécanisme du cercle de conflit</w:t>
      </w:r>
    </w:p>
    <w:p>
      <w:pPr>
        <w:spacing w:after="80" w:before="80"/>
      </w:pPr>
      <w:r>
        <w:rPr>
          <w:rFonts w:ascii="Times New Roman" w:cs="Times New Roman" w:eastAsia="Times New Roman" w:hAnsi="Times New Roman"/>
          <w:b w:val="false"/>
          <w:bCs w:val="false"/>
          <w:i w:val="false"/>
          <w:iCs w:val="false"/>
          <w:color w:val="1F2937"/>
          <w:sz w:val="22"/>
          <w:szCs w:val="22"/>
        </w:rPr>
        <w:t xml:space="preserve">Quand la pression monte, chaque type a tendance à intensifier ses comportements habituels — précisément ceux qui, en excès, alimentent le conflit. Daniels nomme ce phénomène « circle of conflict » (cercle de conflit) : l'escalade, le blâme et l'aliénation s'auto-entretiennent. Quelques exemples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type 1 exerce davantage de pression corrective → le partenaire se sent jugé → il se ferme ou contre-attaque → le type 1 perçoit une résistance et augmente ses exigences.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type 2 anticipe encore plus les besoins de l'autre → le partenaire se sent envahi → il prend de la distance → le type 2 redouble d'efforts pour maintenir le lien.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type 9 s'efface et acquiesce → ses besoins non exprimés s'accumulent → explosion ou retrait silencieux → l'autre ne comprend pas ce qui s'est passé.</w:t>
      </w:r>
    </w:p>
    <w:p>
      <w:pPr>
        <w:spacing w:after="80" w:before="80"/>
      </w:pPr>
      <w:r>
        <w:rPr>
          <w:rFonts w:ascii="Times New Roman" w:cs="Times New Roman" w:eastAsia="Times New Roman" w:hAnsi="Times New Roman"/>
          <w:b w:val="false"/>
          <w:bCs w:val="false"/>
          <w:i w:val="false"/>
          <w:iCs w:val="false"/>
          <w:color w:val="1F2937"/>
          <w:sz w:val="22"/>
          <w:szCs w:val="22"/>
        </w:rPr>
        <w:t xml:space="preserve">Reconnaître ce cercle est la première étape pour l'interrompre.</w:t>
      </w:r>
    </w:p>
    <w:p>
      <w:pPr>
        <w:pStyle w:val="Heading3"/>
        <w:spacing w:after="80" w:before="200"/>
      </w:pPr>
      <w:r>
        <w:rPr>
          <w:rFonts w:ascii="Times New Roman" w:cs="Times New Roman" w:eastAsia="Times New Roman" w:hAnsi="Times New Roman"/>
          <w:b/>
          <w:bCs/>
          <w:color w:val="1F2937"/>
          <w:sz w:val="26"/>
          <w:szCs w:val="26"/>
        </w:rPr>
        <w:t xml:space="preserve">4. La question cachée sous chaque conflit</w:t>
      </w:r>
    </w:p>
    <w:p>
      <w:pPr>
        <w:spacing w:after="80" w:before="80"/>
      </w:pPr>
      <w:r>
        <w:rPr>
          <w:rFonts w:ascii="Times New Roman" w:cs="Times New Roman" w:eastAsia="Times New Roman" w:hAnsi="Times New Roman"/>
          <w:b w:val="false"/>
          <w:bCs w:val="false"/>
          <w:i w:val="false"/>
          <w:iCs w:val="false"/>
          <w:color w:val="1F2937"/>
          <w:sz w:val="22"/>
          <w:szCs w:val="22"/>
        </w:rPr>
        <w:t xml:space="preserve">Chaque type porte une question fondamentale dans ses relations : « Puis-je être pleinement moi-même ici et rester aimé(e) ? » La formulation varie selon le type. Le site 9takes propose une lecture de ces variations — les éléments suivants sont une synthèse de leur approche (non des citations verbatim) :</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80"/>
          <w:bottom w:type="dxa" w:w="80"/>
          <w:right w:type="dxa" w:w="80"/>
        </w:tblCellMar>
      </w:tblPr>
      <w:tblGrid>
        <w:gridCol w:w="100"/>
        <w:gridCol w:w="100"/>
        <w:gridCol w:w="100"/>
      </w:tblGrid>
      <w:tr>
        <w:tc>
          <w:tcPr>
            <w:tcW w:type="dxa" w:w="3000"/>
            <w:shd w:fill="1B3A6B" w:val="clear"/>
          </w:tcPr>
          <w:p>
            <w:pPr>
              <w:jc w:val="center"/>
            </w:pPr>
            <w:r>
              <w:rPr>
                <w:rFonts w:ascii="Times New Roman" w:cs="Times New Roman" w:eastAsia="Times New Roman" w:hAnsi="Times New Roman"/>
                <w:b/>
                <w:bCs/>
                <w:color w:val="FFFFFF"/>
                <w:sz w:val="20"/>
                <w:szCs w:val="20"/>
              </w:rPr>
              <w:t xml:space="preserve">Type</w:t>
            </w:r>
          </w:p>
        </w:tc>
        <w:tc>
          <w:tcPr>
            <w:tcW w:type="dxa" w:w="3000"/>
            <w:shd w:fill="1B3A6B" w:val="clear"/>
          </w:tcPr>
          <w:p>
            <w:pPr>
              <w:jc w:val="center"/>
            </w:pPr>
            <w:r>
              <w:rPr>
                <w:rFonts w:ascii="Times New Roman" w:cs="Times New Roman" w:eastAsia="Times New Roman" w:hAnsi="Times New Roman"/>
                <w:b/>
                <w:bCs/>
                <w:color w:val="FFFFFF"/>
                <w:sz w:val="20"/>
                <w:szCs w:val="20"/>
              </w:rPr>
              <w:t xml:space="preserve">Réflexe défensif sous stress</w:t>
            </w:r>
          </w:p>
        </w:tc>
        <w:tc>
          <w:tcPr>
            <w:tcW w:type="dxa" w:w="3000"/>
            <w:shd w:fill="1B3A6B" w:val="clear"/>
          </w:tcPr>
          <w:p>
            <w:pPr>
              <w:jc w:val="center"/>
            </w:pPr>
            <w:r>
              <w:rPr>
                <w:rFonts w:ascii="Times New Roman" w:cs="Times New Roman" w:eastAsia="Times New Roman" w:hAnsi="Times New Roman"/>
                <w:b/>
                <w:bCs/>
                <w:color w:val="FFFFFF"/>
                <w:sz w:val="20"/>
                <w:szCs w:val="20"/>
              </w:rPr>
              <w:t xml:space="preserve">Question cachée probable</w:t>
            </w:r>
          </w:p>
        </w:tc>
      </w:tr>
      <w:tr>
        <w:tc>
          <w:tcPr>
            <w:tcW w:type="dxa" w:w="3000"/>
            <w:shd w:fill="FFFFFF" w:val="clear"/>
          </w:tcPr>
          <w:p>
            <w:r>
              <w:rPr>
                <w:rFonts w:ascii="Times New Roman" w:cs="Times New Roman" w:eastAsia="Times New Roman" w:hAnsi="Times New Roman"/>
                <w:color w:val="1F2937"/>
                <w:sz w:val="20"/>
                <w:szCs w:val="20"/>
              </w:rPr>
              <w:t xml:space="preserve">1 Perfectionniste</w:t>
            </w:r>
          </w:p>
        </w:tc>
        <w:tc>
          <w:tcPr>
            <w:tcW w:type="dxa" w:w="3000"/>
            <w:shd w:fill="FFFFFF" w:val="clear"/>
          </w:tcPr>
          <w:p>
            <w:r>
              <w:rPr>
                <w:rFonts w:ascii="Times New Roman" w:cs="Times New Roman" w:eastAsia="Times New Roman" w:hAnsi="Times New Roman"/>
                <w:color w:val="1F2937"/>
                <w:sz w:val="20"/>
                <w:szCs w:val="20"/>
              </w:rPr>
              <w:t xml:space="preserve">Corrige, améliore, critique</w:t>
            </w:r>
          </w:p>
        </w:tc>
        <w:tc>
          <w:tcPr>
            <w:tcW w:type="dxa" w:w="3000"/>
            <w:shd w:fill="FFFFFF" w:val="clear"/>
          </w:tcPr>
          <w:p>
            <w:r>
              <w:rPr>
                <w:rFonts w:ascii="Times New Roman" w:cs="Times New Roman" w:eastAsia="Times New Roman" w:hAnsi="Times New Roman"/>
                <w:color w:val="1F2937"/>
                <w:sz w:val="20"/>
                <w:szCs w:val="20"/>
              </w:rPr>
              <w:t xml:space="preserve">Mon imperfection me rend-elle inacceptable ?</w:t>
            </w:r>
          </w:p>
        </w:tc>
      </w:tr>
      <w:tr>
        <w:tc>
          <w:tcPr>
            <w:tcW w:type="dxa" w:w="3000"/>
            <w:shd w:fill="EEF2F7" w:val="clear"/>
          </w:tcPr>
          <w:p>
            <w:r>
              <w:rPr>
                <w:rFonts w:ascii="Times New Roman" w:cs="Times New Roman" w:eastAsia="Times New Roman" w:hAnsi="Times New Roman"/>
                <w:color w:val="1F2937"/>
                <w:sz w:val="20"/>
                <w:szCs w:val="20"/>
              </w:rPr>
              <w:t xml:space="preserve">2 Altruiste</w:t>
            </w:r>
          </w:p>
        </w:tc>
        <w:tc>
          <w:tcPr>
            <w:tcW w:type="dxa" w:w="3000"/>
            <w:shd w:fill="EEF2F7" w:val="clear"/>
          </w:tcPr>
          <w:p>
            <w:r>
              <w:rPr>
                <w:rFonts w:ascii="Times New Roman" w:cs="Times New Roman" w:eastAsia="Times New Roman" w:hAnsi="Times New Roman"/>
                <w:color w:val="1F2937"/>
                <w:sz w:val="20"/>
                <w:szCs w:val="20"/>
              </w:rPr>
              <w:t xml:space="preserve">Sur-donne, anticipe</w:t>
            </w:r>
          </w:p>
        </w:tc>
        <w:tc>
          <w:tcPr>
            <w:tcW w:type="dxa" w:w="3000"/>
            <w:shd w:fill="EEF2F7" w:val="clear"/>
          </w:tcPr>
          <w:p>
            <w:r>
              <w:rPr>
                <w:rFonts w:ascii="Times New Roman" w:cs="Times New Roman" w:eastAsia="Times New Roman" w:hAnsi="Times New Roman"/>
                <w:color w:val="1F2937"/>
                <w:sz w:val="20"/>
                <w:szCs w:val="20"/>
              </w:rPr>
              <w:t xml:space="preserve">Suis-je aimable seulement quand je suis utile ?</w:t>
            </w:r>
          </w:p>
        </w:tc>
      </w:tr>
      <w:tr>
        <w:tc>
          <w:tcPr>
            <w:tcW w:type="dxa" w:w="3000"/>
            <w:shd w:fill="FFFFFF" w:val="clear"/>
          </w:tcPr>
          <w:p>
            <w:r>
              <w:rPr>
                <w:rFonts w:ascii="Times New Roman" w:cs="Times New Roman" w:eastAsia="Times New Roman" w:hAnsi="Times New Roman"/>
                <w:color w:val="1F2937"/>
                <w:sz w:val="20"/>
                <w:szCs w:val="20"/>
              </w:rPr>
              <w:t xml:space="preserve">3 Battant</w:t>
            </w:r>
          </w:p>
        </w:tc>
        <w:tc>
          <w:tcPr>
            <w:tcW w:type="dxa" w:w="3000"/>
            <w:shd w:fill="FFFFFF" w:val="clear"/>
          </w:tcPr>
          <w:p>
            <w:r>
              <w:rPr>
                <w:rFonts w:ascii="Times New Roman" w:cs="Times New Roman" w:eastAsia="Times New Roman" w:hAnsi="Times New Roman"/>
                <w:color w:val="1F2937"/>
                <w:sz w:val="20"/>
                <w:szCs w:val="20"/>
              </w:rPr>
              <w:t xml:space="preserve">Performe, produit</w:t>
            </w:r>
          </w:p>
        </w:tc>
        <w:tc>
          <w:tcPr>
            <w:tcW w:type="dxa" w:w="3000"/>
            <w:shd w:fill="FFFFFF" w:val="clear"/>
          </w:tcPr>
          <w:p>
            <w:r>
              <w:rPr>
                <w:rFonts w:ascii="Times New Roman" w:cs="Times New Roman" w:eastAsia="Times New Roman" w:hAnsi="Times New Roman"/>
                <w:color w:val="1F2937"/>
                <w:sz w:val="20"/>
                <w:szCs w:val="20"/>
              </w:rPr>
              <w:t xml:space="preserve">M'aimerais-tu si tu voyais l'envers du décor ?</w:t>
            </w:r>
          </w:p>
        </w:tc>
      </w:tr>
      <w:tr>
        <w:tc>
          <w:tcPr>
            <w:tcW w:type="dxa" w:w="3000"/>
            <w:shd w:fill="EEF2F7" w:val="clear"/>
          </w:tcPr>
          <w:p>
            <w:r>
              <w:rPr>
                <w:rFonts w:ascii="Times New Roman" w:cs="Times New Roman" w:eastAsia="Times New Roman" w:hAnsi="Times New Roman"/>
                <w:color w:val="1F2937"/>
                <w:sz w:val="20"/>
                <w:szCs w:val="20"/>
              </w:rPr>
              <w:t xml:space="preserve">4 Individualiste</w:t>
            </w:r>
          </w:p>
        </w:tc>
        <w:tc>
          <w:tcPr>
            <w:tcW w:type="dxa" w:w="3000"/>
            <w:shd w:fill="EEF2F7" w:val="clear"/>
          </w:tcPr>
          <w:p>
            <w:r>
              <w:rPr>
                <w:rFonts w:ascii="Times New Roman" w:cs="Times New Roman" w:eastAsia="Times New Roman" w:hAnsi="Times New Roman"/>
                <w:color w:val="1F2937"/>
                <w:sz w:val="20"/>
                <w:szCs w:val="20"/>
              </w:rPr>
              <w:t xml:space="preserve">Intensifie, compare</w:t>
            </w:r>
          </w:p>
        </w:tc>
        <w:tc>
          <w:tcPr>
            <w:tcW w:type="dxa" w:w="3000"/>
            <w:shd w:fill="EEF2F7" w:val="clear"/>
          </w:tcPr>
          <w:p>
            <w:r>
              <w:rPr>
                <w:rFonts w:ascii="Times New Roman" w:cs="Times New Roman" w:eastAsia="Times New Roman" w:hAnsi="Times New Roman"/>
                <w:color w:val="1F2937"/>
                <w:sz w:val="20"/>
                <w:szCs w:val="20"/>
              </w:rPr>
              <w:t xml:space="preserve">Accepteras-tu la profondeur de ce que je ressens ?</w:t>
            </w:r>
          </w:p>
        </w:tc>
      </w:tr>
      <w:tr>
        <w:tc>
          <w:tcPr>
            <w:tcW w:type="dxa" w:w="3000"/>
            <w:shd w:fill="FFFFFF" w:val="clear"/>
          </w:tcPr>
          <w:p>
            <w:r>
              <w:rPr>
                <w:rFonts w:ascii="Times New Roman" w:cs="Times New Roman" w:eastAsia="Times New Roman" w:hAnsi="Times New Roman"/>
                <w:color w:val="1F2937"/>
                <w:sz w:val="20"/>
                <w:szCs w:val="20"/>
              </w:rPr>
              <w:t xml:space="preserve">5 Investigateur</w:t>
            </w:r>
          </w:p>
        </w:tc>
        <w:tc>
          <w:tcPr>
            <w:tcW w:type="dxa" w:w="3000"/>
            <w:shd w:fill="FFFFFF" w:val="clear"/>
          </w:tcPr>
          <w:p>
            <w:r>
              <w:rPr>
                <w:rFonts w:ascii="Times New Roman" w:cs="Times New Roman" w:eastAsia="Times New Roman" w:hAnsi="Times New Roman"/>
                <w:color w:val="1F2937"/>
                <w:sz w:val="20"/>
                <w:szCs w:val="20"/>
              </w:rPr>
              <w:t xml:space="preserve">Se retire, conserve</w:t>
            </w:r>
          </w:p>
        </w:tc>
        <w:tc>
          <w:tcPr>
            <w:tcW w:type="dxa" w:w="3000"/>
            <w:shd w:fill="FFFFFF" w:val="clear"/>
          </w:tcPr>
          <w:p>
            <w:r>
              <w:rPr>
                <w:rFonts w:ascii="Times New Roman" w:cs="Times New Roman" w:eastAsia="Times New Roman" w:hAnsi="Times New Roman"/>
                <w:color w:val="1F2937"/>
                <w:sz w:val="20"/>
                <w:szCs w:val="20"/>
              </w:rPr>
              <w:t xml:space="preserve">Puis-je être en lien sans être consumé(e) ?</w:t>
            </w:r>
          </w:p>
        </w:tc>
      </w:tr>
      <w:tr>
        <w:tc>
          <w:tcPr>
            <w:tcW w:type="dxa" w:w="3000"/>
            <w:shd w:fill="EEF2F7" w:val="clear"/>
          </w:tcPr>
          <w:p>
            <w:r>
              <w:rPr>
                <w:rFonts w:ascii="Times New Roman" w:cs="Times New Roman" w:eastAsia="Times New Roman" w:hAnsi="Times New Roman"/>
                <w:color w:val="1F2937"/>
                <w:sz w:val="20"/>
                <w:szCs w:val="20"/>
              </w:rPr>
              <w:t xml:space="preserve">6 Loyaliste</w:t>
            </w:r>
          </w:p>
        </w:tc>
        <w:tc>
          <w:tcPr>
            <w:tcW w:type="dxa" w:w="3000"/>
            <w:shd w:fill="EEF2F7" w:val="clear"/>
          </w:tcPr>
          <w:p>
            <w:r>
              <w:rPr>
                <w:rFonts w:ascii="Times New Roman" w:cs="Times New Roman" w:eastAsia="Times New Roman" w:hAnsi="Times New Roman"/>
                <w:color w:val="1F2937"/>
                <w:sz w:val="20"/>
                <w:szCs w:val="20"/>
              </w:rPr>
              <w:t xml:space="preserve">Teste, vérifie</w:t>
            </w:r>
          </w:p>
        </w:tc>
        <w:tc>
          <w:tcPr>
            <w:tcW w:type="dxa" w:w="3000"/>
            <w:shd w:fill="EEF2F7" w:val="clear"/>
          </w:tcPr>
          <w:p>
            <w:r>
              <w:rPr>
                <w:rFonts w:ascii="Times New Roman" w:cs="Times New Roman" w:eastAsia="Times New Roman" w:hAnsi="Times New Roman"/>
                <w:color w:val="1F2937"/>
                <w:sz w:val="20"/>
                <w:szCs w:val="20"/>
              </w:rPr>
              <w:t xml:space="preserve">Es-tu vraiment fiable et sûr(e) ?</w:t>
            </w:r>
          </w:p>
        </w:tc>
      </w:tr>
      <w:tr>
        <w:tc>
          <w:tcPr>
            <w:tcW w:type="dxa" w:w="3000"/>
            <w:shd w:fill="FFFFFF" w:val="clear"/>
          </w:tcPr>
          <w:p>
            <w:r>
              <w:rPr>
                <w:rFonts w:ascii="Times New Roman" w:cs="Times New Roman" w:eastAsia="Times New Roman" w:hAnsi="Times New Roman"/>
                <w:color w:val="1F2937"/>
                <w:sz w:val="20"/>
                <w:szCs w:val="20"/>
              </w:rPr>
              <w:t xml:space="preserve">7 Épicurien</w:t>
            </w:r>
          </w:p>
        </w:tc>
        <w:tc>
          <w:tcPr>
            <w:tcW w:type="dxa" w:w="3000"/>
            <w:shd w:fill="FFFFFF" w:val="clear"/>
          </w:tcPr>
          <w:p>
            <w:r>
              <w:rPr>
                <w:rFonts w:ascii="Times New Roman" w:cs="Times New Roman" w:eastAsia="Times New Roman" w:hAnsi="Times New Roman"/>
                <w:color w:val="1F2937"/>
                <w:sz w:val="20"/>
                <w:szCs w:val="20"/>
              </w:rPr>
              <w:t xml:space="preserve">Recadre, esquive</w:t>
            </w:r>
          </w:p>
        </w:tc>
        <w:tc>
          <w:tcPr>
            <w:tcW w:type="dxa" w:w="3000"/>
            <w:shd w:fill="FFFFFF" w:val="clear"/>
          </w:tcPr>
          <w:p>
            <w:r>
              <w:rPr>
                <w:rFonts w:ascii="Times New Roman" w:cs="Times New Roman" w:eastAsia="Times New Roman" w:hAnsi="Times New Roman"/>
                <w:color w:val="1F2937"/>
                <w:sz w:val="20"/>
                <w:szCs w:val="20"/>
              </w:rPr>
              <w:t xml:space="preserve">Puis-je rester libre dans un engagement ?</w:t>
            </w:r>
          </w:p>
        </w:tc>
      </w:tr>
      <w:tr>
        <w:tc>
          <w:tcPr>
            <w:tcW w:type="dxa" w:w="3000"/>
            <w:shd w:fill="EEF2F7" w:val="clear"/>
          </w:tcPr>
          <w:p>
            <w:r>
              <w:rPr>
                <w:rFonts w:ascii="Times New Roman" w:cs="Times New Roman" w:eastAsia="Times New Roman" w:hAnsi="Times New Roman"/>
                <w:color w:val="1F2937"/>
                <w:sz w:val="20"/>
                <w:szCs w:val="20"/>
              </w:rPr>
              <w:t xml:space="preserve">8 Chef</w:t>
            </w:r>
          </w:p>
        </w:tc>
        <w:tc>
          <w:tcPr>
            <w:tcW w:type="dxa" w:w="3000"/>
            <w:shd w:fill="EEF2F7" w:val="clear"/>
          </w:tcPr>
          <w:p>
            <w:r>
              <w:rPr>
                <w:rFonts w:ascii="Times New Roman" w:cs="Times New Roman" w:eastAsia="Times New Roman" w:hAnsi="Times New Roman"/>
                <w:color w:val="1F2937"/>
                <w:sz w:val="20"/>
                <w:szCs w:val="20"/>
              </w:rPr>
              <w:t xml:space="preserve">Contrôle, s'arme</w:t>
            </w:r>
          </w:p>
        </w:tc>
        <w:tc>
          <w:tcPr>
            <w:tcW w:type="dxa" w:w="3000"/>
            <w:shd w:fill="EEF2F7" w:val="clear"/>
          </w:tcPr>
          <w:p>
            <w:r>
              <w:rPr>
                <w:rFonts w:ascii="Times New Roman" w:cs="Times New Roman" w:eastAsia="Times New Roman" w:hAnsi="Times New Roman"/>
                <w:color w:val="1F2937"/>
                <w:sz w:val="20"/>
                <w:szCs w:val="20"/>
              </w:rPr>
              <w:t xml:space="preserve">Ma vulnérabilité sera-t-elle utilisée contre moi ?</w:t>
            </w:r>
          </w:p>
        </w:tc>
      </w:tr>
      <w:tr>
        <w:tc>
          <w:tcPr>
            <w:tcW w:type="dxa" w:w="3000"/>
            <w:shd w:fill="FFFFFF" w:val="clear"/>
          </w:tcPr>
          <w:p>
            <w:r>
              <w:rPr>
                <w:rFonts w:ascii="Times New Roman" w:cs="Times New Roman" w:eastAsia="Times New Roman" w:hAnsi="Times New Roman"/>
                <w:color w:val="1F2937"/>
                <w:sz w:val="20"/>
                <w:szCs w:val="20"/>
              </w:rPr>
              <w:t xml:space="preserve">9 Médiateur</w:t>
            </w:r>
          </w:p>
        </w:tc>
        <w:tc>
          <w:tcPr>
            <w:tcW w:type="dxa" w:w="3000"/>
            <w:shd w:fill="FFFFFF" w:val="clear"/>
          </w:tcPr>
          <w:p>
            <w:r>
              <w:rPr>
                <w:rFonts w:ascii="Times New Roman" w:cs="Times New Roman" w:eastAsia="Times New Roman" w:hAnsi="Times New Roman"/>
                <w:color w:val="1F2937"/>
                <w:sz w:val="20"/>
                <w:szCs w:val="20"/>
              </w:rPr>
              <w:t xml:space="preserve">S'accommode, se tait</w:t>
            </w:r>
          </w:p>
        </w:tc>
        <w:tc>
          <w:tcPr>
            <w:tcW w:type="dxa" w:w="3000"/>
            <w:shd w:fill="FFFFFF" w:val="clear"/>
          </w:tcPr>
          <w:p>
            <w:r>
              <w:rPr>
                <w:rFonts w:ascii="Times New Roman" w:cs="Times New Roman" w:eastAsia="Times New Roman" w:hAnsi="Times New Roman"/>
                <w:color w:val="1F2937"/>
                <w:sz w:val="20"/>
                <w:szCs w:val="20"/>
              </w:rPr>
              <w:t xml:space="preserve">Y a-t-il une place pour mes besoins ici ?</w:t>
            </w:r>
          </w:p>
        </w:tc>
      </w:tr>
    </w:tbl>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iCs/>
          <w:color w:val="6B7280"/>
          <w:sz w:val="22"/>
          <w:szCs w:val="22"/>
        </w:rPr>
        <w:t xml:space="preserve">Avertissement (règle B1) : ce tableau est une synthèse d'approches commerciales et praticiennes. Il n'est pas issu d'une validation psychométrique indépendante. À utiliser comme outil de réflexion personnelle, non comme grille de diagnostic.</w:t>
      </w:r>
    </w:p>
    <w:p>
      <w:pPr>
        <w:pStyle w:val="Heading3"/>
        <w:spacing w:after="80" w:before="200"/>
      </w:pPr>
      <w:r>
        <w:rPr>
          <w:rFonts w:ascii="Times New Roman" w:cs="Times New Roman" w:eastAsia="Times New Roman" w:hAnsi="Times New Roman"/>
          <w:b/>
          <w:bCs/>
          <w:color w:val="1F2937"/>
          <w:sz w:val="26"/>
          <w:szCs w:val="26"/>
        </w:rPr>
        <w:t xml:space="preserve">5. Un protocole de réparation en cinq étapes</w:t>
      </w:r>
    </w:p>
    <w:p>
      <w:pPr>
        <w:spacing w:after="80" w:before="80"/>
      </w:pPr>
      <w:r>
        <w:rPr>
          <w:rFonts w:ascii="Times New Roman" w:cs="Times New Roman" w:eastAsia="Times New Roman" w:hAnsi="Times New Roman"/>
          <w:b w:val="false"/>
          <w:bCs w:val="false"/>
          <w:i w:val="false"/>
          <w:iCs w:val="false"/>
          <w:color w:val="1F2937"/>
          <w:sz w:val="22"/>
          <w:szCs w:val="22"/>
        </w:rPr>
        <w:t xml:space="preserve">Aucun couple, aucune famille n'échappe aux conflits. Ce qui distingue les relations saines des relations en difficulté, c'est la capacité de réparation. Le site 9takes propose une approche en cinq étapes (synthèse, non citation verbatim)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Étape 1 — Nommer le comportement défensif observable : « J'ai remarqué que je… » (non : « Tu as fait…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Étape 2 — Identifier la peur sous-jacente : quelle menace ce réflexe tentait-il d'éviter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Étape 3 — Séparer les faits des interprétations : qu'est-ce qui s'est réellement passé, et qu'est-ce que j'ai ajouté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Étape 4 — Formuler une demande concrète et délimitée : « Pourrais-tu… » (spécifique, faisable, limité dans le temps).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Étape 5 — Vérifier la mise en œuvre : revenir sur ce qui a changé, nommer ce qui a été tenu.</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iCs/>
          <w:color w:val="1F2937"/>
          <w:sz w:val="22"/>
          <w:szCs w:val="22"/>
        </w:rPr>
        <w:t xml:space="preserve">Rappel : l'ennéagramme n'est pas un test de compatibilité validé. La santé émotionnelle de chacun, les valeurs partagées et la capacité de réparation priment sur la combinaison de types — c'est la position explicite des sources mobilisées pour cette leçon.</w:t>
      </w:r>
    </w:p>
    <w:p>
      <w:pPr>
        <w:pBdr>
          <w:bottom w:val="single" w:color="1B3A6B" w:sz="6"/>
        </w:pBdr>
        <w:spacing w:after="100" w:before="100"/>
      </w:pPr>
    </w:p>
    <w:p>
      <w:pPr>
        <w:pStyle w:val="Heading2"/>
        <w:spacing w:after="100" w:before="300"/>
      </w:pPr>
      <w:r>
        <w:rPr>
          <w:rFonts w:ascii="Times New Roman" w:cs="Times New Roman" w:eastAsia="Times New Roman" w:hAnsi="Times New Roman"/>
          <w:b/>
          <w:bCs/>
          <w:color w:val="1B3A6B"/>
          <w:sz w:val="30"/>
          <w:szCs w:val="30"/>
        </w:rPr>
        <w:t xml:space="preserve">🛠️ Pratique (80 %)</w:t>
      </w:r>
    </w:p>
    <w:p>
      <w:pPr>
        <w:pStyle w:val="Heading3"/>
        <w:spacing w:after="80" w:before="200"/>
      </w:pPr>
      <w:r>
        <w:rPr>
          <w:rFonts w:ascii="Times New Roman" w:cs="Times New Roman" w:eastAsia="Times New Roman" w:hAnsi="Times New Roman"/>
          <w:b/>
          <w:bCs/>
          <w:color w:val="1F2937"/>
          <w:sz w:val="26"/>
          <w:szCs w:val="26"/>
        </w:rPr>
        <w:t xml:space="preserve">Exercice 1 — Mon réflexe défensif : auto-observation (ancrage)</w:t>
      </w:r>
    </w:p>
    <w:p>
      <w:pPr>
        <w:spacing w:after="80" w:before="80"/>
      </w:pPr>
      <w:r>
        <w:rPr>
          <w:rFonts w:ascii="Times New Roman" w:cs="Times New Roman" w:eastAsia="Times New Roman" w:hAnsi="Times New Roman"/>
          <w:b w:val="false"/>
          <w:bCs w:val="false"/>
          <w:i w:val="false"/>
          <w:iCs w:val="false"/>
          <w:color w:val="1F2937"/>
          <w:sz w:val="22"/>
          <w:szCs w:val="22"/>
        </w:rPr>
        <w:t xml:space="preserve">Durée estimée : 20-30 minutes.</w:t>
      </w:r>
    </w:p>
    <w:p>
      <w:pPr>
        <w:spacing w:after="80" w:before="80"/>
      </w:pPr>
      <w:r>
        <w:rPr>
          <w:rFonts w:ascii="Times New Roman" w:cs="Times New Roman" w:eastAsia="Times New Roman" w:hAnsi="Times New Roman"/>
          <w:b w:val="false"/>
          <w:bCs w:val="false"/>
          <w:i w:val="false"/>
          <w:iCs w:val="false"/>
          <w:color w:val="1F2937"/>
          <w:sz w:val="22"/>
          <w:szCs w:val="22"/>
        </w:rPr>
        <w:t xml:space="preserve">Objectif : identifier ton réflexe défensif personnel en situation de tension relationnelle et la peur qui le sous-tend.</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Déroulé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 Note ton type (ou celui que tu explores). À partir du tableau théorique ci-dessus, identifie ton réflexe défensif probable sous stress.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b) Rappelle-toi une scène récente de friction dans une relation importante (couple, ami, collègue, famille). Décris-la en 5-10 lignes : qui, quoi, comment.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 Repère : quel réflexe s'est activé chez toi ? (Corrigé, anticipé, performé, intensifié, retiré, testé, esquivé, contrôlé, accommodé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 Formule la peur sous-jacente en une phrase : « J'avais peur que…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 Demande-toi : cette peur était-elle réellement en jeu dans cette situation, ou était-ce une projection de vieilles blessures ?</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iCs/>
          <w:color w:val="1F2937"/>
          <w:sz w:val="22"/>
          <w:szCs w:val="22"/>
        </w:rPr>
        <w:t xml:space="preserve">Ce que vise cet exercice : non pas te donner raison ou tort, mais rendre visible le mécanisme automatique. La conscience précède la possibilité de choix.</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Corrigé orientatif : il n'y a pas de bonne réponse unique. Ce qui compte, c'est la cohérence entre le type, le réflexe identifié et la peur formulée. Si tu es type 6 et que ta réponse au conflit était de multiplier les vérifications et les questions, la peur sous-jacente probable est la fiabilité et la sécurité — conformément à la théorie. Si tu trouves une peur qui ne correspond pas du tout à ton type présumé, c'est une information précieuse sur l'aile, les flèches ou le sous-type dominant.</w:t>
      </w:r>
    </w:p>
    <w:p>
      <w:pPr>
        <w:pStyle w:val="Heading3"/>
        <w:spacing w:after="80" w:before="200"/>
      </w:pPr>
      <w:r>
        <w:rPr>
          <w:rFonts w:ascii="Times New Roman" w:cs="Times New Roman" w:eastAsia="Times New Roman" w:hAnsi="Times New Roman"/>
          <w:b/>
          <w:bCs/>
          <w:color w:val="1F2937"/>
          <w:sz w:val="26"/>
          <w:szCs w:val="26"/>
        </w:rPr>
        <w:t xml:space="preserve">Exercice 2 — Observer l'autre type : hypothèse et enquête (compréhension active)</w:t>
      </w:r>
    </w:p>
    <w:p>
      <w:pPr>
        <w:spacing w:after="80" w:before="80"/>
      </w:pPr>
      <w:r>
        <w:rPr>
          <w:rFonts w:ascii="Times New Roman" w:cs="Times New Roman" w:eastAsia="Times New Roman" w:hAnsi="Times New Roman"/>
          <w:b w:val="false"/>
          <w:bCs w:val="false"/>
          <w:i w:val="false"/>
          <w:iCs w:val="false"/>
          <w:color w:val="1F2937"/>
          <w:sz w:val="22"/>
          <w:szCs w:val="22"/>
        </w:rPr>
        <w:t xml:space="preserve">Durée estimée : observation sur une semaine.</w:t>
      </w:r>
    </w:p>
    <w:p>
      <w:pPr>
        <w:spacing w:after="80" w:before="80"/>
      </w:pPr>
      <w:r>
        <w:rPr>
          <w:rFonts w:ascii="Times New Roman" w:cs="Times New Roman" w:eastAsia="Times New Roman" w:hAnsi="Times New Roman"/>
          <w:b w:val="false"/>
          <w:bCs w:val="false"/>
          <w:i w:val="false"/>
          <w:iCs w:val="false"/>
          <w:color w:val="1F2937"/>
          <w:sz w:val="22"/>
          <w:szCs w:val="22"/>
        </w:rPr>
        <w:t xml:space="preserve">Objectif : développer la curiosité envers le type de l'autre plutôt que la réactivité à ses comportements.</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Déroulé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 Choisis une relation importante (conjoint(e), ami(e) proche, parent, enfant adulte).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b) Formule une hypothèse sur son centre d'intelligence dominant (instinctif / émotionnel / mental) à partir de ce que tu sais de ses réactions habituelles aux tensions.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 À partir du tableau de la leçon, propose une hypothèse de type ou d'un type parmi deux ou trois candidats.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 Identifie sa « question cachée » probable : de quoi cette personne a-t-elle besoin pour se sentir en sécurité dans la relation avec toi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 Pendant une semaine, observe sans juger : quand elle est sous stress, quel réflexe s'active ? Est-ce cohérent avec ton hypothèse ?</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iCs/>
          <w:color w:val="1F2937"/>
          <w:sz w:val="22"/>
          <w:szCs w:val="22"/>
        </w:rPr>
        <w:t xml:space="preserve">Consigne importante : ne teste pas ton hypothèse en la lui soumettant, et n'emploie pas l'ennéagramme comme outil d'étiquetage. Cette observation est un exercice personnel d'attention — pas un diagnostic à communiquer.</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Corrigé orientatif : la valeur de cet exercice réside dans l'observation, pas dans la confirmation de l'hypothèse. Si le comportement observé contredit ton hypothèse initiale, c'est une invitation à affiner ta lecture des centres et des types, pas à forcer l'hypothèse pour qu'elle colle.</w:t>
      </w:r>
    </w:p>
    <w:p>
      <w:pPr>
        <w:pStyle w:val="Heading3"/>
        <w:spacing w:after="80" w:before="200"/>
      </w:pPr>
      <w:r>
        <w:rPr>
          <w:rFonts w:ascii="Times New Roman" w:cs="Times New Roman" w:eastAsia="Times New Roman" w:hAnsi="Times New Roman"/>
          <w:b/>
          <w:bCs/>
          <w:color w:val="1F2937"/>
          <w:sz w:val="26"/>
          <w:szCs w:val="26"/>
        </w:rPr>
        <w:t xml:space="preserve">Exercice 3 — Analyser un conflit passé selon les trois dimensions de Daniels (journal)</w:t>
      </w:r>
    </w:p>
    <w:p>
      <w:pPr>
        <w:spacing w:after="80" w:before="80"/>
      </w:pPr>
      <w:r>
        <w:rPr>
          <w:rFonts w:ascii="Times New Roman" w:cs="Times New Roman" w:eastAsia="Times New Roman" w:hAnsi="Times New Roman"/>
          <w:b w:val="false"/>
          <w:bCs w:val="false"/>
          <w:i w:val="false"/>
          <w:iCs w:val="false"/>
          <w:color w:val="1F2937"/>
          <w:sz w:val="22"/>
          <w:szCs w:val="22"/>
        </w:rPr>
        <w:t xml:space="preserve">Durée estimée : 30-45 minutes.</w:t>
      </w:r>
    </w:p>
    <w:p>
      <w:pPr>
        <w:spacing w:after="80" w:before="80"/>
      </w:pPr>
      <w:r>
        <w:rPr>
          <w:rFonts w:ascii="Times New Roman" w:cs="Times New Roman" w:eastAsia="Times New Roman" w:hAnsi="Times New Roman"/>
          <w:b w:val="false"/>
          <w:bCs w:val="false"/>
          <w:i w:val="false"/>
          <w:iCs w:val="false"/>
          <w:color w:val="1F2937"/>
          <w:sz w:val="22"/>
          <w:szCs w:val="22"/>
        </w:rPr>
        <w:t xml:space="preserve">Objectif : changer de regard sur un conflit passé en passant du blâme à la responsabilité et à la gratitude.</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Déroulé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 Choisis un conflit passé dans une relation significative. Il n'a pas besoin d'être récent.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b) Applique les trois dimensions du modèle de Daniels :</w:t>
      </w:r>
    </w:p>
    <w:p>
      <w:pPr>
        <w:pStyle w:val="ListParagraph"/>
        <w:numPr>
          <w:ilvl w:val="1"/>
          <w:numId w:val="1"/>
        </w:numPr>
        <w:spacing w:after="60" w:before="60"/>
      </w:pPr>
      <w:r>
        <w:rPr>
          <w:rFonts w:ascii="Times New Roman" w:cs="Times New Roman" w:eastAsia="Times New Roman" w:hAnsi="Times New Roman"/>
          <w:color w:val="1F2937"/>
          <w:sz w:val="22"/>
          <w:szCs w:val="22"/>
        </w:rPr>
        <w:t xml:space="preserve">— Ce que j'avais à reconnaître : quelle était ma part dans les difficultés ? Qu'est-ce que mon réflexe défensif a ajouté à la situation ?</w:t>
      </w:r>
    </w:p>
    <w:p>
      <w:pPr>
        <w:pStyle w:val="ListParagraph"/>
        <w:numPr>
          <w:ilvl w:val="1"/>
          <w:numId w:val="1"/>
        </w:numPr>
        <w:spacing w:after="60" w:before="60"/>
      </w:pPr>
      <w:r>
        <w:rPr>
          <w:rFonts w:ascii="Times New Roman" w:cs="Times New Roman" w:eastAsia="Times New Roman" w:hAnsi="Times New Roman"/>
          <w:color w:val="1F2937"/>
          <w:sz w:val="22"/>
          <w:szCs w:val="22"/>
        </w:rPr>
        <w:t xml:space="preserve">— Ce que j'aurais pu apprécier : quelles qualités l'autre apportait-il que j'ai tendance à négliger ou à percevoir comme une menace ?</w:t>
      </w:r>
    </w:p>
    <w:p>
      <w:pPr>
        <w:pStyle w:val="ListParagraph"/>
        <w:numPr>
          <w:ilvl w:val="1"/>
          <w:numId w:val="1"/>
        </w:numPr>
        <w:spacing w:after="60" w:before="60"/>
      </w:pPr>
      <w:r>
        <w:rPr>
          <w:rFonts w:ascii="Times New Roman" w:cs="Times New Roman" w:eastAsia="Times New Roman" w:hAnsi="Times New Roman"/>
          <w:color w:val="1F2937"/>
          <w:sz w:val="22"/>
          <w:szCs w:val="22"/>
        </w:rPr>
        <w:t xml:space="preserve">— La tâche clé que j'ai manquée : quelle évolution cette relation me demandait-elle et que je n'ai pas accomplie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 Rédige une version alternative de la scène : comment aurait-elle pu se dérouler si tu avais répondu à la tâche clé ?</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Corrigé orientatif : la version alternative ne doit pas être idéalisée. Elle doit être réaliste — c'est-à-dire que les émotions difficiles y sont présentes, mais que ton réflexe défensif n'y prend pas le contrôle. La différence clé entre la scène réelle et la version alternative, c'est généralement le moment où tu aurais pu nommer ta peur plutôt que de la laisser piloter ton comportement.</w:t>
      </w:r>
    </w:p>
    <w:p>
      <w:pPr>
        <w:pBdr>
          <w:bottom w:val="single" w:color="1B3A6B" w:sz="6"/>
        </w:pBdr>
        <w:spacing w:after="100" w:before="100"/>
      </w:pPr>
    </w:p>
    <w:p>
      <w:pPr>
        <w:pStyle w:val="Heading2"/>
        <w:spacing w:after="100" w:before="300"/>
      </w:pPr>
      <w:r>
        <w:rPr>
          <w:rFonts w:ascii="Times New Roman" w:cs="Times New Roman" w:eastAsia="Times New Roman" w:hAnsi="Times New Roman"/>
          <w:b/>
          <w:bCs/>
          <w:color w:val="1B3A6B"/>
          <w:sz w:val="30"/>
          <w:szCs w:val="30"/>
        </w:rPr>
        <w:t xml:space="preserve">🎯 Challenge — Construire un protocole de réparation personnalisé</w:t>
      </w:r>
    </w:p>
    <w:p>
      <w:pPr>
        <w:spacing w:after="80" w:before="80"/>
      </w:pPr>
      <w:r>
        <w:rPr>
          <w:rFonts w:ascii="Times New Roman" w:cs="Times New Roman" w:eastAsia="Times New Roman" w:hAnsi="Times New Roman"/>
          <w:b w:val="false"/>
          <w:bCs w:val="false"/>
          <w:i w:val="false"/>
          <w:iCs w:val="false"/>
          <w:color w:val="1F2937"/>
          <w:sz w:val="22"/>
          <w:szCs w:val="22"/>
        </w:rPr>
        <w:t xml:space="preserve">Durée estimée : 45-60 minutes.</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Choisis une relation actuelle dans laquelle des tensions reviennent régulièrement. Travaille en cinq étapes :</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1. Identifier les deux types : le tien et l'hypothèse pour l'autre personne.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2. Rappeler les triades harmoniques de chacun (leçon 16) : comment chaque type gère-t-il les émotions difficiles — stratégie positive/optimiste, compétence/retrait émotionnel, ou intensité/réactivité ? Comment ces deux modes se heurtent-ils dans vos conflits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3. Nommer le cercle de conflit typique : quelle séquence se répète ? (Ex. : « Quand X fait A, je fais B, ce qui provoque A encore plus fort…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4. Construire ton protocole de réparation en cinq étapes (cf. théorie), adapté à cette combinaison spécifique. Pour chaque étape, formule une phrase concrète que tu pourrais réellement dire.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5. Identifier le moment précis dans le cycle de conflit où il serait le plus utile d'intervenir — avant l'escalade, pendant, ou après.</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iCs/>
          <w:color w:val="1F2937"/>
          <w:sz w:val="22"/>
          <w:szCs w:val="22"/>
        </w:rPr>
        <w:t xml:space="preserve">Ce challenge vise à transformer la théorie en outil personnel, ancré dans une relation réelle. C'est l'étape la plus exigeante du parcours parce qu'elle demande à la fois une connaissance du modèle (types, triades, niveaux) et une lucidité personnelle sur ses propres mécanismes.</w:t>
      </w:r>
    </w:p>
    <w:p>
      <w:pPr>
        <w:pBdr>
          <w:bottom w:val="single" w:color="1B3A6B" w:sz="6"/>
        </w:pBdr>
        <w:spacing w:after="100" w:before="100"/>
      </w:pPr>
    </w:p>
    <w:p>
      <w:pPr>
        <w:pStyle w:val="Heading2"/>
        <w:spacing w:after="100" w:before="300"/>
      </w:pPr>
      <w:r>
        <w:rPr>
          <w:rFonts w:ascii="Times New Roman" w:cs="Times New Roman" w:eastAsia="Times New Roman" w:hAnsi="Times New Roman"/>
          <w:b/>
          <w:bCs/>
          <w:color w:val="1B3A6B"/>
          <w:sz w:val="30"/>
          <w:szCs w:val="30"/>
        </w:rPr>
        <w:t xml:space="preserve">🌉 Pont pro (optionnel)</w:t>
      </w:r>
    </w:p>
    <w:p>
      <w:pPr>
        <w:spacing w:after="80" w:before="80"/>
      </w:pPr>
      <w:r>
        <w:rPr>
          <w:rFonts w:ascii="Times New Roman" w:cs="Times New Roman" w:eastAsia="Times New Roman" w:hAnsi="Times New Roman"/>
          <w:b w:val="false"/>
          <w:bCs w:val="false"/>
          <w:i w:val="false"/>
          <w:iCs w:val="false"/>
          <w:color w:val="1F2937"/>
          <w:sz w:val="22"/>
          <w:szCs w:val="22"/>
        </w:rPr>
        <w:t xml:space="preserve">La conscience de ses propres réflexes défensifs — et de la peur qui les sous-tend — est une ressource personnelle pour un chef de service en ESSMS, notamment dans les situations de tension avec les équipes, les familles ou les partenaires institutionnels. Reconnaître son propre cercle de conflit avant qu'il s'emballe est une compétence de régulation qui s'affine avec la pratique.</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iCs/>
          <w:color w:val="6B7280"/>
          <w:sz w:val="22"/>
          <w:szCs w:val="22"/>
        </w:rPr>
        <w:t xml:space="preserve">Rappel (règle D3) : ce que cette leçon apporte est de l'ordre de la préparation personnelle de l'apprenant — non un contenu à transmettre en équipe, ni une grille d'analyse à appliquer sur les personnes accompagnées ou les collègues.</w:t>
      </w:r>
    </w:p>
    <w:p>
      <w:pPr>
        <w:pBdr>
          <w:bottom w:val="single" w:color="1B3A6B" w:sz="6"/>
        </w:pBdr>
        <w:spacing w:after="100" w:before="100"/>
      </w:pPr>
    </w:p>
    <w:p>
      <w:pPr>
        <w:pStyle w:val="Heading2"/>
        <w:spacing w:after="100" w:before="300"/>
      </w:pPr>
      <w:r>
        <w:rPr>
          <w:rFonts w:ascii="Times New Roman" w:cs="Times New Roman" w:eastAsia="Times New Roman" w:hAnsi="Times New Roman"/>
          <w:b/>
          <w:bCs/>
          <w:color w:val="1B3A6B"/>
          <w:sz w:val="30"/>
          <w:szCs w:val="30"/>
        </w:rPr>
        <w:t xml:space="preserve">📚 Ressources</w:t>
      </w:r>
    </w:p>
    <w:p>
      <w:pPr>
        <w:spacing w:after="80" w:before="80"/>
      </w:pPr>
      <w:r>
        <w:rPr>
          <w:rFonts w:ascii="Times New Roman" w:cs="Times New Roman" w:eastAsia="Times New Roman" w:hAnsi="Times New Roman"/>
          <w:b w:val="false"/>
          <w:bCs w:val="false"/>
          <w:i/>
          <w:iCs/>
          <w:color w:val="6B7280"/>
          <w:sz w:val="22"/>
          <w:szCs w:val="22"/>
        </w:rPr>
        <w:t xml:space="preserve">Note préliminaire (règle B1) : les quatre ressources ci-dessous proviennent d'instituts et de praticiens de l'ennéagramme — tous ont un intérêt commercial dans la promotion du modèle. Elles font autorité sur ce que leurs auteurs ont écrit et enseigné ; elles ne constituent pas une validation scientifique indépendante. L'Enneagram Institute est juge et partie dès qu'il s'agit de la validité du modèle.</w:t>
      </w:r>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Sources consultées pendant cette exécution (toutes testées HTTP 200) :</w:t>
      </w:r>
    </w:p>
    <w:p>
      <w:pPr>
        <w:spacing w:after="60" w:before="60"/>
      </w:pPr>
      <w:r>
        <w:rPr>
          <w:rFonts w:ascii="Times New Roman" w:cs="Times New Roman" w:eastAsia="Times New Roman" w:hAnsi="Times New Roman"/>
          <w:color w:val="1F2937"/>
          <w:sz w:val="22"/>
          <w:szCs w:val="22"/>
        </w:rPr>
        <w:t xml:space="preserve">→ </w:t>
      </w:r>
      <w:hyperlink w:history="1" r:id="rIdapfdsipyakyryymdy0xoc">
        <w:r>
          <w:rPr>
            <w:rStyle w:val="Hyperlink"/>
            <w:rFonts w:ascii="Times New Roman" w:cs="Times New Roman" w:eastAsia="Times New Roman" w:hAnsi="Times New Roman"/>
            <w:color w:val="1155CC"/>
            <w:sz w:val="22"/>
            <w:szCs w:val="22"/>
            <w:u w:val="single"/>
          </w:rPr>
          <w:t xml:space="preserve">The Enneagram Institute — Relationships (Type Combinations) : matrice des 45 combinaisons, principe « no pairing is doomed »</w:t>
        </w:r>
      </w:hyperlink>
    </w:p>
    <w:p>
      <w:pPr>
        <w:spacing w:after="60" w:before="60"/>
      </w:pPr>
      <w:r>
        <w:rPr>
          <w:rFonts w:ascii="Times New Roman" w:cs="Times New Roman" w:eastAsia="Times New Roman" w:hAnsi="Times New Roman"/>
          <w:color w:val="1F2937"/>
          <w:sz w:val="22"/>
          <w:szCs w:val="22"/>
        </w:rPr>
        <w:t xml:space="preserve">→ </w:t>
      </w:r>
      <w:hyperlink w:history="1" r:id="rIdz-fvo2dcq9jo72ngof-92">
        <w:r>
          <w:rPr>
            <w:rStyle w:val="Hyperlink"/>
            <w:rFonts w:ascii="Times New Roman" w:cs="Times New Roman" w:eastAsia="Times New Roman" w:hAnsi="Times New Roman"/>
            <w:color w:val="1155CC"/>
            <w:sz w:val="22"/>
            <w:szCs w:val="22"/>
            <w:u w:val="single"/>
          </w:rPr>
          <w:t xml:space="preserve">Dr. David Daniels — Enneagram Types in Relationship : modèle en trois dimensions (reconnaître / apprécier / tâche clé), cercles de conflit</w:t>
        </w:r>
      </w:hyperlink>
    </w:p>
    <w:p>
      <w:pPr>
        <w:spacing w:after="60" w:before="60"/>
      </w:pPr>
      <w:r>
        <w:rPr>
          <w:rFonts w:ascii="Times New Roman" w:cs="Times New Roman" w:eastAsia="Times New Roman" w:hAnsi="Times New Roman"/>
          <w:color w:val="1F2937"/>
          <w:sz w:val="22"/>
          <w:szCs w:val="22"/>
        </w:rPr>
        <w:t xml:space="preserve">→ </w:t>
      </w:r>
      <w:hyperlink w:history="1" r:id="rIdyffiyqckj4f55xhrb01ih">
        <w:r>
          <w:rPr>
            <w:rStyle w:val="Hyperlink"/>
            <w:rFonts w:ascii="Times New Roman" w:cs="Times New Roman" w:eastAsia="Times New Roman" w:hAnsi="Times New Roman"/>
            <w:color w:val="1155CC"/>
            <w:sz w:val="22"/>
            <w:szCs w:val="22"/>
            <w:u w:val="single"/>
          </w:rPr>
          <w:t xml:space="preserve">9takes — Enneagram Types in Relationships: How Each Type Loves, Fights, and Repairs : réflexes défensifs par type, protocole de réparation en cinq étapes</w:t>
        </w:r>
      </w:hyperlink>
    </w:p>
    <w:p>
      <w:pPr>
        <w:spacing w:after="60" w:before="60"/>
      </w:pPr>
      <w:r>
        <w:rPr>
          <w:rFonts w:ascii="Times New Roman" w:cs="Times New Roman" w:eastAsia="Times New Roman" w:hAnsi="Times New Roman"/>
          <w:color w:val="1F2937"/>
          <w:sz w:val="22"/>
          <w:szCs w:val="22"/>
        </w:rPr>
        <w:t xml:space="preserve">→ </w:t>
      </w:r>
      <w:hyperlink w:history="1" r:id="rIdxsudrhdvtkqx3hgcp_ghu">
        <w:r>
          <w:rPr>
            <w:rStyle w:val="Hyperlink"/>
            <w:rFonts w:ascii="Times New Roman" w:cs="Times New Roman" w:eastAsia="Times New Roman" w:hAnsi="Times New Roman"/>
            <w:color w:val="1155CC"/>
            <w:sz w:val="22"/>
            <w:szCs w:val="22"/>
            <w:u w:val="single"/>
          </w:rPr>
          <w:t xml:space="preserve">Growing Self (Dr. Lisa Marie Bobby, LMFT) — Enneagram Types and Relationships: Is Your Personality Compatible with Your Partner's? : compatibilité, conflit, croissance (publié janvier 2026)</w:t>
        </w:r>
      </w:hyperlink>
    </w:p>
    <w:p>
      <w:pPr>
        <w:spacing w:after="80" w:before="80"/>
      </w:pPr>
      <w:r>
        <w:rPr>
          <w:rFonts w:ascii="Times New Roman" w:cs="Times New Roman" w:eastAsia="Times New Roman" w:hAnsi="Times New Roman"/>
          <w:b w:val="false"/>
          <w:bCs w:val="false"/>
          <w:i w:val="false"/>
          <w:iCs w:val="false"/>
          <w:color w:val="1F2937"/>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Sources inaccessibles lors de cette exécution :</w:t>
      </w:r>
    </w:p>
    <w:p>
      <w:pPr>
        <w:spacing w:after="80" w:before="80"/>
      </w:pPr>
      <w:r>
        <w:rPr>
          <w:rFonts w:ascii="Times New Roman" w:cs="Times New Roman" w:eastAsia="Times New Roman" w:hAnsi="Times New Roman"/>
          <w:b w:val="false"/>
          <w:bCs w:val="false"/>
          <w:i w:val="false"/>
          <w:iCs w:val="false"/>
          <w:color w:val="1F2937"/>
          <w:sz w:val="22"/>
          <w:szCs w:val="22"/>
        </w:rPr>
        <w:t xml:space="preserve">⛔ thenarrativeenneagram.org/enneagram-and-relationships — 404 lors du fetch.</w:t>
      </w:r>
    </w:p>
    <w:p>
      <w:pPr>
        <w:spacing w:after="80" w:before="80"/>
      </w:pPr>
      <w:r>
        <w:rPr>
          <w:rFonts w:ascii="Times New Roman" w:cs="Times New Roman" w:eastAsia="Times New Roman" w:hAnsi="Times New Roman"/>
          <w:b w:val="false"/>
          <w:bCs w:val="false"/>
          <w:i w:val="false"/>
          <w:iCs w:val="false"/>
          <w:color w:val="1F2937"/>
          <w:sz w:val="22"/>
          <w:szCs w:val="22"/>
        </w:rPr>
        <w:t xml:space="preserve">⛔ integrative9.com/enneagram/relationships — 404 lors du fetch.</w:t>
      </w:r>
    </w:p>
    <w:p>
      <w:pPr>
        <w:spacing w:after="80" w:before="80"/>
      </w:pPr>
      <w:r>
        <w:rPr>
          <w:rFonts w:ascii="Times New Roman" w:cs="Times New Roman" w:eastAsia="Times New Roman" w:hAnsi="Times New Roman"/>
          <w:b w:val="false"/>
          <w:bCs w:val="false"/>
          <w:i w:val="false"/>
          <w:iCs w:val="false"/>
          <w:color w:val="1F2937"/>
          <w:sz w:val="22"/>
          <w:szCs w:val="22"/>
        </w:rPr>
        <w:t xml:space="preserve">⛔ enneagramadventures.com/enneagram-relationships — timeout lors du fetch.</w:t>
      </w:r>
    </w:p>
    <w:p>
      <w:pPr>
        <w:pBdr>
          <w:bottom w:val="single" w:color="1B3A6B" w:sz="6"/>
        </w:pBdr>
        <w:spacing w:after="100" w:before="100"/>
      </w:pPr>
    </w:p>
    <w:p>
      <w:pPr>
        <w:pStyle w:val="Heading2"/>
        <w:spacing w:after="100" w:before="300"/>
      </w:pPr>
      <w:r>
        <w:rPr>
          <w:rFonts w:ascii="Times New Roman" w:cs="Times New Roman" w:eastAsia="Times New Roman" w:hAnsi="Times New Roman"/>
          <w:b/>
          <w:bCs/>
          <w:color w:val="1B3A6B"/>
          <w:sz w:val="30"/>
          <w:szCs w:val="30"/>
        </w:rPr>
        <w:t xml:space="preserve">🔜 Prochaine leçon</w:t>
      </w:r>
    </w:p>
    <w:p>
      <w:pPr>
        <w:spacing w:after="80" w:before="80"/>
      </w:pPr>
      <w:r>
        <w:rPr>
          <w:rFonts w:ascii="Times New Roman" w:cs="Times New Roman" w:eastAsia="Times New Roman" w:hAnsi="Times New Roman"/>
          <w:b w:val="false"/>
          <w:bCs w:val="false"/>
          <w:i w:val="false"/>
          <w:iCs w:val="false"/>
          <w:color w:val="1F2937"/>
          <w:sz w:val="22"/>
          <w:szCs w:val="22"/>
        </w:rPr>
        <w:t xml:space="preserve">Leçon 18 / 20 — L'ennéagramme en contexte professionnel : usages légitimes, dérives à éviter, et pourquoi il n'a pas sa place dans un recrutement ou une évaluation.</w:t>
      </w:r>
    </w:p>
    <w:p>
      <w:pPr>
        <w:spacing w:after="80" w:before="80"/>
      </w:pPr>
      <w:r>
        <w:rPr>
          <w:rFonts w:ascii="Times New Roman" w:cs="Times New Roman" w:eastAsia="Times New Roman" w:hAnsi="Times New Roman"/>
          <w:b w:val="false"/>
          <w:bCs w:val="false"/>
          <w:i/>
          <w:iCs/>
          <w:color w:val="1F2937"/>
          <w:sz w:val="22"/>
          <w:szCs w:val="22"/>
        </w:rPr>
        <w:t xml:space="preserve">Cette leçon fermera la boucle sur les usages du modèle en milieu de travail, en distinguant ce qui relève du développement personnel de ce qui constitue une dérive instrumentale — particulièrement importante dans le contexte médico-social.</w:t>
      </w:r>
    </w:p>
    <w:sectPr>
      <w:pgSz w:w="11906" w:h="16838" w:orient="portrait"/>
      <w:pgMar w:top="1133" w:right="1417" w:bottom="1133"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pfdsipyakyryymdy0xoc" Type="http://schemas.openxmlformats.org/officeDocument/2006/relationships/hyperlink" Target="https://www.enneagraminstitute.com/the-enneagram-type-combinations/" TargetMode="External"/><Relationship Id="rIdz-fvo2dcq9jo72ngof-92" Type="http://schemas.openxmlformats.org/officeDocument/2006/relationships/hyperlink" Target="https://drdaviddaniels.com/enneagram-types-in-relationship/" TargetMode="External"/><Relationship Id="rIdyffiyqckj4f55xhrb01ih" Type="http://schemas.openxmlformats.org/officeDocument/2006/relationships/hyperlink" Target="https://9takes.com/enneagram-corner/enneagram-types-in-relationships" TargetMode="External"/><Relationship Id="rIdxsudrhdvtkqx3hgcp_ghu" Type="http://schemas.openxmlformats.org/officeDocument/2006/relationships/hyperlink" Target="https://www.growingself.com/enneagram-types-relationship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2026-09-23T07:07:20.318Z</dcterms:created>
  <dcterms:modified xsi:type="dcterms:W3CDTF">2026-09-23T07:07:20.507Z</dcterms:modified>
</cp:coreProperties>
</file>

<file path=docProps/custom.xml><?xml version="1.0" encoding="utf-8"?>
<Properties xmlns="http://schemas.openxmlformats.org/officeDocument/2006/custom-properties" xmlns:vt="http://schemas.openxmlformats.org/officeDocument/2006/docPropsVTypes"/>
</file>