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rFonts w:ascii="Times New Roman" w:cs="Times New Roman" w:eastAsia="Times New Roman" w:hAnsi="Times New Roman"/>
          <w:b/>
          <w:bCs/>
          <w:i w:val="false"/>
          <w:iCs w:val="false"/>
          <w:color w:val="1B3A6B"/>
          <w:sz w:val="52"/>
          <w:szCs w:val="52"/>
        </w:rPr>
        <w:t xml:space="preserve">Leçon Entretien Motivationnel n°06 — Discordance et situations difficiles</w:t>
      </w:r>
    </w:p>
    <w:p>
      <w:pPr>
        <w:spacing w:after="240"/>
        <w:jc w:val="center"/>
      </w:pPr>
      <w:r>
        <w:rPr>
          <w:rFonts w:ascii="Times New Roman" w:cs="Times New Roman" w:eastAsia="Times New Roman" w:hAnsi="Times New Roman"/>
          <w:b w:val="false"/>
          <w:bCs w:val="false"/>
          <w:i/>
          <w:iCs/>
          <w:color w:val="1B3A6B"/>
          <w:sz w:val="22"/>
          <w:szCs w:val="22"/>
        </w:rPr>
        <w:t xml:space="preserve">13 juillet 2026 · Module Fondamental — leçon 06</w:t>
      </w:r>
    </w:p>
    <w:p>
      <w:pPr>
        <w:spacing w:after="120" w:before="260"/>
      </w:pPr>
      <w:r>
        <w:rPr>
          <w:rFonts w:ascii="Times New Roman" w:cs="Times New Roman" w:eastAsia="Times New Roman" w:hAnsi="Times New Roman"/>
          <w:b/>
          <w:bCs/>
          <w:i w:val="false"/>
          <w:iCs w:val="false"/>
          <w:color w:val="1B3A6B"/>
          <w:sz w:val="30"/>
          <w:szCs w:val="30"/>
        </w:rPr>
        <w:t xml:space="preserve">🎯 Objectif &amp; continuité</w:t>
      </w:r>
    </w:p>
    <w:p>
      <w:pPr>
        <w:spacing w:after="120"/>
      </w:pPr>
      <w:r>
        <w:rPr>
          <w:rFonts w:ascii="Times New Roman" w:cs="Times New Roman" w:eastAsia="Times New Roman" w:hAnsi="Times New Roman"/>
          <w:b w:val="false"/>
          <w:bCs w:val="false"/>
          <w:i w:val="false"/>
          <w:iCs w:val="false"/>
          <w:color w:val="1F2937"/>
          <w:sz w:val="22"/>
          <w:szCs w:val="22"/>
        </w:rPr>
        <w:t xml:space="preserve">À la fin de cette leçon, tu sauras réagir à la discordance dans la relation (ce qu'on appelait « résistance »), composer avec les situations difficiles, et situer l'EM sur le plan éthique.</w:t>
      </w:r>
    </w:p>
    <w:p>
      <w:pPr>
        <w:spacing w:after="120"/>
      </w:pPr>
      <w:r>
        <w:rPr>
          <w:rFonts w:ascii="Times New Roman" w:cs="Times New Roman" w:eastAsia="Times New Roman" w:hAnsi="Times New Roman"/>
          <w:b w:val="false"/>
          <w:bCs w:val="false"/>
          <w:i w:val="false"/>
          <w:iCs w:val="false"/>
          <w:color w:val="1F2937"/>
          <w:sz w:val="22"/>
          <w:szCs w:val="22"/>
        </w:rPr>
        <w:t xml:space="preserve">Rappel de continuité : </w:t>
      </w:r>
      <w:r>
        <w:rPr>
          <w:rFonts w:ascii="Times New Roman" w:cs="Times New Roman" w:eastAsia="Times New Roman" w:hAnsi="Times New Roman"/>
          <w:b w:val="false"/>
          <w:bCs w:val="false"/>
          <w:i w:val="false"/>
          <w:iCs w:val="false"/>
          <w:color w:val="1F2937"/>
          <w:sz w:val="22"/>
          <w:szCs w:val="22"/>
        </w:rPr>
        <w:t xml:space="preserve">après la structure (n°03), les outils (n°04) et l'évocation (n°05), cette leçon clôt le socle fondamental en traitant les </w:t>
      </w:r>
      <w:r>
        <w:rPr>
          <w:rFonts w:ascii="Times New Roman" w:cs="Times New Roman" w:eastAsia="Times New Roman" w:hAnsi="Times New Roman"/>
          <w:b/>
          <w:bCs/>
          <w:i w:val="false"/>
          <w:iCs w:val="false"/>
          <w:color w:val="1F2937"/>
          <w:sz w:val="22"/>
          <w:szCs w:val="22"/>
        </w:rPr>
        <w:t xml:space="preserve">moments de friction</w:t>
      </w:r>
      <w:r>
        <w:rPr>
          <w:rFonts w:ascii="Times New Roman" w:cs="Times New Roman" w:eastAsia="Times New Roman" w:hAnsi="Times New Roman"/>
          <w:b w:val="false"/>
          <w:bCs w:val="false"/>
          <w:i w:val="false"/>
          <w:iCs w:val="false"/>
          <w:color w:val="1F2937"/>
          <w:sz w:val="22"/>
          <w:szCs w:val="22"/>
        </w:rPr>
        <w:t xml:space="preserve"> et la déontologie.</w:t>
      </w:r>
    </w:p>
    <w:p>
      <w:pPr>
        <w:spacing w:after="120" w:before="260"/>
      </w:pPr>
      <w:r>
        <w:rPr>
          <w:rFonts w:ascii="Times New Roman" w:cs="Times New Roman" w:eastAsia="Times New Roman" w:hAnsi="Times New Roman"/>
          <w:b/>
          <w:bCs/>
          <w:i w:val="false"/>
          <w:iCs w:val="false"/>
          <w:color w:val="1B3A6B"/>
          <w:sz w:val="30"/>
          <w:szCs w:val="30"/>
        </w:rPr>
        <w:t xml:space="preserve">🔬 Théorie (20%)</w:t>
      </w:r>
    </w:p>
    <w:p>
      <w:pPr>
        <w:spacing w:after="80" w:before="160"/>
      </w:pPr>
      <w:r>
        <w:rPr>
          <w:rFonts w:ascii="Times New Roman" w:cs="Times New Roman" w:eastAsia="Times New Roman" w:hAnsi="Times New Roman"/>
          <w:b/>
          <w:bCs/>
          <w:i w:val="false"/>
          <w:iCs w:val="false"/>
          <w:color w:val="1F2937"/>
          <w:sz w:val="26"/>
          <w:szCs w:val="26"/>
        </w:rPr>
        <w:t xml:space="preserve">De la « résistance » à la discordance</w:t>
      </w:r>
    </w:p>
    <w:p>
      <w:pPr>
        <w:spacing w:after="120"/>
      </w:pPr>
      <w:r>
        <w:rPr>
          <w:rFonts w:ascii="Times New Roman" w:cs="Times New Roman" w:eastAsia="Times New Roman" w:hAnsi="Times New Roman"/>
          <w:b w:val="false"/>
          <w:bCs w:val="false"/>
          <w:i w:val="false"/>
          <w:iCs w:val="false"/>
          <w:color w:val="1F2937"/>
          <w:sz w:val="22"/>
          <w:szCs w:val="22"/>
        </w:rPr>
        <w:t xml:space="preserve">L'EM moderne abandonne la notion de « résistance » (qui blâme la personne) au profit de la discordance : un signal sur l'état de la relation, souvent provoqué par un excès de réflexe correcteur ou un cap fixé trop vite. La discordance est une information, pas un affront.</w:t>
      </w:r>
    </w:p>
    <w:p>
      <w:pPr>
        <w:spacing w:after="80"/>
        <w:ind w:left="360" w:hanging="220"/>
      </w:pPr>
      <w:r>
        <w:rPr>
          <w:rFonts w:ascii="Times New Roman" w:cs="Times New Roman" w:eastAsia="Times New Roman" w:hAnsi="Times New Roman"/>
          <w:b w:val="false"/>
          <w:bCs w:val="false"/>
          <w:i w:val="false"/>
          <w:iCs w:val="false"/>
          <w:color w:val="1F2937"/>
          <w:sz w:val="22"/>
          <w:szCs w:val="22"/>
        </w:rPr>
        <w:t xml:space="preserve">•  </w:t>
      </w:r>
      <w:r>
        <w:rPr>
          <w:rFonts w:ascii="Times New Roman" w:cs="Times New Roman" w:eastAsia="Times New Roman" w:hAnsi="Times New Roman"/>
          <w:b/>
          <w:bCs/>
          <w:i w:val="false"/>
          <w:iCs w:val="false"/>
          <w:color w:val="1F2937"/>
          <w:sz w:val="22"/>
          <w:szCs w:val="22"/>
        </w:rPr>
        <w:t xml:space="preserve">Signes de discordance : </w:t>
      </w:r>
      <w:r>
        <w:rPr>
          <w:rFonts w:ascii="Times New Roman" w:cs="Times New Roman" w:eastAsia="Times New Roman" w:hAnsi="Times New Roman"/>
          <w:b w:val="false"/>
          <w:bCs w:val="false"/>
          <w:i w:val="false"/>
          <w:iCs w:val="false"/>
          <w:color w:val="1F2937"/>
          <w:sz w:val="22"/>
          <w:szCs w:val="22"/>
        </w:rPr>
        <w:t xml:space="preserve">interruption, argumentation, désengagement, minimisation.</w:t>
      </w:r>
    </w:p>
    <w:p>
      <w:pPr>
        <w:spacing w:after="80"/>
        <w:ind w:left="360" w:hanging="220"/>
      </w:pPr>
      <w:r>
        <w:rPr>
          <w:rFonts w:ascii="Times New Roman" w:cs="Times New Roman" w:eastAsia="Times New Roman" w:hAnsi="Times New Roman"/>
          <w:b w:val="false"/>
          <w:bCs w:val="false"/>
          <w:i w:val="false"/>
          <w:iCs w:val="false"/>
          <w:color w:val="1F2937"/>
          <w:sz w:val="22"/>
          <w:szCs w:val="22"/>
        </w:rPr>
        <w:t xml:space="preserve">•  </w:t>
      </w:r>
      <w:r>
        <w:rPr>
          <w:rFonts w:ascii="Times New Roman" w:cs="Times New Roman" w:eastAsia="Times New Roman" w:hAnsi="Times New Roman"/>
          <w:b/>
          <w:bCs/>
          <w:i w:val="false"/>
          <w:iCs w:val="false"/>
          <w:color w:val="1F2937"/>
          <w:sz w:val="22"/>
          <w:szCs w:val="22"/>
        </w:rPr>
        <w:t xml:space="preserve">Réponses utiles : </w:t>
      </w:r>
      <w:r>
        <w:rPr>
          <w:rFonts w:ascii="Times New Roman" w:cs="Times New Roman" w:eastAsia="Times New Roman" w:hAnsi="Times New Roman"/>
          <w:b w:val="false"/>
          <w:bCs w:val="false"/>
          <w:i w:val="false"/>
          <w:iCs w:val="false"/>
          <w:color w:val="1F2937"/>
          <w:sz w:val="22"/>
          <w:szCs w:val="22"/>
        </w:rPr>
        <w:t xml:space="preserve">refléter (surtout les reflets d'émotion), s'excuser/recadrer, souligner l'autonomie de la personne, changer d'orientation. Jamais forcer.</w:t>
      </w:r>
    </w:p>
    <w:p>
      <w:pPr>
        <w:pBdr>
          <w:left w:val="single" w:color="1B3A6B" w:sz="18" w:space="8"/>
        </w:pBdr>
        <w:shd w:fill="EEF2F7"/>
        <w:spacing w:after="140" w:before="100"/>
        <w:ind w:left="360"/>
      </w:pPr>
      <w:r>
        <w:rPr>
          <w:rFonts w:ascii="Times New Roman" w:cs="Times New Roman" w:eastAsia="Times New Roman" w:hAnsi="Times New Roman"/>
          <w:b w:val="false"/>
          <w:bCs w:val="false"/>
          <w:i/>
          <w:iCs/>
          <w:color w:val="1B3A6B"/>
          <w:sz w:val="22"/>
          <w:szCs w:val="22"/>
        </w:rPr>
        <w:t xml:space="preserve">Quand la friction monte, ce n'est pas le moment de pousser plus fort : c'est le signe qu'il faut revenir à l'engagement.</w:t>
      </w:r>
      <w:r>
        <w:rPr>
          <w:rFonts w:ascii="Times New Roman" w:cs="Times New Roman" w:eastAsia="Times New Roman" w:hAnsi="Times New Roman"/>
          <w:b w:val="false"/>
          <w:bCs w:val="false"/>
          <w:i/>
          <w:iCs/>
          <w:color w:val="1B3A6B"/>
          <w:sz w:val="20"/>
          <w:szCs w:val="20"/>
        </w:rPr>
        <w:t xml:space="preserve">  — Composer avec la discordance</w:t>
      </w:r>
    </w:p>
    <w:p>
      <w:pPr>
        <w:spacing w:after="80" w:before="160"/>
      </w:pPr>
      <w:r>
        <w:rPr>
          <w:rFonts w:ascii="Times New Roman" w:cs="Times New Roman" w:eastAsia="Times New Roman" w:hAnsi="Times New Roman"/>
          <w:b/>
          <w:bCs/>
          <w:i w:val="false"/>
          <w:iCs w:val="false"/>
          <w:color w:val="1F2937"/>
          <w:sz w:val="26"/>
          <w:szCs w:val="26"/>
        </w:rPr>
        <w:t xml:space="preserve">L'éthique : l'EM n'est pas de la manipulation</w:t>
      </w:r>
    </w:p>
    <w:p>
      <w:pPr>
        <w:spacing w:after="120"/>
      </w:pPr>
      <w:r>
        <w:rPr>
          <w:rFonts w:ascii="Times New Roman" w:cs="Times New Roman" w:eastAsia="Times New Roman" w:hAnsi="Times New Roman"/>
          <w:b w:val="false"/>
          <w:bCs w:val="false"/>
          <w:i w:val="false"/>
          <w:iCs w:val="false"/>
          <w:color w:val="1F2937"/>
          <w:sz w:val="22"/>
          <w:szCs w:val="22"/>
        </w:rPr>
        <w:t xml:space="preserve">L'EM fait émerger les motivations PROPRES de la personne, au service de SES objectifs, dans le respect de son autonomie. Utiliser ces techniques pour amener quelqu'un là où IL ne veut pas aller trahit l'esprit (PACE) et devient de la manipulation. L'intention et la transparence font la différence. Rappel : la maîtrise réelle suppose pratique supervisée et formation certifiée (MINT/AFDEM).</w:t>
      </w:r>
    </w:p>
    <w:p>
      <w:pPr>
        <w:spacing w:after="120" w:before="260"/>
      </w:pPr>
      <w:r>
        <w:rPr>
          <w:rFonts w:ascii="Times New Roman" w:cs="Times New Roman" w:eastAsia="Times New Roman" w:hAnsi="Times New Roman"/>
          <w:b/>
          <w:bCs/>
          <w:i w:val="false"/>
          <w:iCs w:val="false"/>
          <w:color w:val="1B3A6B"/>
          <w:sz w:val="30"/>
          <w:szCs w:val="30"/>
        </w:rPr>
        <w:t xml:space="preserve">🛠️ Pratique (80%)</w:t>
      </w:r>
    </w:p>
    <w:p>
      <w:pPr>
        <w:spacing w:after="80" w:before="160"/>
      </w:pPr>
      <w:r>
        <w:rPr>
          <w:rFonts w:ascii="Times New Roman" w:cs="Times New Roman" w:eastAsia="Times New Roman" w:hAnsi="Times New Roman"/>
          <w:b/>
          <w:bCs/>
          <w:i w:val="false"/>
          <w:iCs w:val="false"/>
          <w:color w:val="1F2937"/>
          <w:sz w:val="26"/>
          <w:szCs w:val="26"/>
        </w:rPr>
        <w:t xml:space="preserve">Exercice 1 — Lire la discordance</w:t>
      </w:r>
    </w:p>
    <w:p>
      <w:pPr>
        <w:spacing w:after="120"/>
      </w:pPr>
      <w:r>
        <w:rPr>
          <w:rFonts w:ascii="Times New Roman" w:cs="Times New Roman" w:eastAsia="Times New Roman" w:hAnsi="Times New Roman"/>
          <w:b w:val="false"/>
          <w:bCs w:val="false"/>
          <w:i w:val="false"/>
          <w:iCs w:val="false"/>
          <w:color w:val="1F2937"/>
          <w:sz w:val="22"/>
          <w:szCs w:val="22"/>
        </w:rPr>
        <w:t xml:space="preserve">À partir de 5 réactions (« Vous ne comprenez pas ma situation », silence, changement de sujet…), identifie ce que le signal dit de la relation et écris une réponse qui apaise (reflet, autonomie) plutôt qu'elle n'insiste.</w:t>
      </w:r>
    </w:p>
    <w:p>
      <w:pPr>
        <w:spacing w:after="80" w:before="160"/>
      </w:pPr>
      <w:r>
        <w:rPr>
          <w:rFonts w:ascii="Times New Roman" w:cs="Times New Roman" w:eastAsia="Times New Roman" w:hAnsi="Times New Roman"/>
          <w:b/>
          <w:bCs/>
          <w:i w:val="false"/>
          <w:iCs w:val="false"/>
          <w:color w:val="1F2937"/>
          <w:sz w:val="26"/>
          <w:szCs w:val="26"/>
        </w:rPr>
        <w:t xml:space="preserve">Exercice 2 — Le test éthique</w:t>
      </w:r>
    </w:p>
    <w:p>
      <w:pPr>
        <w:spacing w:after="120"/>
      </w:pPr>
      <w:r>
        <w:rPr>
          <w:rFonts w:ascii="Times New Roman" w:cs="Times New Roman" w:eastAsia="Times New Roman" w:hAnsi="Times New Roman"/>
          <w:b w:val="false"/>
          <w:bCs w:val="false"/>
          <w:i w:val="false"/>
          <w:iCs w:val="false"/>
          <w:color w:val="1F2937"/>
          <w:sz w:val="22"/>
          <w:szCs w:val="22"/>
        </w:rPr>
        <w:t xml:space="preserve">Prends 3 situations où tu utiliserais l'EM. Pour chacune, réponds honnêtement : est-ce au service des objectifs de la PERSONNE, ou des miens ? Si c'est des miens, réécris l'intention. Cet auto-examen est le garde-fou central de la pratique.</w:t>
      </w:r>
    </w:p>
    <w:p>
      <w:pPr>
        <w:spacing w:after="80" w:before="160"/>
      </w:pPr>
      <w:r>
        <w:rPr>
          <w:rFonts w:ascii="Times New Roman" w:cs="Times New Roman" w:eastAsia="Times New Roman" w:hAnsi="Times New Roman"/>
          <w:b/>
          <w:bCs/>
          <w:i w:val="false"/>
          <w:iCs w:val="false"/>
          <w:color w:val="1F2937"/>
          <w:sz w:val="26"/>
          <w:szCs w:val="26"/>
        </w:rPr>
        <w:t xml:space="preserve">Exercice 3 — Jeu de rôle de désescalade</w:t>
      </w:r>
    </w:p>
    <w:p>
      <w:pPr>
        <w:spacing w:after="120"/>
      </w:pPr>
      <w:r>
        <w:rPr>
          <w:rFonts w:ascii="Times New Roman" w:cs="Times New Roman" w:eastAsia="Times New Roman" w:hAnsi="Times New Roman"/>
          <w:b w:val="false"/>
          <w:bCs w:val="false"/>
          <w:i w:val="false"/>
          <w:iCs w:val="false"/>
          <w:color w:val="1F2937"/>
          <w:sz w:val="22"/>
          <w:szCs w:val="22"/>
        </w:rPr>
        <w:t xml:space="preserve">Écris un échange (8 répliques) où la friction monte puis redescend uniquement grâce à des reflets et au soulignement de l'autonomie (« C'est vous qui décidez »). Note le moment de bascule.</w:t>
      </w:r>
    </w:p>
    <w:p>
      <w:pPr>
        <w:spacing w:after="120" w:before="260"/>
      </w:pPr>
      <w:r>
        <w:rPr>
          <w:rFonts w:ascii="Times New Roman" w:cs="Times New Roman" w:eastAsia="Times New Roman" w:hAnsi="Times New Roman"/>
          <w:b/>
          <w:bCs/>
          <w:i w:val="false"/>
          <w:iCs w:val="false"/>
          <w:color w:val="1B3A6B"/>
          <w:sz w:val="30"/>
          <w:szCs w:val="30"/>
        </w:rPr>
        <w:t xml:space="preserve">🎯 Challenge</w:t>
      </w:r>
    </w:p>
    <w:p>
      <w:pPr>
        <w:spacing w:after="120"/>
      </w:pPr>
      <w:r>
        <w:rPr>
          <w:rFonts w:ascii="Times New Roman" w:cs="Times New Roman" w:eastAsia="Times New Roman" w:hAnsi="Times New Roman"/>
          <w:b w:val="false"/>
          <w:bCs w:val="false"/>
          <w:i w:val="false"/>
          <w:iCs w:val="false"/>
          <w:color w:val="1F2937"/>
          <w:sz w:val="22"/>
          <w:szCs w:val="22"/>
        </w:rPr>
        <w:t xml:space="preserve">Rédige ta « charte EM personnelle » (8-10 lignes) : ce que tu t'engages à faire (écouter l'ambivalence, évoquer, respecter l'autonomie) et à NE PAS faire (réflexe correcteur, manipulation, planifier trop tôt). Cette charte synthétise tout le module fondamental (leçons 01→06).</w:t>
      </w:r>
    </w:p>
    <w:p>
      <w:pPr>
        <w:spacing w:after="120" w:before="260"/>
      </w:pPr>
      <w:r>
        <w:rPr>
          <w:rFonts w:ascii="Times New Roman" w:cs="Times New Roman" w:eastAsia="Times New Roman" w:hAnsi="Times New Roman"/>
          <w:b/>
          <w:bCs/>
          <w:i w:val="false"/>
          <w:iCs w:val="false"/>
          <w:color w:val="1B3A6B"/>
          <w:sz w:val="30"/>
          <w:szCs w:val="30"/>
        </w:rPr>
        <w:t xml:space="preserve">🌉 Pont pro (ESSMS)</w:t>
      </w:r>
    </w:p>
    <w:p>
      <w:pPr>
        <w:spacing w:after="120"/>
      </w:pPr>
      <w:r>
        <w:rPr>
          <w:rFonts w:ascii="Times New Roman" w:cs="Times New Roman" w:eastAsia="Times New Roman" w:hAnsi="Times New Roman"/>
          <w:b w:val="false"/>
          <w:bCs w:val="false"/>
          <w:i w:val="false"/>
          <w:iCs w:val="false"/>
          <w:color w:val="1F2937"/>
          <w:sz w:val="22"/>
          <w:szCs w:val="22"/>
        </w:rPr>
        <w:t xml:space="preserve">Discordance et éthique sont au cœur du métier de chef de service : lire un désengagement d'équipe comme un signal relationnel (non comme de la mauvaise volonté), et veiller à ce que la posture motivationnelle serve la personne accompagnée — respect de l'autodétermination — et jamais une adhésion forcée.</w:t>
      </w:r>
    </w:p>
    <w:p>
      <w:pPr>
        <w:spacing w:after="120" w:before="260"/>
      </w:pPr>
      <w:r>
        <w:rPr>
          <w:rFonts w:ascii="Times New Roman" w:cs="Times New Roman" w:eastAsia="Times New Roman" w:hAnsi="Times New Roman"/>
          <w:b/>
          <w:bCs/>
          <w:i w:val="false"/>
          <w:iCs w:val="false"/>
          <w:color w:val="1B3A6B"/>
          <w:sz w:val="30"/>
          <w:szCs w:val="30"/>
        </w:rPr>
        <w:t xml:space="preserve">📚 Ressources cliquables</w:t>
      </w:r>
    </w:p>
    <w:p>
      <w:pPr>
        <w:spacing w:after="80"/>
        <w:ind w:left="360" w:hanging="220"/>
      </w:pPr>
      <w:r>
        <w:rPr>
          <w:rFonts w:ascii="Times New Roman" w:cs="Times New Roman" w:eastAsia="Times New Roman" w:hAnsi="Times New Roman"/>
          <w:b w:val="false"/>
          <w:bCs w:val="false"/>
          <w:i w:val="false"/>
          <w:iCs w:val="false"/>
          <w:color w:val="1F2937"/>
          <w:sz w:val="22"/>
          <w:szCs w:val="22"/>
        </w:rPr>
        <w:t xml:space="preserve">•  </w:t>
      </w:r>
      <w:hyperlink w:history="1" r:id="rIdgvvmxhy_bt0keswg8rwor">
        <w:r>
          <w:rPr>
            <w:rFonts w:ascii="Times New Roman" w:cs="Times New Roman" w:eastAsia="Times New Roman" w:hAnsi="Times New Roman"/>
            <w:b w:val="false"/>
            <w:bCs w:val="false"/>
            <w:i w:val="false"/>
            <w:iCs w:val="false"/>
            <w:color w:val="1155CC"/>
            <w:sz w:val="22"/>
            <w:szCs w:val="22"/>
            <w:u w:val="single"/>
          </w:rPr>
          <w:t xml:space="preserve">Motivational interviewing — Wikipedia</w:t>
        </w:r>
      </w:hyperlink>
      <w:r>
        <w:rPr>
          <w:rFonts w:ascii="Times New Roman" w:cs="Times New Roman" w:eastAsia="Times New Roman" w:hAnsi="Times New Roman"/>
          <w:b w:val="false"/>
          <w:bCs w:val="false"/>
          <w:i w:val="false"/>
          <w:iCs w:val="false"/>
          <w:color w:val="1F2937"/>
          <w:sz w:val="22"/>
          <w:szCs w:val="22"/>
        </w:rPr>
        <w:t xml:space="preserve"> — vue d'ensemble : esprit, processus, OARS (EN)</w:t>
      </w:r>
    </w:p>
    <w:p>
      <w:pPr>
        <w:spacing w:after="80"/>
        <w:ind w:left="360" w:hanging="220"/>
      </w:pPr>
      <w:r>
        <w:rPr>
          <w:rFonts w:ascii="Times New Roman" w:cs="Times New Roman" w:eastAsia="Times New Roman" w:hAnsi="Times New Roman"/>
          <w:b w:val="false"/>
          <w:bCs w:val="false"/>
          <w:i w:val="false"/>
          <w:iCs w:val="false"/>
          <w:color w:val="1F2937"/>
          <w:sz w:val="22"/>
          <w:szCs w:val="22"/>
        </w:rPr>
        <w:t xml:space="preserve">•  </w:t>
      </w:r>
      <w:hyperlink w:history="1" r:id="rIdfvjkwiruk_sg-f-rmrloi">
        <w:r>
          <w:rPr>
            <w:rFonts w:ascii="Times New Roman" w:cs="Times New Roman" w:eastAsia="Times New Roman" w:hAnsi="Times New Roman"/>
            <w:b w:val="false"/>
            <w:bCs w:val="false"/>
            <w:i w:val="false"/>
            <w:iCs w:val="false"/>
            <w:color w:val="1155CC"/>
            <w:sz w:val="22"/>
            <w:szCs w:val="22"/>
            <w:u w:val="single"/>
          </w:rPr>
          <w:t xml:space="preserve">MINT — Glossary of Motivational Interviewing Terms (PDF)</w:t>
        </w:r>
      </w:hyperlink>
      <w:r>
        <w:rPr>
          <w:rFonts w:ascii="Times New Roman" w:cs="Times New Roman" w:eastAsia="Times New Roman" w:hAnsi="Times New Roman"/>
          <w:b w:val="false"/>
          <w:bCs w:val="false"/>
          <w:i w:val="false"/>
          <w:iCs w:val="false"/>
          <w:color w:val="1F2937"/>
          <w:sz w:val="22"/>
          <w:szCs w:val="22"/>
        </w:rPr>
        <w:t xml:space="preserve"> — définitions de référence</w:t>
      </w:r>
    </w:p>
    <w:p>
      <w:pPr>
        <w:spacing w:after="80"/>
        <w:ind w:left="360" w:hanging="220"/>
      </w:pPr>
      <w:r>
        <w:rPr>
          <w:rFonts w:ascii="Times New Roman" w:cs="Times New Roman" w:eastAsia="Times New Roman" w:hAnsi="Times New Roman"/>
          <w:b w:val="false"/>
          <w:bCs w:val="false"/>
          <w:i w:val="false"/>
          <w:iCs w:val="false"/>
          <w:color w:val="1F2937"/>
          <w:sz w:val="22"/>
          <w:szCs w:val="22"/>
        </w:rPr>
        <w:t xml:space="preserve">•  </w:t>
      </w:r>
      <w:hyperlink w:history="1" r:id="rIderk8-tv0yhocuesif9led">
        <w:r>
          <w:rPr>
            <w:rFonts w:ascii="Times New Roman" w:cs="Times New Roman" w:eastAsia="Times New Roman" w:hAnsi="Times New Roman"/>
            <w:b w:val="false"/>
            <w:bCs w:val="false"/>
            <w:i w:val="false"/>
            <w:iCs w:val="false"/>
            <w:color w:val="1155CC"/>
            <w:sz w:val="22"/>
            <w:szCs w:val="22"/>
            <w:u w:val="single"/>
          </w:rPr>
          <w:t xml:space="preserve">MINT — réseau officiel des formateurs</w:t>
        </w:r>
      </w:hyperlink>
      <w:r>
        <w:rPr>
          <w:rFonts w:ascii="Times New Roman" w:cs="Times New Roman" w:eastAsia="Times New Roman" w:hAnsi="Times New Roman"/>
          <w:b w:val="false"/>
          <w:bCs w:val="false"/>
          <w:i w:val="false"/>
          <w:iCs w:val="false"/>
          <w:color w:val="1F2937"/>
          <w:sz w:val="22"/>
          <w:szCs w:val="22"/>
        </w:rPr>
        <w:t xml:space="preserve"> — ressources et formation</w:t>
      </w:r>
    </w:p>
    <w:p>
      <w:pPr>
        <w:spacing w:after="80"/>
        <w:ind w:left="360" w:hanging="220"/>
      </w:pPr>
      <w:r>
        <w:rPr>
          <w:rFonts w:ascii="Times New Roman" w:cs="Times New Roman" w:eastAsia="Times New Roman" w:hAnsi="Times New Roman"/>
          <w:b w:val="false"/>
          <w:bCs w:val="false"/>
          <w:i w:val="false"/>
          <w:iCs w:val="false"/>
          <w:color w:val="1F2937"/>
          <w:sz w:val="22"/>
          <w:szCs w:val="22"/>
        </w:rPr>
        <w:t xml:space="preserve">•  </w:t>
      </w:r>
      <w:hyperlink w:history="1" r:id="rIdu1kzciwrhrz9mhbtl6pep">
        <w:r>
          <w:rPr>
            <w:rFonts w:ascii="Times New Roman" w:cs="Times New Roman" w:eastAsia="Times New Roman" w:hAnsi="Times New Roman"/>
            <w:b w:val="false"/>
            <w:bCs w:val="false"/>
            <w:i w:val="false"/>
            <w:iCs w:val="false"/>
            <w:color w:val="1155CC"/>
            <w:sz w:val="22"/>
            <w:szCs w:val="22"/>
            <w:u w:val="single"/>
          </w:rPr>
          <w:t xml:space="preserve">AFDEM — ressources francophones sur l'EM</w:t>
        </w:r>
      </w:hyperlink>
      <w:r>
        <w:rPr>
          <w:rFonts w:ascii="Times New Roman" w:cs="Times New Roman" w:eastAsia="Times New Roman" w:hAnsi="Times New Roman"/>
          <w:b w:val="false"/>
          <w:bCs w:val="false"/>
          <w:i w:val="false"/>
          <w:iCs w:val="false"/>
          <w:color w:val="1F2937"/>
          <w:sz w:val="22"/>
          <w:szCs w:val="22"/>
        </w:rPr>
        <w:t xml:space="preserve"> — association francophone</w:t>
      </w:r>
    </w:p>
    <w:p>
      <w:pPr>
        <w:spacing w:after="120" w:before="260"/>
      </w:pPr>
      <w:r>
        <w:rPr>
          <w:rFonts w:ascii="Times New Roman" w:cs="Times New Roman" w:eastAsia="Times New Roman" w:hAnsi="Times New Roman"/>
          <w:b/>
          <w:bCs/>
          <w:i w:val="false"/>
          <w:iCs w:val="false"/>
          <w:color w:val="1B3A6B"/>
          <w:sz w:val="30"/>
          <w:szCs w:val="30"/>
        </w:rPr>
        <w:t xml:space="preserve">🔜 Prochaine leçon</w:t>
      </w:r>
    </w:p>
    <w:p>
      <w:pPr>
        <w:spacing w:after="120"/>
      </w:pPr>
      <w:r>
        <w:rPr>
          <w:rFonts w:ascii="Times New Roman" w:cs="Times New Roman" w:eastAsia="Times New Roman" w:hAnsi="Times New Roman"/>
          <w:b w:val="false"/>
          <w:bCs w:val="false"/>
          <w:i w:val="false"/>
          <w:iCs w:val="false"/>
          <w:color w:val="1F2937"/>
          <w:sz w:val="22"/>
          <w:szCs w:val="22"/>
        </w:rPr>
        <w:t xml:space="preserve">Leçon n°07 — Intégration et entraînement : fidélité à l'EM (aperçu du MITI), plan de pratique, et posture motivationnelle en équipe.</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vvmxhy_bt0keswg8rwor" Type="http://schemas.openxmlformats.org/officeDocument/2006/relationships/hyperlink" Target="https://en.wikipedia.org/wiki/Motivational_interviewing" TargetMode="External"/><Relationship Id="rIdfvjkwiruk_sg-f-rmrloi" Type="http://schemas.openxmlformats.org/officeDocument/2006/relationships/hyperlink" Target="https://motivationalinterviewing.org/sites/default/files/glossary_of_mi_terms-1.pdf" TargetMode="External"/><Relationship Id="rIderk8-tv0yhocuesif9led" Type="http://schemas.openxmlformats.org/officeDocument/2006/relationships/hyperlink" Target="https://motivationalinterviewing.org/" TargetMode="External"/><Relationship Id="rIdu1kzciwrhrz9mhbtl6pep" Type="http://schemas.openxmlformats.org/officeDocument/2006/relationships/hyperlink" Target="https://www.entretienmotivationnel.org/" TargetMode="Externa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2026-07-13T08:41:42.345Z</dcterms:created>
  <dcterms:modified xsi:type="dcterms:W3CDTF">2026-07-13T08:41:42.345Z</dcterms:modified>
</cp:coreProperties>
</file>

<file path=docProps/custom.xml><?xml version="1.0" encoding="utf-8"?>
<Properties xmlns="http://schemas.openxmlformats.org/officeDocument/2006/custom-properties" xmlns:vt="http://schemas.openxmlformats.org/officeDocument/2006/docPropsVTypes"/>
</file>